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footer3.xml" ContentType="application/vnd.openxmlformats-officedocument.wordprocessingml.footer+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chart22.xml" ContentType="application/vnd.openxmlformats-officedocument.drawingml.chart+xml"/>
  <Override PartName="/word/footer4.xml" ContentType="application/vnd.openxmlformats-officedocument.wordprocessingml.footer+xml"/>
  <Override PartName="/word/footer5.xml" ContentType="application/vnd.openxmlformats-officedocument.wordprocessingml.footer+xml"/>
  <Override PartName="/word/charts/chart23.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4.xml" ContentType="application/vnd.openxmlformats-officedocument.drawingml.chart+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1B40A" w14:textId="77777777" w:rsidR="00733207" w:rsidRDefault="00912BAE">
      <w:pPr>
        <w:pStyle w:val="Titre1"/>
        <w:spacing w:before="120" w:after="120" w:line="360" w:lineRule="auto"/>
        <w:ind w:right="425"/>
        <w:jc w:val="both"/>
        <w:rPr>
          <w:rFonts w:ascii="Rockwell" w:hAnsi="Rockwell"/>
          <w:b/>
          <w:color w:val="auto"/>
        </w:rPr>
      </w:pPr>
      <w:bookmarkStart w:id="0" w:name="_Toc175128420"/>
      <w:bookmarkStart w:id="1" w:name="_Toc170080212"/>
      <w:bookmarkStart w:id="2" w:name="_Toc169854350"/>
      <w:bookmarkStart w:id="3" w:name="_Toc169855080"/>
      <w:bookmarkStart w:id="4" w:name="_Toc119511769"/>
      <w:bookmarkStart w:id="5" w:name="_Toc122608626"/>
      <w:bookmarkStart w:id="6" w:name="_Toc169036856"/>
      <w:r>
        <w:rPr>
          <w:noProof/>
          <w:lang w:eastAsia="fr-FR"/>
        </w:rPr>
        <mc:AlternateContent>
          <mc:Choice Requires="wps">
            <w:drawing>
              <wp:anchor distT="0" distB="0" distL="114300" distR="114300" simplePos="0" relativeHeight="251664384" behindDoc="0" locked="0" layoutInCell="1" allowOverlap="1" wp14:anchorId="1283E805" wp14:editId="6968C555">
                <wp:simplePos x="0" y="0"/>
                <wp:positionH relativeFrom="column">
                  <wp:posOffset>-562610</wp:posOffset>
                </wp:positionH>
                <wp:positionV relativeFrom="paragraph">
                  <wp:posOffset>-119380</wp:posOffset>
                </wp:positionV>
                <wp:extent cx="6943725" cy="1997075"/>
                <wp:effectExtent l="0" t="0" r="0" b="0"/>
                <wp:wrapNone/>
                <wp:docPr id="67" name="Zone de texte 67"/>
                <wp:cNvGraphicFramePr/>
                <a:graphic xmlns:a="http://schemas.openxmlformats.org/drawingml/2006/main">
                  <a:graphicData uri="http://schemas.microsoft.com/office/word/2010/wordprocessingShape">
                    <wps:wsp>
                      <wps:cNvSpPr txBox="1"/>
                      <wps:spPr>
                        <a:xfrm>
                          <a:off x="2165350" y="1294130"/>
                          <a:ext cx="6943725" cy="19970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0DD432" w14:textId="77777777" w:rsidR="00E06378" w:rsidRDefault="00E06378">
                            <w:pPr>
                              <w:jc w:val="cente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Conseil supérieur </w:t>
                            </w:r>
                          </w:p>
                          <w:p w14:paraId="5F2A23E0" w14:textId="77777777" w:rsidR="00E06378" w:rsidRDefault="00E06378">
                            <w:pPr>
                              <w:jc w:val="cente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roofErr w:type="gramStart"/>
                            <w: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w:t>
                            </w:r>
                            <w:proofErr w:type="gramEnd"/>
                            <w: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la communication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1283E805" id="_x0000_t202" coordsize="21600,21600" o:spt="202" path="m,l,21600r21600,l21600,xe">
                <v:stroke joinstyle="miter"/>
                <v:path gradientshapeok="t" o:connecttype="rect"/>
              </v:shapetype>
              <v:shape id="Zone de texte 67" o:spid="_x0000_s1026" type="#_x0000_t202" style="position:absolute;left:0;text-align:left;margin-left:-44.3pt;margin-top:-9.4pt;width:546.75pt;height:157.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" filled="f" stroked="f" strokeweight=".5pt">
                <v:textbox>
                  <w:txbxContent>
                    <w:p w14:paraId="590DD432" w14:textId="77777777" w:rsidR="00E06378" w:rsidRDefault="00E06378">
                      <w:pPr>
                        <w:jc w:val="cente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Conseil supérieur </w:t>
                      </w:r>
                    </w:p>
                    <w:p w14:paraId="5F2A23E0" w14:textId="77777777" w:rsidR="00E06378" w:rsidRDefault="00E06378">
                      <w:pPr>
                        <w:jc w:val="cente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roofErr w:type="gramStart"/>
                      <w: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de</w:t>
                      </w:r>
                      <w:proofErr w:type="gramEnd"/>
                      <w:r>
                        <w:rPr>
                          <w:b/>
                          <w:bCs/>
                          <w:sz w:val="96"/>
                          <w:szCs w:val="96"/>
                          <w14:reflection w14:blurRad="6350" w14:stA="53000" w14:stPos="0" w14:endA="300" w14:endPos="35500" w14:dist="0" w14:dir="5400000" w14:fadeDir="5400000" w14:sx="100000" w14:sy="-90000" w14:kx="0" w14:ky="0" w14:algn="bl"/>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la communication</w:t>
                      </w:r>
                    </w:p>
                  </w:txbxContent>
                </v:textbox>
              </v:shape>
            </w:pict>
          </mc:Fallback>
        </mc:AlternateContent>
      </w:r>
      <w:r>
        <w:rPr>
          <w:rFonts w:ascii="Rockwell" w:hAnsi="Rockwell"/>
          <w:noProof/>
          <w:szCs w:val="26"/>
          <w:lang w:eastAsia="fr-FR"/>
        </w:rPr>
        <mc:AlternateContent>
          <mc:Choice Requires="wpg">
            <w:drawing>
              <wp:anchor distT="0" distB="0" distL="114300" distR="114300" simplePos="0" relativeHeight="251662336" behindDoc="0" locked="0" layoutInCell="1" allowOverlap="1" wp14:anchorId="73672C96" wp14:editId="5826671C">
                <wp:simplePos x="0" y="0"/>
                <wp:positionH relativeFrom="page">
                  <wp:posOffset>731520</wp:posOffset>
                </wp:positionH>
                <wp:positionV relativeFrom="margin">
                  <wp:posOffset>299720</wp:posOffset>
                </wp:positionV>
                <wp:extent cx="6867525" cy="8764905"/>
                <wp:effectExtent l="0" t="0" r="9525" b="0"/>
                <wp:wrapNone/>
                <wp:docPr id="1" name="Groupe 2"/>
                <wp:cNvGraphicFramePr/>
                <a:graphic xmlns:a="http://schemas.openxmlformats.org/drawingml/2006/main">
                  <a:graphicData uri="http://schemas.microsoft.com/office/word/2010/wordprocessingGroup">
                    <wpg:wgp>
                      <wpg:cNvGrpSpPr/>
                      <wpg:grpSpPr>
                        <a:xfrm>
                          <a:off x="0" y="0"/>
                          <a:ext cx="6867525" cy="8764905"/>
                          <a:chOff x="0" y="-166021"/>
                          <a:chExt cx="6867528" cy="8765194"/>
                        </a:xfrm>
                      </wpg:grpSpPr>
                      <wpg:grpSp>
                        <wpg:cNvPr id="21" name="Group 3"/>
                        <wpg:cNvGrpSpPr/>
                        <wpg:grpSpPr>
                          <a:xfrm>
                            <a:off x="0" y="5043246"/>
                            <a:ext cx="6867528" cy="3555927"/>
                            <a:chOff x="0" y="0"/>
                            <a:chExt cx="6867528" cy="3555927"/>
                          </a:xfrm>
                        </wpg:grpSpPr>
                        <wpg:grpSp>
                          <wpg:cNvPr id="22" name="Group 4"/>
                          <wpg:cNvGrpSpPr/>
                          <wpg:grpSpPr>
                            <a:xfrm>
                              <a:off x="0" y="265852"/>
                              <a:ext cx="6862984" cy="2968133"/>
                              <a:chOff x="0" y="0"/>
                              <a:chExt cx="6862984" cy="2968133"/>
                            </a:xfrm>
                          </wpg:grpSpPr>
                          <wps:wsp>
                            <wps:cNvPr id="26" name="Freeform 5"/>
                            <wps:cNvSpPr/>
                            <wps:spPr>
                              <a:xfrm>
                                <a:off x="0" y="308473"/>
                                <a:ext cx="4015660" cy="2393807"/>
                              </a:xfrm>
                              <a:custGeom>
                                <a:avLst/>
                                <a:gdLst>
                                  <a:gd name="f0" fmla="val 10800000"/>
                                  <a:gd name="f1" fmla="val 5400000"/>
                                  <a:gd name="f2" fmla="val 180"/>
                                  <a:gd name="f3" fmla="val w"/>
                                  <a:gd name="f4" fmla="val h"/>
                                  <a:gd name="f5" fmla="val 0"/>
                                  <a:gd name="f6" fmla="val 7132"/>
                                  <a:gd name="f7" fmla="val 2863"/>
                                  <a:gd name="f8" fmla="val 17"/>
                                  <a:gd name="f9" fmla="val 2578"/>
                                  <a:gd name="f10" fmla="val 200"/>
                                  <a:gd name="f11" fmla="+- 0 0 -360"/>
                                  <a:gd name="f12" fmla="+- 0 0 -90"/>
                                  <a:gd name="f13" fmla="+- 0 0 -180"/>
                                  <a:gd name="f14" fmla="+- 0 0 -270"/>
                                  <a:gd name="f15" fmla="*/ f3 1 7132"/>
                                  <a:gd name="f16" fmla="*/ f4 1 2863"/>
                                  <a:gd name="f17" fmla="+- f7 0 f5"/>
                                  <a:gd name="f18" fmla="+- f6 0 f5"/>
                                  <a:gd name="f19" fmla="*/ f11 f0 1"/>
                                  <a:gd name="f20" fmla="*/ f12 f0 1"/>
                                  <a:gd name="f21" fmla="*/ f13 f0 1"/>
                                  <a:gd name="f22" fmla="*/ f14 f0 1"/>
                                  <a:gd name="f23" fmla="*/ f18 1 7132"/>
                                  <a:gd name="f24" fmla="*/ f17 1 2863"/>
                                  <a:gd name="f25" fmla="*/ 2207974 f18 1"/>
                                  <a:gd name="f26" fmla="*/ 0 f17 1"/>
                                  <a:gd name="f27" fmla="*/ 4415948 f18 1"/>
                                  <a:gd name="f28" fmla="*/ 1182237 f17 1"/>
                                  <a:gd name="f29" fmla="*/ 2364473 f17 1"/>
                                  <a:gd name="f30" fmla="*/ 0 f18 1"/>
                                  <a:gd name="f31" fmla="*/ 1367117317 f18 1"/>
                                  <a:gd name="f32" fmla="*/ 2147483646 f18 1"/>
                                  <a:gd name="f33" fmla="*/ 976377040 f17 1"/>
                                  <a:gd name="f34" fmla="*/ 1952753255 f17 1"/>
                                  <a:gd name="f35" fmla="*/ 6517424 f18 1"/>
                                  <a:gd name="f36" fmla="*/ 1758364338 f17 1"/>
                                  <a:gd name="f37" fmla="*/ 136413492 f17 1"/>
                                  <a:gd name="f38" fmla="*/ 7132 f18 1"/>
                                  <a:gd name="f39" fmla="*/ 2863 f17 1"/>
                                  <a:gd name="f40" fmla="*/ f19 1 f2"/>
                                  <a:gd name="f41" fmla="*/ f20 1 f2"/>
                                  <a:gd name="f42" fmla="*/ f21 1 f2"/>
                                  <a:gd name="f43" fmla="*/ f22 1 f2"/>
                                  <a:gd name="f44" fmla="*/ f25 1 7132"/>
                                  <a:gd name="f45" fmla="*/ f26 1 2863"/>
                                  <a:gd name="f46" fmla="*/ f27 1 7132"/>
                                  <a:gd name="f47" fmla="*/ f28 1 2863"/>
                                  <a:gd name="f48" fmla="*/ f29 1 2863"/>
                                  <a:gd name="f49" fmla="*/ f30 1 7132"/>
                                  <a:gd name="f50" fmla="*/ f31 1 7132"/>
                                  <a:gd name="f51" fmla="*/ f32 1 7132"/>
                                  <a:gd name="f52" fmla="*/ f33 1 2863"/>
                                  <a:gd name="f53" fmla="*/ f34 1 2863"/>
                                  <a:gd name="f54" fmla="*/ f35 1 7132"/>
                                  <a:gd name="f55" fmla="*/ f36 1 2863"/>
                                  <a:gd name="f56" fmla="*/ f37 1 2863"/>
                                  <a:gd name="f57" fmla="*/ f38 1 7132"/>
                                  <a:gd name="f58" fmla="*/ f39 1 2863"/>
                                  <a:gd name="f59" fmla="+- f40 0 f1"/>
                                  <a:gd name="f60" fmla="+- f41 0 f1"/>
                                  <a:gd name="f61" fmla="+- f42 0 f1"/>
                                  <a:gd name="f62" fmla="+- f43 0 f1"/>
                                  <a:gd name="f63" fmla="*/ f44 1 f23"/>
                                  <a:gd name="f64" fmla="*/ f45 1 f24"/>
                                  <a:gd name="f65" fmla="*/ f46 1 f23"/>
                                  <a:gd name="f66" fmla="*/ f47 1 f24"/>
                                  <a:gd name="f67" fmla="*/ f48 1 f24"/>
                                  <a:gd name="f68" fmla="*/ f49 1 f23"/>
                                  <a:gd name="f69" fmla="*/ f50 1 f23"/>
                                  <a:gd name="f70" fmla="*/ f51 1 f23"/>
                                  <a:gd name="f71" fmla="*/ f52 1 f24"/>
                                  <a:gd name="f72" fmla="*/ f53 1 f24"/>
                                  <a:gd name="f73" fmla="*/ f54 1 f23"/>
                                  <a:gd name="f74" fmla="*/ f55 1 f24"/>
                                  <a:gd name="f75" fmla="*/ f56 1 f24"/>
                                  <a:gd name="f76" fmla="*/ f57 1 f23"/>
                                  <a:gd name="f77" fmla="*/ f58 1 f24"/>
                                  <a:gd name="f78" fmla="*/ f68 f15 1"/>
                                  <a:gd name="f79" fmla="*/ f76 f15 1"/>
                                  <a:gd name="f80" fmla="*/ f77 f16 1"/>
                                  <a:gd name="f81" fmla="*/ f64 f16 1"/>
                                  <a:gd name="f82" fmla="*/ f63 f15 1"/>
                                  <a:gd name="f83" fmla="*/ f65 f15 1"/>
                                  <a:gd name="f84" fmla="*/ f66 f16 1"/>
                                  <a:gd name="f85" fmla="*/ f67 f16 1"/>
                                  <a:gd name="f86" fmla="*/ f69 f15 1"/>
                                  <a:gd name="f87" fmla="*/ f70 f15 1"/>
                                  <a:gd name="f88" fmla="*/ f71 f16 1"/>
                                  <a:gd name="f89" fmla="*/ f72 f16 1"/>
                                  <a:gd name="f90" fmla="*/ f73 f15 1"/>
                                  <a:gd name="f91" fmla="*/ f74 f16 1"/>
                                  <a:gd name="f92" fmla="*/ f75 f16 1"/>
                                </a:gdLst>
                                <a:ahLst/>
                                <a:cxnLst>
                                  <a:cxn ang="3cd4">
                                    <a:pos x="hc" y="t"/>
                                  </a:cxn>
                                  <a:cxn ang="0">
                                    <a:pos x="r" y="vc"/>
                                  </a:cxn>
                                  <a:cxn ang="cd4">
                                    <a:pos x="hc" y="b"/>
                                  </a:cxn>
                                  <a:cxn ang="cd2">
                                    <a:pos x="l" y="vc"/>
                                  </a:cxn>
                                  <a:cxn ang="f59">
                                    <a:pos x="f82" y="f81"/>
                                  </a:cxn>
                                  <a:cxn ang="f60">
                                    <a:pos x="f83" y="f84"/>
                                  </a:cxn>
                                  <a:cxn ang="f61">
                                    <a:pos x="f82" y="f85"/>
                                  </a:cxn>
                                  <a:cxn ang="f62">
                                    <a:pos x="f78" y="f84"/>
                                  </a:cxn>
                                  <a:cxn ang="f59">
                                    <a:pos x="f86" y="f81"/>
                                  </a:cxn>
                                  <a:cxn ang="f60">
                                    <a:pos x="f87" y="f88"/>
                                  </a:cxn>
                                  <a:cxn ang="f61">
                                    <a:pos x="f86" y="f89"/>
                                  </a:cxn>
                                  <a:cxn ang="f62">
                                    <a:pos x="f78" y="f88"/>
                                  </a:cxn>
                                  <a:cxn ang="f60">
                                    <a:pos x="f78" y="f81"/>
                                  </a:cxn>
                                  <a:cxn ang="f60">
                                    <a:pos x="f90" y="f89"/>
                                  </a:cxn>
                                  <a:cxn ang="f60">
                                    <a:pos x="f87" y="f91"/>
                                  </a:cxn>
                                  <a:cxn ang="f60">
                                    <a:pos x="f87" y="f92"/>
                                  </a:cxn>
                                  <a:cxn ang="f60">
                                    <a:pos x="f78" y="f81"/>
                                  </a:cxn>
                                </a:cxnLst>
                                <a:rect l="f78" t="f81" r="f79" b="f80"/>
                                <a:pathLst>
                                  <a:path w="7132" h="2863">
                                    <a:moveTo>
                                      <a:pt x="f5" y="f5"/>
                                    </a:moveTo>
                                    <a:lnTo>
                                      <a:pt x="f8" y="f7"/>
                                    </a:lnTo>
                                    <a:lnTo>
                                      <a:pt x="f6" y="f9"/>
                                    </a:lnTo>
                                    <a:lnTo>
                                      <a:pt x="f6" y="f10"/>
                                    </a:lnTo>
                                    <a:lnTo>
                                      <a:pt x="f5" y="f5"/>
                                    </a:lnTo>
                                    <a:close/>
                                  </a:path>
                                </a:pathLst>
                              </a:custGeom>
                              <a:solidFill>
                                <a:srgbClr val="A7BFDE">
                                  <a:alpha val="50195"/>
                                </a:srgbClr>
                              </a:solidFill>
                              <a:ln cap="flat">
                                <a:noFill/>
                                <a:prstDash val="solid"/>
                              </a:ln>
                            </wps:spPr>
                            <wps:bodyPr lIns="0" tIns="0" rIns="0" bIns="0"/>
                          </wps:wsp>
                          <wps:wsp>
                            <wps:cNvPr id="27" name="Freeform 6"/>
                            <wps:cNvSpPr/>
                            <wps:spPr>
                              <a:xfrm>
                                <a:off x="4015670" y="0"/>
                                <a:ext cx="1951494" cy="2968133"/>
                              </a:xfrm>
                              <a:custGeom>
                                <a:avLst/>
                                <a:gdLst>
                                  <a:gd name="f0" fmla="val 10800000"/>
                                  <a:gd name="f1" fmla="val 5400000"/>
                                  <a:gd name="f2" fmla="val 180"/>
                                  <a:gd name="f3" fmla="val w"/>
                                  <a:gd name="f4" fmla="val h"/>
                                  <a:gd name="f5" fmla="val 0"/>
                                  <a:gd name="f6" fmla="val 3466"/>
                                  <a:gd name="f7" fmla="val 3550"/>
                                  <a:gd name="f8" fmla="val 569"/>
                                  <a:gd name="f9" fmla="val 2930"/>
                                  <a:gd name="f10" fmla="+- 0 0 -360"/>
                                  <a:gd name="f11" fmla="+- 0 0 -90"/>
                                  <a:gd name="f12" fmla="+- 0 0 -180"/>
                                  <a:gd name="f13" fmla="+- 0 0 -270"/>
                                  <a:gd name="f14" fmla="*/ f3 1 3466"/>
                                  <a:gd name="f15" fmla="*/ f4 1 3550"/>
                                  <a:gd name="f16" fmla="+- f7 0 f5"/>
                                  <a:gd name="f17" fmla="+- f6 0 f5"/>
                                  <a:gd name="f18" fmla="*/ f10 f0 1"/>
                                  <a:gd name="f19" fmla="*/ f11 f0 1"/>
                                  <a:gd name="f20" fmla="*/ f12 f0 1"/>
                                  <a:gd name="f21" fmla="*/ f13 f0 1"/>
                                  <a:gd name="f22" fmla="*/ f17 1 3466"/>
                                  <a:gd name="f23" fmla="*/ f16 1 3550"/>
                                  <a:gd name="f24" fmla="*/ 1073026 f17 1"/>
                                  <a:gd name="f25" fmla="*/ 0 f16 1"/>
                                  <a:gd name="f26" fmla="*/ 2146051 f17 1"/>
                                  <a:gd name="f27" fmla="*/ 1465925 f16 1"/>
                                  <a:gd name="f28" fmla="*/ 2931849 f16 1"/>
                                  <a:gd name="f29" fmla="*/ 0 f17 1"/>
                                  <a:gd name="f30" fmla="*/ 664387917 f17 1"/>
                                  <a:gd name="f31" fmla="*/ 1328775215 f17 1"/>
                                  <a:gd name="f32" fmla="*/ 1210667816 f16 1"/>
                                  <a:gd name="f33" fmla="*/ 2147483646 f16 1"/>
                                  <a:gd name="f34" fmla="*/ 388095872 f16 1"/>
                                  <a:gd name="f35" fmla="*/ 1998453990 f16 1"/>
                                  <a:gd name="f36" fmla="*/ 3466 f17 1"/>
                                  <a:gd name="f37" fmla="*/ 3550 f16 1"/>
                                  <a:gd name="f38" fmla="*/ f18 1 f2"/>
                                  <a:gd name="f39" fmla="*/ f19 1 f2"/>
                                  <a:gd name="f40" fmla="*/ f20 1 f2"/>
                                  <a:gd name="f41" fmla="*/ f21 1 f2"/>
                                  <a:gd name="f42" fmla="*/ f24 1 3466"/>
                                  <a:gd name="f43" fmla="*/ f25 1 3550"/>
                                  <a:gd name="f44" fmla="*/ f26 1 3466"/>
                                  <a:gd name="f45" fmla="*/ f27 1 3550"/>
                                  <a:gd name="f46" fmla="*/ f28 1 3550"/>
                                  <a:gd name="f47" fmla="*/ f29 1 3466"/>
                                  <a:gd name="f48" fmla="*/ f30 1 3466"/>
                                  <a:gd name="f49" fmla="*/ f31 1 3466"/>
                                  <a:gd name="f50" fmla="*/ f32 1 3550"/>
                                  <a:gd name="f51" fmla="*/ f33 1 3550"/>
                                  <a:gd name="f52" fmla="*/ f34 1 3550"/>
                                  <a:gd name="f53" fmla="*/ f35 1 3550"/>
                                  <a:gd name="f54" fmla="*/ f36 1 3466"/>
                                  <a:gd name="f55" fmla="*/ f37 1 3550"/>
                                  <a:gd name="f56" fmla="+- f38 0 f1"/>
                                  <a:gd name="f57" fmla="+- f39 0 f1"/>
                                  <a:gd name="f58" fmla="+- f40 0 f1"/>
                                  <a:gd name="f59" fmla="+- f41 0 f1"/>
                                  <a:gd name="f60" fmla="*/ f42 1 f22"/>
                                  <a:gd name="f61" fmla="*/ f43 1 f23"/>
                                  <a:gd name="f62" fmla="*/ f44 1 f22"/>
                                  <a:gd name="f63" fmla="*/ f45 1 f23"/>
                                  <a:gd name="f64" fmla="*/ f46 1 f23"/>
                                  <a:gd name="f65" fmla="*/ f47 1 f22"/>
                                  <a:gd name="f66" fmla="*/ f48 1 f22"/>
                                  <a:gd name="f67" fmla="*/ f49 1 f22"/>
                                  <a:gd name="f68" fmla="*/ f50 1 f23"/>
                                  <a:gd name="f69" fmla="*/ f51 1 f23"/>
                                  <a:gd name="f70" fmla="*/ f52 1 f23"/>
                                  <a:gd name="f71" fmla="*/ f53 1 f23"/>
                                  <a:gd name="f72" fmla="*/ f54 1 f22"/>
                                  <a:gd name="f73" fmla="*/ f55 1 f23"/>
                                  <a:gd name="f74" fmla="*/ f65 f14 1"/>
                                  <a:gd name="f75" fmla="*/ f72 f14 1"/>
                                  <a:gd name="f76" fmla="*/ f73 f15 1"/>
                                  <a:gd name="f77" fmla="*/ f61 f15 1"/>
                                  <a:gd name="f78" fmla="*/ f60 f14 1"/>
                                  <a:gd name="f79" fmla="*/ f62 f14 1"/>
                                  <a:gd name="f80" fmla="*/ f63 f15 1"/>
                                  <a:gd name="f81" fmla="*/ f64 f15 1"/>
                                  <a:gd name="f82" fmla="*/ f66 f14 1"/>
                                  <a:gd name="f83" fmla="*/ f67 f14 1"/>
                                  <a:gd name="f84" fmla="*/ f68 f15 1"/>
                                  <a:gd name="f85" fmla="*/ f69 f15 1"/>
                                  <a:gd name="f86" fmla="*/ f70 f15 1"/>
                                  <a:gd name="f87" fmla="*/ f71 f15 1"/>
                                </a:gdLst>
                                <a:ahLst/>
                                <a:cxnLst>
                                  <a:cxn ang="3cd4">
                                    <a:pos x="hc" y="t"/>
                                  </a:cxn>
                                  <a:cxn ang="0">
                                    <a:pos x="r" y="vc"/>
                                  </a:cxn>
                                  <a:cxn ang="cd4">
                                    <a:pos x="hc" y="b"/>
                                  </a:cxn>
                                  <a:cxn ang="cd2">
                                    <a:pos x="l" y="vc"/>
                                  </a:cxn>
                                  <a:cxn ang="f56">
                                    <a:pos x="f78" y="f77"/>
                                  </a:cxn>
                                  <a:cxn ang="f57">
                                    <a:pos x="f79" y="f80"/>
                                  </a:cxn>
                                  <a:cxn ang="f58">
                                    <a:pos x="f78" y="f81"/>
                                  </a:cxn>
                                  <a:cxn ang="f59">
                                    <a:pos x="f74" y="f80"/>
                                  </a:cxn>
                                  <a:cxn ang="f56">
                                    <a:pos x="f82" y="f77"/>
                                  </a:cxn>
                                  <a:cxn ang="f57">
                                    <a:pos x="f83" y="f84"/>
                                  </a:cxn>
                                  <a:cxn ang="f58">
                                    <a:pos x="f82" y="f85"/>
                                  </a:cxn>
                                  <a:cxn ang="f59">
                                    <a:pos x="f74" y="f84"/>
                                  </a:cxn>
                                  <a:cxn ang="f57">
                                    <a:pos x="f74" y="f86"/>
                                  </a:cxn>
                                  <a:cxn ang="f57">
                                    <a:pos x="f74" y="f87"/>
                                  </a:cxn>
                                  <a:cxn ang="f57">
                                    <a:pos x="f83" y="f85"/>
                                  </a:cxn>
                                  <a:cxn ang="f57">
                                    <a:pos x="f83" y="f77"/>
                                  </a:cxn>
                                  <a:cxn ang="f57">
                                    <a:pos x="f74" y="f86"/>
                                  </a:cxn>
                                </a:cxnLst>
                                <a:rect l="f74" t="f77" r="f75" b="f76"/>
                                <a:pathLst>
                                  <a:path w="3466" h="3550">
                                    <a:moveTo>
                                      <a:pt x="f5" y="f8"/>
                                    </a:moveTo>
                                    <a:lnTo>
                                      <a:pt x="f5" y="f9"/>
                                    </a:lnTo>
                                    <a:lnTo>
                                      <a:pt x="f6" y="f7"/>
                                    </a:lnTo>
                                    <a:lnTo>
                                      <a:pt x="f6" y="f5"/>
                                    </a:lnTo>
                                    <a:lnTo>
                                      <a:pt x="f5" y="f8"/>
                                    </a:lnTo>
                                    <a:close/>
                                  </a:path>
                                </a:pathLst>
                              </a:custGeom>
                              <a:solidFill>
                                <a:srgbClr val="D3DFEE">
                                  <a:alpha val="50195"/>
                                </a:srgbClr>
                              </a:solidFill>
                              <a:ln cap="flat">
                                <a:noFill/>
                                <a:prstDash val="solid"/>
                              </a:ln>
                            </wps:spPr>
                            <wps:bodyPr lIns="0" tIns="0" rIns="0" bIns="0"/>
                          </wps:wsp>
                          <wps:wsp>
                            <wps:cNvPr id="59" name="Freeform 7"/>
                            <wps:cNvSpPr/>
                            <wps:spPr>
                              <a:xfrm>
                                <a:off x="5967165" y="0"/>
                                <a:ext cx="895819" cy="2968133"/>
                              </a:xfrm>
                              <a:custGeom>
                                <a:avLst/>
                                <a:gdLst>
                                  <a:gd name="f0" fmla="val 10800000"/>
                                  <a:gd name="f1" fmla="val 5400000"/>
                                  <a:gd name="f2" fmla="val 180"/>
                                  <a:gd name="f3" fmla="val w"/>
                                  <a:gd name="f4" fmla="val h"/>
                                  <a:gd name="f5" fmla="val 0"/>
                                  <a:gd name="f6" fmla="val 1591"/>
                                  <a:gd name="f7" fmla="val 3550"/>
                                  <a:gd name="f8" fmla="val 2746"/>
                                  <a:gd name="f9" fmla="val 737"/>
                                  <a:gd name="f10" fmla="+- 0 0 -360"/>
                                  <a:gd name="f11" fmla="+- 0 0 -90"/>
                                  <a:gd name="f12" fmla="+- 0 0 -180"/>
                                  <a:gd name="f13" fmla="+- 0 0 -270"/>
                                  <a:gd name="f14" fmla="*/ f3 1 1591"/>
                                  <a:gd name="f15" fmla="*/ f4 1 3550"/>
                                  <a:gd name="f16" fmla="+- f7 0 f5"/>
                                  <a:gd name="f17" fmla="+- f6 0 f5"/>
                                  <a:gd name="f18" fmla="*/ f10 f0 1"/>
                                  <a:gd name="f19" fmla="*/ f11 f0 1"/>
                                  <a:gd name="f20" fmla="*/ f12 f0 1"/>
                                  <a:gd name="f21" fmla="*/ f13 f0 1"/>
                                  <a:gd name="f22" fmla="*/ f17 1 1591"/>
                                  <a:gd name="f23" fmla="*/ f16 1 3550"/>
                                  <a:gd name="f24" fmla="*/ 492551 f17 1"/>
                                  <a:gd name="f25" fmla="*/ 0 f16 1"/>
                                  <a:gd name="f26" fmla="*/ 985101 f17 1"/>
                                  <a:gd name="f27" fmla="*/ 1465925 f16 1"/>
                                  <a:gd name="f28" fmla="*/ 2931849 f16 1"/>
                                  <a:gd name="f29" fmla="*/ 0 f17 1"/>
                                  <a:gd name="f30" fmla="*/ 304973276 f17 1"/>
                                  <a:gd name="f31" fmla="*/ 609945934 f17 1"/>
                                  <a:gd name="f32" fmla="*/ 1210667816 f16 1"/>
                                  <a:gd name="f33" fmla="*/ 2147483646 f16 1"/>
                                  <a:gd name="f34" fmla="*/ 1872953510 f16 1"/>
                                  <a:gd name="f35" fmla="*/ 502682441 f16 1"/>
                                  <a:gd name="f36" fmla="*/ 1591 f17 1"/>
                                  <a:gd name="f37" fmla="*/ 3550 f16 1"/>
                                  <a:gd name="f38" fmla="*/ f18 1 f2"/>
                                  <a:gd name="f39" fmla="*/ f19 1 f2"/>
                                  <a:gd name="f40" fmla="*/ f20 1 f2"/>
                                  <a:gd name="f41" fmla="*/ f21 1 f2"/>
                                  <a:gd name="f42" fmla="*/ f24 1 1591"/>
                                  <a:gd name="f43" fmla="*/ f25 1 3550"/>
                                  <a:gd name="f44" fmla="*/ f26 1 1591"/>
                                  <a:gd name="f45" fmla="*/ f27 1 3550"/>
                                  <a:gd name="f46" fmla="*/ f28 1 3550"/>
                                  <a:gd name="f47" fmla="*/ f29 1 1591"/>
                                  <a:gd name="f48" fmla="*/ f30 1 1591"/>
                                  <a:gd name="f49" fmla="*/ f31 1 1591"/>
                                  <a:gd name="f50" fmla="*/ f32 1 3550"/>
                                  <a:gd name="f51" fmla="*/ f33 1 3550"/>
                                  <a:gd name="f52" fmla="*/ f34 1 3550"/>
                                  <a:gd name="f53" fmla="*/ f35 1 3550"/>
                                  <a:gd name="f54" fmla="*/ f36 1 1591"/>
                                  <a:gd name="f55" fmla="*/ f37 1 3550"/>
                                  <a:gd name="f56" fmla="+- f38 0 f1"/>
                                  <a:gd name="f57" fmla="+- f39 0 f1"/>
                                  <a:gd name="f58" fmla="+- f40 0 f1"/>
                                  <a:gd name="f59" fmla="+- f41 0 f1"/>
                                  <a:gd name="f60" fmla="*/ f42 1 f22"/>
                                  <a:gd name="f61" fmla="*/ f43 1 f23"/>
                                  <a:gd name="f62" fmla="*/ f44 1 f22"/>
                                  <a:gd name="f63" fmla="*/ f45 1 f23"/>
                                  <a:gd name="f64" fmla="*/ f46 1 f23"/>
                                  <a:gd name="f65" fmla="*/ f47 1 f22"/>
                                  <a:gd name="f66" fmla="*/ f48 1 f22"/>
                                  <a:gd name="f67" fmla="*/ f49 1 f22"/>
                                  <a:gd name="f68" fmla="*/ f50 1 f23"/>
                                  <a:gd name="f69" fmla="*/ f51 1 f23"/>
                                  <a:gd name="f70" fmla="*/ f52 1 f23"/>
                                  <a:gd name="f71" fmla="*/ f53 1 f23"/>
                                  <a:gd name="f72" fmla="*/ f54 1 f22"/>
                                  <a:gd name="f73" fmla="*/ f55 1 f23"/>
                                  <a:gd name="f74" fmla="*/ f65 f14 1"/>
                                  <a:gd name="f75" fmla="*/ f72 f14 1"/>
                                  <a:gd name="f76" fmla="*/ f73 f15 1"/>
                                  <a:gd name="f77" fmla="*/ f61 f15 1"/>
                                  <a:gd name="f78" fmla="*/ f60 f14 1"/>
                                  <a:gd name="f79" fmla="*/ f62 f14 1"/>
                                  <a:gd name="f80" fmla="*/ f63 f15 1"/>
                                  <a:gd name="f81" fmla="*/ f64 f15 1"/>
                                  <a:gd name="f82" fmla="*/ f66 f14 1"/>
                                  <a:gd name="f83" fmla="*/ f67 f14 1"/>
                                  <a:gd name="f84" fmla="*/ f68 f15 1"/>
                                  <a:gd name="f85" fmla="*/ f69 f15 1"/>
                                  <a:gd name="f86" fmla="*/ f70 f15 1"/>
                                  <a:gd name="f87" fmla="*/ f71 f15 1"/>
                                </a:gdLst>
                                <a:ahLst/>
                                <a:cxnLst>
                                  <a:cxn ang="3cd4">
                                    <a:pos x="hc" y="t"/>
                                  </a:cxn>
                                  <a:cxn ang="0">
                                    <a:pos x="r" y="vc"/>
                                  </a:cxn>
                                  <a:cxn ang="cd4">
                                    <a:pos x="hc" y="b"/>
                                  </a:cxn>
                                  <a:cxn ang="cd2">
                                    <a:pos x="l" y="vc"/>
                                  </a:cxn>
                                  <a:cxn ang="f56">
                                    <a:pos x="f78" y="f77"/>
                                  </a:cxn>
                                  <a:cxn ang="f57">
                                    <a:pos x="f79" y="f80"/>
                                  </a:cxn>
                                  <a:cxn ang="f58">
                                    <a:pos x="f78" y="f81"/>
                                  </a:cxn>
                                  <a:cxn ang="f59">
                                    <a:pos x="f74" y="f80"/>
                                  </a:cxn>
                                  <a:cxn ang="f56">
                                    <a:pos x="f82" y="f77"/>
                                  </a:cxn>
                                  <a:cxn ang="f57">
                                    <a:pos x="f83" y="f84"/>
                                  </a:cxn>
                                  <a:cxn ang="f58">
                                    <a:pos x="f82" y="f85"/>
                                  </a:cxn>
                                  <a:cxn ang="f59">
                                    <a:pos x="f74" y="f84"/>
                                  </a:cxn>
                                  <a:cxn ang="f57">
                                    <a:pos x="f74" y="f77"/>
                                  </a:cxn>
                                  <a:cxn ang="f57">
                                    <a:pos x="f74" y="f85"/>
                                  </a:cxn>
                                  <a:cxn ang="f57">
                                    <a:pos x="f83" y="f86"/>
                                  </a:cxn>
                                  <a:cxn ang="f57">
                                    <a:pos x="f83" y="f87"/>
                                  </a:cxn>
                                  <a:cxn ang="f57">
                                    <a:pos x="f74" y="f77"/>
                                  </a:cxn>
                                </a:cxnLst>
                                <a:rect l="f74" t="f77" r="f75" b="f76"/>
                                <a:pathLst>
                                  <a:path w="1591" h="3550">
                                    <a:moveTo>
                                      <a:pt x="f5" y="f5"/>
                                    </a:moveTo>
                                    <a:lnTo>
                                      <a:pt x="f5" y="f7"/>
                                    </a:lnTo>
                                    <a:lnTo>
                                      <a:pt x="f6" y="f8"/>
                                    </a:lnTo>
                                    <a:lnTo>
                                      <a:pt x="f6" y="f9"/>
                                    </a:lnTo>
                                    <a:lnTo>
                                      <a:pt x="f5" y="f5"/>
                                    </a:lnTo>
                                    <a:close/>
                                  </a:path>
                                </a:pathLst>
                              </a:custGeom>
                              <a:solidFill>
                                <a:srgbClr val="A7BFDE">
                                  <a:alpha val="50195"/>
                                </a:srgbClr>
                              </a:solidFill>
                              <a:ln cap="flat">
                                <a:noFill/>
                                <a:prstDash val="solid"/>
                              </a:ln>
                            </wps:spPr>
                            <wps:bodyPr lIns="0" tIns="0" rIns="0" bIns="0"/>
                          </wps:wsp>
                        </wpg:grpSp>
                        <wps:wsp>
                          <wps:cNvPr id="63" name="Freeform 8"/>
                          <wps:cNvSpPr/>
                          <wps:spPr>
                            <a:xfrm>
                              <a:off x="4547741" y="560152"/>
                              <a:ext cx="2319787" cy="2435614"/>
                            </a:xfrm>
                            <a:custGeom>
                              <a:avLst/>
                              <a:gdLst>
                                <a:gd name="f0" fmla="val 10800000"/>
                                <a:gd name="f1" fmla="val 5400000"/>
                                <a:gd name="f2" fmla="val 180"/>
                                <a:gd name="f3" fmla="val w"/>
                                <a:gd name="f4" fmla="val h"/>
                                <a:gd name="f5" fmla="val 0"/>
                                <a:gd name="f6" fmla="val 4120"/>
                                <a:gd name="f7" fmla="val 2913"/>
                                <a:gd name="f8" fmla="val 1"/>
                                <a:gd name="f9" fmla="val 251"/>
                                <a:gd name="f10" fmla="val 2662"/>
                                <a:gd name="f11" fmla="+- 0 0 -360"/>
                                <a:gd name="f12" fmla="+- 0 0 -90"/>
                                <a:gd name="f13" fmla="+- 0 0 -180"/>
                                <a:gd name="f14" fmla="+- 0 0 -270"/>
                                <a:gd name="f15" fmla="*/ f3 1 4120"/>
                                <a:gd name="f16" fmla="*/ f4 1 2913"/>
                                <a:gd name="f17" fmla="+- f7 0 f5"/>
                                <a:gd name="f18" fmla="+- f6 0 f5"/>
                                <a:gd name="f19" fmla="*/ f11 f0 1"/>
                                <a:gd name="f20" fmla="*/ f12 f0 1"/>
                                <a:gd name="f21" fmla="*/ f13 f0 1"/>
                                <a:gd name="f22" fmla="*/ f14 f0 1"/>
                                <a:gd name="f23" fmla="*/ f18 1 4120"/>
                                <a:gd name="f24" fmla="*/ f17 1 2913"/>
                                <a:gd name="f25" fmla="*/ 1275497 f18 1"/>
                                <a:gd name="f26" fmla="*/ 0 f17 1"/>
                                <a:gd name="f27" fmla="*/ 2550993 f18 1"/>
                                <a:gd name="f28" fmla="*/ 1202884 f17 1"/>
                                <a:gd name="f29" fmla="*/ 2405768 f17 1"/>
                                <a:gd name="f30" fmla="*/ 0 f18 1"/>
                                <a:gd name="f31" fmla="*/ 789753378 f18 1"/>
                                <a:gd name="f32" fmla="*/ 1579506137 f18 1"/>
                                <a:gd name="f33" fmla="*/ 993429397 f17 1"/>
                                <a:gd name="f34" fmla="*/ 1986858795 f17 1"/>
                                <a:gd name="f35" fmla="*/ 383268 f18 1"/>
                                <a:gd name="f36" fmla="*/ 171198514 f17 1"/>
                                <a:gd name="f37" fmla="*/ 1815660281 f17 1"/>
                                <a:gd name="f38" fmla="*/ 4120 f18 1"/>
                                <a:gd name="f39" fmla="*/ 2913 f17 1"/>
                                <a:gd name="f40" fmla="*/ f19 1 f2"/>
                                <a:gd name="f41" fmla="*/ f20 1 f2"/>
                                <a:gd name="f42" fmla="*/ f21 1 f2"/>
                                <a:gd name="f43" fmla="*/ f22 1 f2"/>
                                <a:gd name="f44" fmla="*/ f25 1 4120"/>
                                <a:gd name="f45" fmla="*/ f26 1 2913"/>
                                <a:gd name="f46" fmla="*/ f27 1 4120"/>
                                <a:gd name="f47" fmla="*/ f28 1 2913"/>
                                <a:gd name="f48" fmla="*/ f29 1 2913"/>
                                <a:gd name="f49" fmla="*/ f30 1 4120"/>
                                <a:gd name="f50" fmla="*/ f31 1 4120"/>
                                <a:gd name="f51" fmla="*/ f32 1 4120"/>
                                <a:gd name="f52" fmla="*/ f33 1 2913"/>
                                <a:gd name="f53" fmla="*/ f34 1 2913"/>
                                <a:gd name="f54" fmla="*/ f35 1 4120"/>
                                <a:gd name="f55" fmla="*/ f36 1 2913"/>
                                <a:gd name="f56" fmla="*/ f37 1 2913"/>
                                <a:gd name="f57" fmla="*/ f38 1 4120"/>
                                <a:gd name="f58" fmla="*/ f39 1 2913"/>
                                <a:gd name="f59" fmla="+- f40 0 f1"/>
                                <a:gd name="f60" fmla="+- f41 0 f1"/>
                                <a:gd name="f61" fmla="+- f42 0 f1"/>
                                <a:gd name="f62" fmla="+- f43 0 f1"/>
                                <a:gd name="f63" fmla="*/ f44 1 f23"/>
                                <a:gd name="f64" fmla="*/ f45 1 f24"/>
                                <a:gd name="f65" fmla="*/ f46 1 f23"/>
                                <a:gd name="f66" fmla="*/ f47 1 f24"/>
                                <a:gd name="f67" fmla="*/ f48 1 f24"/>
                                <a:gd name="f68" fmla="*/ f49 1 f23"/>
                                <a:gd name="f69" fmla="*/ f50 1 f23"/>
                                <a:gd name="f70" fmla="*/ f51 1 f23"/>
                                <a:gd name="f71" fmla="*/ f52 1 f24"/>
                                <a:gd name="f72" fmla="*/ f53 1 f24"/>
                                <a:gd name="f73" fmla="*/ f54 1 f23"/>
                                <a:gd name="f74" fmla="*/ f55 1 f24"/>
                                <a:gd name="f75" fmla="*/ f56 1 f24"/>
                                <a:gd name="f76" fmla="*/ f57 1 f23"/>
                                <a:gd name="f77" fmla="*/ f58 1 f24"/>
                                <a:gd name="f78" fmla="*/ f68 f15 1"/>
                                <a:gd name="f79" fmla="*/ f76 f15 1"/>
                                <a:gd name="f80" fmla="*/ f77 f16 1"/>
                                <a:gd name="f81" fmla="*/ f64 f16 1"/>
                                <a:gd name="f82" fmla="*/ f63 f15 1"/>
                                <a:gd name="f83" fmla="*/ f65 f15 1"/>
                                <a:gd name="f84" fmla="*/ f66 f16 1"/>
                                <a:gd name="f85" fmla="*/ f67 f16 1"/>
                                <a:gd name="f86" fmla="*/ f69 f15 1"/>
                                <a:gd name="f87" fmla="*/ f70 f15 1"/>
                                <a:gd name="f88" fmla="*/ f71 f16 1"/>
                                <a:gd name="f89" fmla="*/ f72 f16 1"/>
                                <a:gd name="f90" fmla="*/ f73 f15 1"/>
                                <a:gd name="f91" fmla="*/ f74 f16 1"/>
                                <a:gd name="f92" fmla="*/ f75 f16 1"/>
                              </a:gdLst>
                              <a:ahLst/>
                              <a:cxnLst>
                                <a:cxn ang="3cd4">
                                  <a:pos x="hc" y="t"/>
                                </a:cxn>
                                <a:cxn ang="0">
                                  <a:pos x="r" y="vc"/>
                                </a:cxn>
                                <a:cxn ang="cd4">
                                  <a:pos x="hc" y="b"/>
                                </a:cxn>
                                <a:cxn ang="cd2">
                                  <a:pos x="l" y="vc"/>
                                </a:cxn>
                                <a:cxn ang="f59">
                                  <a:pos x="f82" y="f81"/>
                                </a:cxn>
                                <a:cxn ang="f60">
                                  <a:pos x="f83" y="f84"/>
                                </a:cxn>
                                <a:cxn ang="f61">
                                  <a:pos x="f82" y="f85"/>
                                </a:cxn>
                                <a:cxn ang="f62">
                                  <a:pos x="f78" y="f84"/>
                                </a:cxn>
                                <a:cxn ang="f59">
                                  <a:pos x="f86" y="f81"/>
                                </a:cxn>
                                <a:cxn ang="f60">
                                  <a:pos x="f87" y="f88"/>
                                </a:cxn>
                                <a:cxn ang="f61">
                                  <a:pos x="f86" y="f89"/>
                                </a:cxn>
                                <a:cxn ang="f62">
                                  <a:pos x="f78" y="f88"/>
                                </a:cxn>
                                <a:cxn ang="f60">
                                  <a:pos x="f90" y="f91"/>
                                </a:cxn>
                                <a:cxn ang="f60">
                                  <a:pos x="f78" y="f92"/>
                                </a:cxn>
                                <a:cxn ang="f60">
                                  <a:pos x="f87" y="f89"/>
                                </a:cxn>
                                <a:cxn ang="f60">
                                  <a:pos x="f87" y="f81"/>
                                </a:cxn>
                                <a:cxn ang="f60">
                                  <a:pos x="f90" y="f91"/>
                                </a:cxn>
                              </a:cxnLst>
                              <a:rect l="f78" t="f81" r="f79" b="f80"/>
                              <a:pathLst>
                                <a:path w="4120" h="2913">
                                  <a:moveTo>
                                    <a:pt x="f8" y="f9"/>
                                  </a:moveTo>
                                  <a:lnTo>
                                    <a:pt x="f5" y="f10"/>
                                  </a:lnTo>
                                  <a:lnTo>
                                    <a:pt x="f6" y="f7"/>
                                  </a:lnTo>
                                  <a:lnTo>
                                    <a:pt x="f6" y="f5"/>
                                  </a:lnTo>
                                  <a:lnTo>
                                    <a:pt x="f8" y="f9"/>
                                  </a:lnTo>
                                  <a:close/>
                                </a:path>
                              </a:pathLst>
                            </a:custGeom>
                            <a:solidFill>
                              <a:srgbClr val="D8D8D8"/>
                            </a:solidFill>
                            <a:ln cap="flat">
                              <a:noFill/>
                              <a:prstDash val="solid"/>
                            </a:ln>
                          </wps:spPr>
                          <wps:bodyPr lIns="0" tIns="0" rIns="0" bIns="0"/>
                        </wps:wsp>
                        <wps:wsp>
                          <wps:cNvPr id="64" name="Freeform 10"/>
                          <wps:cNvSpPr/>
                          <wps:spPr>
                            <a:xfrm>
                              <a:off x="13460" y="0"/>
                              <a:ext cx="2300694" cy="3555927"/>
                            </a:xfrm>
                            <a:custGeom>
                              <a:avLst/>
                              <a:gdLst>
                                <a:gd name="f0" fmla="val 10800000"/>
                                <a:gd name="f1" fmla="val 5400000"/>
                                <a:gd name="f2" fmla="val 180"/>
                                <a:gd name="f3" fmla="val w"/>
                                <a:gd name="f4" fmla="val h"/>
                                <a:gd name="f5" fmla="val 0"/>
                                <a:gd name="f6" fmla="val 4086"/>
                                <a:gd name="f7" fmla="val 4253"/>
                                <a:gd name="f8" fmla="val 4084"/>
                                <a:gd name="f9" fmla="val 3198"/>
                                <a:gd name="f10" fmla="val 1072"/>
                                <a:gd name="f11" fmla="+- 0 0 -360"/>
                                <a:gd name="f12" fmla="+- 0 0 -90"/>
                                <a:gd name="f13" fmla="+- 0 0 -180"/>
                                <a:gd name="f14" fmla="+- 0 0 -270"/>
                                <a:gd name="f15" fmla="*/ f3 1 4086"/>
                                <a:gd name="f16" fmla="*/ f4 1 4253"/>
                                <a:gd name="f17" fmla="+- f7 0 f5"/>
                                <a:gd name="f18" fmla="+- f6 0 f5"/>
                                <a:gd name="f19" fmla="*/ f11 f0 1"/>
                                <a:gd name="f20" fmla="*/ f12 f0 1"/>
                                <a:gd name="f21" fmla="*/ f13 f0 1"/>
                                <a:gd name="f22" fmla="*/ f14 f0 1"/>
                                <a:gd name="f23" fmla="*/ f18 1 4086"/>
                                <a:gd name="f24" fmla="*/ f17 1 4253"/>
                                <a:gd name="f25" fmla="*/ 1264972 f18 1"/>
                                <a:gd name="f26" fmla="*/ 0 f17 1"/>
                                <a:gd name="f27" fmla="*/ 2529943 f18 1"/>
                                <a:gd name="f28" fmla="*/ 1756219 f17 1"/>
                                <a:gd name="f29" fmla="*/ 3512438 f17 1"/>
                                <a:gd name="f30" fmla="*/ 0 f18 1"/>
                                <a:gd name="f31" fmla="*/ 783237165 f18 1"/>
                                <a:gd name="f32" fmla="*/ 1566473711 f18 1"/>
                                <a:gd name="f33" fmla="*/ 1450413908 f17 1"/>
                                <a:gd name="f34" fmla="*/ 2147483646 f17 1"/>
                                <a:gd name="f35" fmla="*/ 1565707174 f18 1"/>
                                <a:gd name="f36" fmla="*/ 731175126 f17 1"/>
                                <a:gd name="f37" fmla="*/ 4086 f18 1"/>
                                <a:gd name="f38" fmla="*/ 4253 f17 1"/>
                                <a:gd name="f39" fmla="*/ f19 1 f2"/>
                                <a:gd name="f40" fmla="*/ f20 1 f2"/>
                                <a:gd name="f41" fmla="*/ f21 1 f2"/>
                                <a:gd name="f42" fmla="*/ f22 1 f2"/>
                                <a:gd name="f43" fmla="*/ f25 1 4086"/>
                                <a:gd name="f44" fmla="*/ f26 1 4253"/>
                                <a:gd name="f45" fmla="*/ f27 1 4086"/>
                                <a:gd name="f46" fmla="*/ f28 1 4253"/>
                                <a:gd name="f47" fmla="*/ f29 1 4253"/>
                                <a:gd name="f48" fmla="*/ f30 1 4086"/>
                                <a:gd name="f49" fmla="*/ f31 1 4086"/>
                                <a:gd name="f50" fmla="*/ f32 1 4086"/>
                                <a:gd name="f51" fmla="*/ f33 1 4253"/>
                                <a:gd name="f52" fmla="*/ f34 1 4253"/>
                                <a:gd name="f53" fmla="*/ f35 1 4086"/>
                                <a:gd name="f54" fmla="*/ f36 1 4253"/>
                                <a:gd name="f55" fmla="*/ f37 1 4086"/>
                                <a:gd name="f56" fmla="*/ f38 1 4253"/>
                                <a:gd name="f57" fmla="+- f39 0 f1"/>
                                <a:gd name="f58" fmla="+- f40 0 f1"/>
                                <a:gd name="f59" fmla="+- f41 0 f1"/>
                                <a:gd name="f60" fmla="+- f42 0 f1"/>
                                <a:gd name="f61" fmla="*/ f43 1 f23"/>
                                <a:gd name="f62" fmla="*/ f44 1 f24"/>
                                <a:gd name="f63" fmla="*/ f45 1 f23"/>
                                <a:gd name="f64" fmla="*/ f46 1 f24"/>
                                <a:gd name="f65" fmla="*/ f47 1 f24"/>
                                <a:gd name="f66" fmla="*/ f48 1 f23"/>
                                <a:gd name="f67" fmla="*/ f49 1 f23"/>
                                <a:gd name="f68" fmla="*/ f50 1 f23"/>
                                <a:gd name="f69" fmla="*/ f51 1 f24"/>
                                <a:gd name="f70" fmla="*/ f52 1 f24"/>
                                <a:gd name="f71" fmla="*/ f53 1 f23"/>
                                <a:gd name="f72" fmla="*/ f54 1 f24"/>
                                <a:gd name="f73" fmla="*/ f55 1 f23"/>
                                <a:gd name="f74" fmla="*/ f56 1 f24"/>
                                <a:gd name="f75" fmla="*/ f66 f15 1"/>
                                <a:gd name="f76" fmla="*/ f73 f15 1"/>
                                <a:gd name="f77" fmla="*/ f74 f16 1"/>
                                <a:gd name="f78" fmla="*/ f62 f16 1"/>
                                <a:gd name="f79" fmla="*/ f61 f15 1"/>
                                <a:gd name="f80" fmla="*/ f63 f15 1"/>
                                <a:gd name="f81" fmla="*/ f64 f16 1"/>
                                <a:gd name="f82" fmla="*/ f65 f16 1"/>
                                <a:gd name="f83" fmla="*/ f67 f15 1"/>
                                <a:gd name="f84" fmla="*/ f68 f15 1"/>
                                <a:gd name="f85" fmla="*/ f69 f16 1"/>
                                <a:gd name="f86" fmla="*/ f70 f16 1"/>
                                <a:gd name="f87" fmla="*/ f71 f15 1"/>
                                <a:gd name="f88" fmla="*/ f72 f16 1"/>
                              </a:gdLst>
                              <a:ahLst/>
                              <a:cxnLst>
                                <a:cxn ang="3cd4">
                                  <a:pos x="hc" y="t"/>
                                </a:cxn>
                                <a:cxn ang="0">
                                  <a:pos x="r" y="vc"/>
                                </a:cxn>
                                <a:cxn ang="cd4">
                                  <a:pos x="hc" y="b"/>
                                </a:cxn>
                                <a:cxn ang="cd2">
                                  <a:pos x="l" y="vc"/>
                                </a:cxn>
                                <a:cxn ang="f57">
                                  <a:pos x="f79" y="f78"/>
                                </a:cxn>
                                <a:cxn ang="f58">
                                  <a:pos x="f80" y="f81"/>
                                </a:cxn>
                                <a:cxn ang="f59">
                                  <a:pos x="f79" y="f82"/>
                                </a:cxn>
                                <a:cxn ang="f60">
                                  <a:pos x="f75" y="f81"/>
                                </a:cxn>
                                <a:cxn ang="f57">
                                  <a:pos x="f83" y="f78"/>
                                </a:cxn>
                                <a:cxn ang="f58">
                                  <a:pos x="f84" y="f85"/>
                                </a:cxn>
                                <a:cxn ang="f59">
                                  <a:pos x="f83" y="f86"/>
                                </a:cxn>
                                <a:cxn ang="f60">
                                  <a:pos x="f75" y="f85"/>
                                </a:cxn>
                                <a:cxn ang="f58">
                                  <a:pos x="f84" y="f78"/>
                                </a:cxn>
                                <a:cxn ang="f58">
                                  <a:pos x="f87" y="f86"/>
                                </a:cxn>
                                <a:cxn ang="f58">
                                  <a:pos x="f75" y="f86"/>
                                </a:cxn>
                                <a:cxn ang="f58">
                                  <a:pos x="f75" y="f88"/>
                                </a:cxn>
                                <a:cxn ang="f58">
                                  <a:pos x="f84" y="f78"/>
                                </a:cxn>
                              </a:cxnLst>
                              <a:rect l="f75" t="f78" r="f76" b="f77"/>
                              <a:pathLst>
                                <a:path w="4086" h="4253">
                                  <a:moveTo>
                                    <a:pt x="f6" y="f5"/>
                                  </a:moveTo>
                                  <a:lnTo>
                                    <a:pt x="f8" y="f7"/>
                                  </a:lnTo>
                                  <a:lnTo>
                                    <a:pt x="f5" y="f9"/>
                                  </a:lnTo>
                                  <a:lnTo>
                                    <a:pt x="f5" y="f10"/>
                                  </a:lnTo>
                                  <a:lnTo>
                                    <a:pt x="f6" y="f5"/>
                                  </a:lnTo>
                                  <a:close/>
                                </a:path>
                              </a:pathLst>
                            </a:custGeom>
                            <a:solidFill>
                              <a:srgbClr val="D8D8D8"/>
                            </a:solidFill>
                            <a:ln cap="flat">
                              <a:noFill/>
                              <a:prstDash val="solid"/>
                            </a:ln>
                          </wps:spPr>
                          <wps:bodyPr lIns="0" tIns="0" rIns="0" bIns="0"/>
                        </wps:wsp>
                        <wps:wsp>
                          <wps:cNvPr id="65" name="Freeform 13"/>
                          <wps:cNvSpPr/>
                          <wps:spPr>
                            <a:xfrm>
                              <a:off x="4547741" y="265852"/>
                              <a:ext cx="2309692" cy="2869524"/>
                            </a:xfrm>
                            <a:custGeom>
                              <a:avLst/>
                              <a:gdLst>
                                <a:gd name="f0" fmla="val 10800000"/>
                                <a:gd name="f1" fmla="val 5400000"/>
                                <a:gd name="f2" fmla="val 180"/>
                                <a:gd name="f3" fmla="val w"/>
                                <a:gd name="f4" fmla="val h"/>
                                <a:gd name="f5" fmla="val 0"/>
                                <a:gd name="f6" fmla="val 4102"/>
                                <a:gd name="f7" fmla="val 3432"/>
                                <a:gd name="f8" fmla="val 1038"/>
                                <a:gd name="f9" fmla="val 2411"/>
                                <a:gd name="f10" fmla="+- 0 0 -360"/>
                                <a:gd name="f11" fmla="+- 0 0 -90"/>
                                <a:gd name="f12" fmla="+- 0 0 -180"/>
                                <a:gd name="f13" fmla="+- 0 0 -270"/>
                                <a:gd name="f14" fmla="*/ f3 1 4102"/>
                                <a:gd name="f15" fmla="*/ f4 1 3432"/>
                                <a:gd name="f16" fmla="+- f7 0 f5"/>
                                <a:gd name="f17" fmla="+- f6 0 f5"/>
                                <a:gd name="f18" fmla="*/ f10 f0 1"/>
                                <a:gd name="f19" fmla="*/ f11 f0 1"/>
                                <a:gd name="f20" fmla="*/ f12 f0 1"/>
                                <a:gd name="f21" fmla="*/ f13 f0 1"/>
                                <a:gd name="f22" fmla="*/ f17 1 4102"/>
                                <a:gd name="f23" fmla="*/ f16 1 3432"/>
                                <a:gd name="f24" fmla="*/ 1269923 f17 1"/>
                                <a:gd name="f25" fmla="*/ 0 f16 1"/>
                                <a:gd name="f26" fmla="*/ 2539846 f17 1"/>
                                <a:gd name="f27" fmla="*/ 1417197 f16 1"/>
                                <a:gd name="f28" fmla="*/ 2834393 f16 1"/>
                                <a:gd name="f29" fmla="*/ 0 f17 1"/>
                                <a:gd name="f30" fmla="*/ 786301524 f17 1"/>
                                <a:gd name="f31" fmla="*/ 1572603048 f17 1"/>
                                <a:gd name="f32" fmla="*/ 1170423443 f16 1"/>
                                <a:gd name="f33" fmla="*/ 2147483646 f16 1"/>
                                <a:gd name="f34" fmla="*/ 707982975 f16 1"/>
                                <a:gd name="f35" fmla="*/ 1644458329 f16 1"/>
                                <a:gd name="f36" fmla="*/ 4102 f17 1"/>
                                <a:gd name="f37" fmla="*/ 3432 f16 1"/>
                                <a:gd name="f38" fmla="*/ f18 1 f2"/>
                                <a:gd name="f39" fmla="*/ f19 1 f2"/>
                                <a:gd name="f40" fmla="*/ f20 1 f2"/>
                                <a:gd name="f41" fmla="*/ f21 1 f2"/>
                                <a:gd name="f42" fmla="*/ f24 1 4102"/>
                                <a:gd name="f43" fmla="*/ f25 1 3432"/>
                                <a:gd name="f44" fmla="*/ f26 1 4102"/>
                                <a:gd name="f45" fmla="*/ f27 1 3432"/>
                                <a:gd name="f46" fmla="*/ f28 1 3432"/>
                                <a:gd name="f47" fmla="*/ f29 1 4102"/>
                                <a:gd name="f48" fmla="*/ f30 1 4102"/>
                                <a:gd name="f49" fmla="*/ f31 1 4102"/>
                                <a:gd name="f50" fmla="*/ f32 1 3432"/>
                                <a:gd name="f51" fmla="*/ f33 1 3432"/>
                                <a:gd name="f52" fmla="*/ f34 1 3432"/>
                                <a:gd name="f53" fmla="*/ f35 1 3432"/>
                                <a:gd name="f54" fmla="*/ f36 1 4102"/>
                                <a:gd name="f55" fmla="*/ f37 1 3432"/>
                                <a:gd name="f56" fmla="+- f38 0 f1"/>
                                <a:gd name="f57" fmla="+- f39 0 f1"/>
                                <a:gd name="f58" fmla="+- f40 0 f1"/>
                                <a:gd name="f59" fmla="+- f41 0 f1"/>
                                <a:gd name="f60" fmla="*/ f42 1 f22"/>
                                <a:gd name="f61" fmla="*/ f43 1 f23"/>
                                <a:gd name="f62" fmla="*/ f44 1 f22"/>
                                <a:gd name="f63" fmla="*/ f45 1 f23"/>
                                <a:gd name="f64" fmla="*/ f46 1 f23"/>
                                <a:gd name="f65" fmla="*/ f47 1 f22"/>
                                <a:gd name="f66" fmla="*/ f48 1 f22"/>
                                <a:gd name="f67" fmla="*/ f49 1 f22"/>
                                <a:gd name="f68" fmla="*/ f50 1 f23"/>
                                <a:gd name="f69" fmla="*/ f51 1 f23"/>
                                <a:gd name="f70" fmla="*/ f52 1 f23"/>
                                <a:gd name="f71" fmla="*/ f53 1 f23"/>
                                <a:gd name="f72" fmla="*/ f54 1 f22"/>
                                <a:gd name="f73" fmla="*/ f55 1 f23"/>
                                <a:gd name="f74" fmla="*/ f65 f14 1"/>
                                <a:gd name="f75" fmla="*/ f72 f14 1"/>
                                <a:gd name="f76" fmla="*/ f73 f15 1"/>
                                <a:gd name="f77" fmla="*/ f61 f15 1"/>
                                <a:gd name="f78" fmla="*/ f60 f14 1"/>
                                <a:gd name="f79" fmla="*/ f62 f14 1"/>
                                <a:gd name="f80" fmla="*/ f63 f15 1"/>
                                <a:gd name="f81" fmla="*/ f64 f15 1"/>
                                <a:gd name="f82" fmla="*/ f66 f14 1"/>
                                <a:gd name="f83" fmla="*/ f67 f14 1"/>
                                <a:gd name="f84" fmla="*/ f68 f15 1"/>
                                <a:gd name="f85" fmla="*/ f69 f15 1"/>
                                <a:gd name="f86" fmla="*/ f70 f15 1"/>
                                <a:gd name="f87" fmla="*/ f71 f15 1"/>
                              </a:gdLst>
                              <a:ahLst/>
                              <a:cxnLst>
                                <a:cxn ang="3cd4">
                                  <a:pos x="hc" y="t"/>
                                </a:cxn>
                                <a:cxn ang="0">
                                  <a:pos x="r" y="vc"/>
                                </a:cxn>
                                <a:cxn ang="cd4">
                                  <a:pos x="hc" y="b"/>
                                </a:cxn>
                                <a:cxn ang="cd2">
                                  <a:pos x="l" y="vc"/>
                                </a:cxn>
                                <a:cxn ang="f56">
                                  <a:pos x="f78" y="f77"/>
                                </a:cxn>
                                <a:cxn ang="f57">
                                  <a:pos x="f79" y="f80"/>
                                </a:cxn>
                                <a:cxn ang="f58">
                                  <a:pos x="f78" y="f81"/>
                                </a:cxn>
                                <a:cxn ang="f59">
                                  <a:pos x="f74" y="f80"/>
                                </a:cxn>
                                <a:cxn ang="f56">
                                  <a:pos x="f82" y="f77"/>
                                </a:cxn>
                                <a:cxn ang="f57">
                                  <a:pos x="f83" y="f84"/>
                                </a:cxn>
                                <a:cxn ang="f58">
                                  <a:pos x="f82" y="f85"/>
                                </a:cxn>
                                <a:cxn ang="f59">
                                  <a:pos x="f74" y="f84"/>
                                </a:cxn>
                                <a:cxn ang="f57">
                                  <a:pos x="f74" y="f86"/>
                                </a:cxn>
                                <a:cxn ang="f57">
                                  <a:pos x="f74" y="f87"/>
                                </a:cxn>
                                <a:cxn ang="f57">
                                  <a:pos x="f83" y="f85"/>
                                </a:cxn>
                                <a:cxn ang="f57">
                                  <a:pos x="f83" y="f77"/>
                                </a:cxn>
                                <a:cxn ang="f57">
                                  <a:pos x="f74" y="f86"/>
                                </a:cxn>
                              </a:cxnLst>
                              <a:rect l="f74" t="f77" r="f75" b="f76"/>
                              <a:pathLst>
                                <a:path w="4102" h="3432">
                                  <a:moveTo>
                                    <a:pt x="f5" y="f8"/>
                                  </a:moveTo>
                                  <a:lnTo>
                                    <a:pt x="f5" y="f9"/>
                                  </a:lnTo>
                                  <a:lnTo>
                                    <a:pt x="f6" y="f7"/>
                                  </a:lnTo>
                                  <a:lnTo>
                                    <a:pt x="f6" y="f5"/>
                                  </a:lnTo>
                                  <a:lnTo>
                                    <a:pt x="f5" y="f8"/>
                                  </a:lnTo>
                                  <a:close/>
                                </a:path>
                              </a:pathLst>
                            </a:custGeom>
                            <a:solidFill>
                              <a:srgbClr val="D3DFEE">
                                <a:alpha val="70195"/>
                              </a:srgbClr>
                            </a:solidFill>
                            <a:ln cap="flat">
                              <a:noFill/>
                              <a:prstDash val="solid"/>
                            </a:ln>
                          </wps:spPr>
                          <wps:bodyPr lIns="0" tIns="0" rIns="0" bIns="0"/>
                        </wps:wsp>
                      </wpg:grpSp>
                      <wps:wsp>
                        <wps:cNvPr id="66" name="Rectangle 66"/>
                        <wps:cNvSpPr/>
                        <wps:spPr>
                          <a:xfrm>
                            <a:off x="471665" y="-166021"/>
                            <a:ext cx="4973494" cy="642265"/>
                          </a:xfrm>
                          <a:prstGeom prst="rect">
                            <a:avLst/>
                          </a:prstGeom>
                          <a:noFill/>
                          <a:ln cap="flat">
                            <a:noFill/>
                            <a:prstDash val="solid"/>
                          </a:ln>
                        </wps:spPr>
                        <wps:txbx>
                          <w:txbxContent>
                            <w:p w14:paraId="6B929368" w14:textId="77777777" w:rsidR="00E06378" w:rsidRDefault="00E06378">
                              <w:pPr>
                                <w:jc w:val="center"/>
                                <w:rPr>
                                  <w:rFonts w:ascii="Bodoni MT Poster Compressed" w:hAnsi="Bodoni MT Poster Compressed" w:cs="Bodoni MT Poster Compressed"/>
                                </w:rPr>
                              </w:pPr>
                            </w:p>
                          </w:txbxContent>
                        </wps:txbx>
                        <wps:bodyPr vert="horz" wrap="square" lIns="91440" tIns="45720" rIns="91440" bIns="45720" anchor="t" anchorCtr="0" compatLnSpc="0">
                          <a:noAutofit/>
                        </wps:bodyPr>
                      </wps:wsp>
                    </wpg:wgp>
                  </a:graphicData>
                </a:graphic>
              </wp:anchor>
            </w:drawing>
          </mc:Choice>
          <mc:Fallback>
            <w:pict>
              <v:group w14:anchorId="73672C96" id="Groupe 2" o:spid="_x0000_s1027" style="position:absolute;left:0;text-align:left;margin-left:57.6pt;margin-top:23.6pt;width:540.75pt;height:690.15pt;z-index:251662336;mso-position-horizontal-relative:page;mso-position-vertical-relative:margin" coordorigin=",-1660" coordsize="68675,87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">
                <v:group id="Group 3" o:spid="_x0000_s1028" style="position:absolute;top:50432;width:68675;height:35559" coordsize="68675,3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group id="Group 4" o:spid="_x0000_s1029" style="position:absolute;top:2658;width:68629;height:29681" coordsize="68629,29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5" o:spid="_x0000_s1030" style="position:absolute;top:3084;width:40156;height:23938;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" path="m,l17,2863,7132,2578r,-2378l,xe" fillcolor="#a7bfde" stroked="f">
                      <v:fill opacity="32896f"/>
                      <v:path arrowok="t" o:connecttype="custom" o:connectlocs="2007830,0;4015660,1196904;2007830,2393807;0,1196904;1243195860,0;2147483646,988490117;1243195860,1976979399;0,988490117;2147483646,0;2147483646,2147483646;2147483646,2147483646;0,2147483646;0,0;2147483646,2147483646;2147483646,2147483646;2147483646,2147483646;0,0" o:connectangles="270,0,90,180,270,0,90,180,270,0,90,180,0,0,0,0,0" textboxrect="0,0,7132,2863"/>
                    </v:shape>
                    <v:shape id="Freeform 6" o:spid="_x0000_s1031" style="position:absolute;left:40156;width:19515;height:29681;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" path="m,569l,2930r3466,620l3466,,,569xe" fillcolor="#d3dfee" stroked="f">
                      <v:fill opacity="32896f"/>
                      <v:path arrowok="t" o:connecttype="custom" o:connectlocs="975747,0;1951494,1484067;975747,2968133;0,1484067;604155742,0;1208310920,1225650808;604155742,2147483646;0,1225650808;2147483646,0;2147483646,2147483646;2147483646,2147483646;0,2147483646;0,2147483646;0,2147483646;2147483646,2147483646;2147483646,0;0,2147483646" o:connectangles="270,0,90,180,270,0,90,180,270,0,90,180,0,0,0,0,0" textboxrect="0,0,3466,3550"/>
                    </v:shape>
                    <v:shape id="Freeform 7" o:spid="_x0000_s1032" style="position:absolute;left:59671;width:8958;height:29681;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" path="m,l,3550,1591,2746r,-2009l,xe" fillcolor="#a7bfde" stroked="f">
                      <v:fill opacity="32896f"/>
                      <v:path arrowok="t" o:connecttype="custom" o:connectlocs="447910,0;895819,1484067;447910,2968133;0,1484067;277332837,0;554665112,1225650808;277332837,2147483646;0,1225650808;2147483646,0;2147483646,2147483646;2147483646,2147483646;0,2147483646;0,0;0,2147483646;2147483646,2147483646;2147483646,2147483646;0,0" o:connectangles="270,0,90,180,270,0,90,180,270,0,90,180,0,0,0,0,0" textboxrect="0,0,1591,3550"/>
                    </v:shape>
                  </v:group>
                  <v:shape id="Freeform 8" o:spid="_x0000_s1033" style="position:absolute;left:45477;top:5601;width:23198;height:24356;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" path="m1,251l,2662r4120,251l4120,,1,251xe" fillcolor="#d8d8d8" stroked="f">
                    <v:path arrowok="t" o:connecttype="custom" o:connectlocs="1159894,0;2319787,1217807;1159894,2435614;0,1217807;718175087,0;1436349611,1005753900;718175087,2011507800;0,1005753900;2147483646,0;2147483646,2147483646;2147483646,2147483646;0,2147483646;215801001,2147483646;0,2147483646;2147483646,2147483646;2147483646,0;215801001,2147483646" o:connectangles="270,0,90,180,270,0,90,180,270,0,90,180,0,0,0,0,0" textboxrect="0,0,4120,2913"/>
                  </v:shape>
                  <v:shape id="Freeform 10" o:spid="_x0000_s1034" style="position:absolute;left:134;width:23007;height:35559;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" path="m4086,r-2,4253l,3198,,1072,4086,xe" fillcolor="#d8d8d8" stroked="f">
                    <v:path arrowok="t" o:connecttype="custom" o:connectlocs="1150347,0;2300694,1777964;1150347,3555927;0,1777964;712264682,0;1424528801,1468372104;712264682,2147483646;0,1468372104;2147483646,0;2147483646,2147483646;2147483646,2147483646;0,2147483646;2147483646,0;2147483646,2147483646;0,2147483646;0,2147483646;2147483646,0" o:connectangles="270,0,90,180,270,0,90,180,270,0,90,180,0,0,0,0,0" textboxrect="0,0,4086,4253"/>
                  </v:shape>
                  <v:shape id="Freeform 13" o:spid="_x0000_s1035" style="position:absolute;left:45477;top:2658;width:23097;height:28695;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" path="m,1038l,2411,4102,3432,4102,,,1038xe" fillcolor="#d3dfee" stroked="f">
                    <v:fill opacity="46003f"/>
                    <v:path arrowok="t" o:connecttype="custom" o:connectlocs="1154846,0;2309692,1434762;1154846,2869524;0,1434762;715048999,0;1430097998,1184930304;715048999,2147483646;0,1184930304;2147483646,0;2147483646,2147483646;2147483646,2147483646;0,2147483646;0,2147483646;0,2147483646;2147483646,2147483646;2147483646,0;0,2147483646" o:connectangles="270,0,90,180,270,0,90,180,270,0,90,180,0,0,0,0,0" textboxrect="0,0,4102,3432"/>
                  </v:shape>
                </v:group>
                <v:rect id="Rectangle 66" o:spid="_x0000_s1036" style="position:absolute;left:4716;top:-1660;width:49735;height:6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" filled="f" stroked="f">
                  <v:textbox>
                    <w:txbxContent>
                      <w:p w14:paraId="6B929368" w14:textId="77777777" w:rsidR="00E06378" w:rsidRDefault="00E06378">
                        <w:pPr>
                          <w:jc w:val="center"/>
                          <w:rPr>
                            <w:rFonts w:ascii="Bodoni MT Poster Compressed" w:hAnsi="Bodoni MT Poster Compressed" w:cs="Bodoni MT Poster Compressed"/>
                          </w:rPr>
                        </w:pPr>
                      </w:p>
                    </w:txbxContent>
                  </v:textbox>
                </v:rect>
                <w10:wrap anchorx="page" anchory="margin"/>
              </v:group>
            </w:pict>
          </mc:Fallback>
        </mc:AlternateContent>
      </w:r>
      <w:bookmarkEnd w:id="0"/>
    </w:p>
    <w:p w14:paraId="7334D0A7" w14:textId="77777777" w:rsidR="00733207" w:rsidRDefault="00733207">
      <w:pPr>
        <w:jc w:val="both"/>
      </w:pPr>
    </w:p>
    <w:p w14:paraId="4C357B85" w14:textId="77777777" w:rsidR="00733207" w:rsidRDefault="00912BAE">
      <w:pPr>
        <w:jc w:val="both"/>
      </w:pPr>
      <w:r>
        <w:rPr>
          <w:noProof/>
          <w:sz w:val="32"/>
          <w:lang w:eastAsia="fr-FR"/>
        </w:rPr>
        <mc:AlternateContent>
          <mc:Choice Requires="wps">
            <w:drawing>
              <wp:anchor distT="0" distB="0" distL="114300" distR="114300" simplePos="0" relativeHeight="251663360" behindDoc="0" locked="0" layoutInCell="1" allowOverlap="1" wp14:anchorId="544E774F" wp14:editId="6143FF3E">
                <wp:simplePos x="0" y="0"/>
                <wp:positionH relativeFrom="column">
                  <wp:posOffset>1132840</wp:posOffset>
                </wp:positionH>
                <wp:positionV relativeFrom="paragraph">
                  <wp:posOffset>187960</wp:posOffset>
                </wp:positionV>
                <wp:extent cx="1828800" cy="1828800"/>
                <wp:effectExtent l="0" t="0" r="0" b="0"/>
                <wp:wrapNone/>
                <wp:docPr id="31" name="Zone de texte 31"/>
                <wp:cNvGraphicFramePr/>
                <a:graphic xmlns:a="http://schemas.openxmlformats.org/drawingml/2006/main">
                  <a:graphicData uri="http://schemas.microsoft.com/office/word/2010/wordprocessingShape">
                    <wps:wsp>
                      <wps:cNvSpPr txBox="1"/>
                      <wps:spPr>
                        <a:xfrm>
                          <a:off x="2070735" y="1245235"/>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138A6" w14:textId="77777777" w:rsidR="00E06378" w:rsidRDefault="00E06378">
                            <w:pPr>
                              <w:rPr>
                                <w:b/>
                                <w:bCs/>
                                <w:color w:val="000000" w:themeColor="text1"/>
                                <w:sz w:val="72"/>
                                <w:szCs w:val="72"/>
                                <w14:shadow w14:blurRad="38100" w14:dist="19050" w14:dir="2700000" w14:sx="100000" w14:sy="100000" w14:kx="0" w14:ky="0" w14:algn="tl">
                                  <w14:schemeClr w14:val="dk1">
                                    <w14:alpha w14:val="60000"/>
                                  </w14:schemeClr>
                                </w14:shadow>
                              </w:rPr>
                            </w:pP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w14:anchorId="544E774F" id="Zone de texte 31" o:spid="_x0000_s1037" type="#_x0000_t202" style="position:absolute;left:0;text-align:left;margin-left:89.2pt;margin-top:14.8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" filled="f" stroked="f" strokeweight=".5pt">
                <v:textbox style="mso-fit-shape-to-text:t">
                  <w:txbxContent>
                    <w:p w14:paraId="3E2138A6" w14:textId="77777777" w:rsidR="00E06378" w:rsidRDefault="00E06378">
                      <w:pPr>
                        <w:rPr>
                          <w:b/>
                          <w:bCs/>
                          <w:color w:val="000000" w:themeColor="text1"/>
                          <w:sz w:val="72"/>
                          <w:szCs w:val="72"/>
                          <w14:shadow w14:blurRad="38100" w14:dist="19050" w14:dir="2700000" w14:sx="100000" w14:sy="100000" w14:kx="0" w14:ky="0" w14:algn="tl">
                            <w14:schemeClr w14:val="dk1">
                              <w14:alpha w14:val="60000"/>
                            </w14:schemeClr>
                          </w14:shadow>
                        </w:rPr>
                      </w:pPr>
                    </w:p>
                  </w:txbxContent>
                </v:textbox>
              </v:shape>
            </w:pict>
          </mc:Fallback>
        </mc:AlternateContent>
      </w:r>
    </w:p>
    <w:p w14:paraId="3AD08A0A" w14:textId="77777777" w:rsidR="00733207" w:rsidRDefault="00733207">
      <w:pPr>
        <w:jc w:val="both"/>
      </w:pPr>
    </w:p>
    <w:p w14:paraId="6D4C6A9C" w14:textId="77777777" w:rsidR="00733207" w:rsidRDefault="00733207">
      <w:pPr>
        <w:jc w:val="both"/>
      </w:pPr>
    </w:p>
    <w:p w14:paraId="27A2DFBB" w14:textId="77777777" w:rsidR="00733207" w:rsidRDefault="00733207">
      <w:pPr>
        <w:jc w:val="both"/>
      </w:pPr>
    </w:p>
    <w:p w14:paraId="2E6DC28E" w14:textId="77777777" w:rsidR="00733207" w:rsidRDefault="00733207">
      <w:pPr>
        <w:jc w:val="both"/>
      </w:pPr>
    </w:p>
    <w:p w14:paraId="43CD8F36" w14:textId="77777777" w:rsidR="00733207" w:rsidRDefault="00733207">
      <w:pPr>
        <w:jc w:val="both"/>
      </w:pPr>
    </w:p>
    <w:p w14:paraId="40D826C1" w14:textId="77777777" w:rsidR="00733207" w:rsidRDefault="00733207">
      <w:pPr>
        <w:jc w:val="both"/>
        <w:rPr>
          <w:rFonts w:ascii="Rockwell" w:hAnsi="Rockwell"/>
          <w:sz w:val="80"/>
          <w:szCs w:val="80"/>
        </w:rPr>
      </w:pPr>
    </w:p>
    <w:p w14:paraId="67DE5BAD" w14:textId="77777777" w:rsidR="00733207" w:rsidRDefault="00912BAE">
      <w:pPr>
        <w:jc w:val="center"/>
        <w:rPr>
          <w:rFonts w:ascii="Rockwell" w:hAnsi="Rockwell"/>
          <w:sz w:val="80"/>
          <w:szCs w:val="80"/>
        </w:rPr>
      </w:pPr>
      <w:r>
        <w:rPr>
          <w:rFonts w:ascii="Rockwell" w:hAnsi="Rockwell"/>
          <w:sz w:val="80"/>
          <w:szCs w:val="80"/>
        </w:rPr>
        <w:t>RAPPORT PUBLIC 2023</w:t>
      </w:r>
    </w:p>
    <w:p w14:paraId="586FEC8A" w14:textId="77777777" w:rsidR="00733207" w:rsidRDefault="00733207">
      <w:pPr>
        <w:jc w:val="both"/>
      </w:pPr>
    </w:p>
    <w:p w14:paraId="626D71FB" w14:textId="77777777" w:rsidR="00733207" w:rsidRDefault="00912BAE">
      <w:pPr>
        <w:jc w:val="both"/>
        <w:rPr>
          <w:sz w:val="32"/>
          <w:szCs w:val="32"/>
        </w:rPr>
        <w:sectPr w:rsidR="00733207">
          <w:footerReference w:type="default" r:id="rId9"/>
          <w:pgSz w:w="11906" w:h="16838"/>
          <w:pgMar w:top="1417" w:right="1417" w:bottom="1417" w:left="1417" w:header="708" w:footer="708" w:gutter="0"/>
          <w:cols w:space="708"/>
          <w:docGrid w:linePitch="360"/>
        </w:sectPr>
      </w:pPr>
      <w:r>
        <w:t xml:space="preserve"> </w:t>
      </w:r>
    </w:p>
    <w:p w14:paraId="169A6CB7" w14:textId="77777777" w:rsidR="00733207" w:rsidRDefault="00912BAE">
      <w:pPr>
        <w:spacing w:before="240" w:after="240"/>
        <w:jc w:val="center"/>
        <w:rPr>
          <w:rFonts w:ascii="Rockwell" w:hAnsi="Rockwell"/>
          <w:b/>
          <w:sz w:val="32"/>
          <w:szCs w:val="32"/>
        </w:rPr>
      </w:pPr>
      <w:r>
        <w:rPr>
          <w:rFonts w:ascii="Rockwell" w:hAnsi="Rockwell"/>
          <w:b/>
          <w:sz w:val="32"/>
          <w:szCs w:val="32"/>
        </w:rPr>
        <w:lastRenderedPageBreak/>
        <w:t>SOMMAIRE</w:t>
      </w:r>
      <w:bookmarkEnd w:id="1"/>
      <w:bookmarkEnd w:id="2"/>
      <w:bookmarkEnd w:id="3"/>
    </w:p>
    <w:p w14:paraId="3D4975E2" w14:textId="77777777" w:rsidR="00733207" w:rsidRDefault="00912BAE">
      <w:pPr>
        <w:pStyle w:val="TM1"/>
        <w:tabs>
          <w:tab w:val="right" w:leader="dot" w:pos="9062"/>
        </w:tabs>
        <w:jc w:val="both"/>
        <w:rPr>
          <w:rFonts w:ascii="Rockwell" w:hAnsi="Rockwell" w:cstheme="minorBidi"/>
        </w:rPr>
      </w:pPr>
      <w:r>
        <w:rPr>
          <w:rFonts w:ascii="Rockwell" w:hAnsi="Rockwell"/>
        </w:rPr>
        <w:fldChar w:fldCharType="begin"/>
      </w:r>
      <w:r>
        <w:rPr>
          <w:rFonts w:ascii="Rockwell" w:hAnsi="Rockwell"/>
        </w:rPr>
        <w:instrText xml:space="preserve"> TOC \o "1-3" \h \z \u </w:instrText>
      </w:r>
      <w:r>
        <w:rPr>
          <w:rFonts w:ascii="Rockwell" w:hAnsi="Rockwell"/>
        </w:rPr>
        <w:fldChar w:fldCharType="separate"/>
      </w:r>
      <w:hyperlink w:anchor="_Toc170209311" w:history="1">
        <w:r>
          <w:rPr>
            <w:rStyle w:val="Lienhypertexte"/>
            <w:rFonts w:ascii="Rockwell" w:hAnsi="Rockwell"/>
            <w:b/>
          </w:rPr>
          <w:t>SIGLES ET ABREVIATIONS</w:t>
        </w:r>
        <w:r>
          <w:rPr>
            <w:rFonts w:ascii="Rockwell" w:hAnsi="Rockwell"/>
          </w:rPr>
          <w:tab/>
        </w:r>
        <w:r>
          <w:rPr>
            <w:rFonts w:ascii="Rockwell" w:hAnsi="Rockwell"/>
          </w:rPr>
          <w:fldChar w:fldCharType="begin"/>
        </w:r>
        <w:r>
          <w:rPr>
            <w:rFonts w:ascii="Rockwell" w:hAnsi="Rockwell"/>
          </w:rPr>
          <w:instrText xml:space="preserve"> PAGEREF _Toc170209311 \h </w:instrText>
        </w:r>
        <w:r>
          <w:rPr>
            <w:rFonts w:ascii="Rockwell" w:hAnsi="Rockwell"/>
          </w:rPr>
        </w:r>
        <w:r>
          <w:rPr>
            <w:rFonts w:ascii="Rockwell" w:hAnsi="Rockwell"/>
          </w:rPr>
          <w:fldChar w:fldCharType="separate"/>
        </w:r>
        <w:r>
          <w:rPr>
            <w:rFonts w:ascii="Rockwell" w:hAnsi="Rockwell"/>
          </w:rPr>
          <w:t>4</w:t>
        </w:r>
        <w:r>
          <w:rPr>
            <w:rFonts w:ascii="Rockwell" w:hAnsi="Rockwell"/>
          </w:rPr>
          <w:fldChar w:fldCharType="end"/>
        </w:r>
      </w:hyperlink>
    </w:p>
    <w:p w14:paraId="463C2AEE" w14:textId="77777777" w:rsidR="00733207" w:rsidRDefault="00E06378">
      <w:pPr>
        <w:pStyle w:val="TM1"/>
        <w:tabs>
          <w:tab w:val="right" w:leader="dot" w:pos="9062"/>
        </w:tabs>
        <w:jc w:val="both"/>
        <w:rPr>
          <w:rFonts w:ascii="Rockwell" w:hAnsi="Rockwell" w:cstheme="minorBidi"/>
        </w:rPr>
      </w:pPr>
      <w:hyperlink w:anchor="_Toc170209312" w:history="1">
        <w:r w:rsidR="00912BAE">
          <w:rPr>
            <w:rStyle w:val="Lienhypertexte"/>
            <w:rFonts w:ascii="Rockwell" w:hAnsi="Rockwell"/>
            <w:b/>
          </w:rPr>
          <w:t>AVANT-PROPOS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_Toc170209312 \h </w:instrText>
        </w:r>
        <w:r w:rsidR="00912BAE">
          <w:rPr>
            <w:rFonts w:ascii="Rockwell" w:hAnsi="Rockwell"/>
          </w:rPr>
        </w:r>
        <w:r w:rsidR="00912BAE">
          <w:rPr>
            <w:rFonts w:ascii="Rockwell" w:hAnsi="Rockwell"/>
          </w:rPr>
          <w:fldChar w:fldCharType="separate"/>
        </w:r>
        <w:r w:rsidR="00912BAE">
          <w:rPr>
            <w:rFonts w:ascii="Rockwell" w:hAnsi="Rockwell"/>
          </w:rPr>
          <w:t>10</w:t>
        </w:r>
        <w:r w:rsidR="00912BAE">
          <w:rPr>
            <w:rFonts w:ascii="Rockwell" w:hAnsi="Rockwell"/>
          </w:rPr>
          <w:fldChar w:fldCharType="end"/>
        </w:r>
      </w:hyperlink>
    </w:p>
    <w:p w14:paraId="0D47BF69" w14:textId="77777777" w:rsidR="00733207" w:rsidRDefault="00E06378">
      <w:pPr>
        <w:pStyle w:val="TM1"/>
        <w:tabs>
          <w:tab w:val="right" w:leader="dot" w:pos="9062"/>
        </w:tabs>
        <w:jc w:val="both"/>
        <w:rPr>
          <w:rFonts w:ascii="Rockwell" w:hAnsi="Rockwell" w:cstheme="minorBidi"/>
        </w:rPr>
      </w:pPr>
      <w:hyperlink w:anchor="_Toc170209313" w:history="1">
        <w:r w:rsidR="00912BAE">
          <w:rPr>
            <w:rStyle w:val="Lienhypertexte"/>
            <w:rFonts w:ascii="Rockwell" w:hAnsi="Rockwell"/>
            <w:b/>
          </w:rPr>
          <w:t>PRESENTATION DU CONSEIL SUPERIEUR DE LA COMMUNICATION</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_Toc170209313 \h </w:instrText>
        </w:r>
        <w:r w:rsidR="00912BAE">
          <w:rPr>
            <w:rFonts w:ascii="Rockwell" w:hAnsi="Rockwell"/>
          </w:rPr>
        </w:r>
        <w:r w:rsidR="00912BAE">
          <w:rPr>
            <w:rFonts w:ascii="Rockwell" w:hAnsi="Rockwell"/>
          </w:rPr>
          <w:fldChar w:fldCharType="separate"/>
        </w:r>
        <w:r w:rsidR="00912BAE">
          <w:rPr>
            <w:rFonts w:ascii="Rockwell" w:hAnsi="Rockwell"/>
          </w:rPr>
          <w:t>12</w:t>
        </w:r>
        <w:r w:rsidR="00912BAE">
          <w:rPr>
            <w:rFonts w:ascii="Rockwell" w:hAnsi="Rockwell"/>
          </w:rPr>
          <w:fldChar w:fldCharType="end"/>
        </w:r>
      </w:hyperlink>
    </w:p>
    <w:p w14:paraId="1486D58C" w14:textId="77777777" w:rsidR="00733207" w:rsidRDefault="00E06378">
      <w:pPr>
        <w:pStyle w:val="TM1"/>
        <w:tabs>
          <w:tab w:val="right" w:leader="dot" w:pos="9062"/>
        </w:tabs>
        <w:jc w:val="both"/>
        <w:rPr>
          <w:rFonts w:ascii="Rockwell" w:hAnsi="Rockwell" w:cstheme="minorBidi"/>
        </w:rPr>
      </w:pPr>
      <w:hyperlink w:anchor="_Toc170209314" w:history="1">
        <w:r w:rsidR="00912BAE">
          <w:rPr>
            <w:rStyle w:val="Lienhypertexte"/>
            <w:rFonts w:ascii="Rockwell" w:hAnsi="Rockwell"/>
            <w:b/>
          </w:rPr>
          <w:t>COMPOSITION DU COLLEGE DES CONSEILLERS EN 2023</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_Toc170209314 \h </w:instrText>
        </w:r>
        <w:r w:rsidR="00912BAE">
          <w:rPr>
            <w:rFonts w:ascii="Rockwell" w:hAnsi="Rockwell"/>
          </w:rPr>
        </w:r>
        <w:r w:rsidR="00912BAE">
          <w:rPr>
            <w:rFonts w:ascii="Rockwell" w:hAnsi="Rockwell"/>
          </w:rPr>
          <w:fldChar w:fldCharType="separate"/>
        </w:r>
        <w:r w:rsidR="00912BAE">
          <w:rPr>
            <w:rFonts w:ascii="Rockwell" w:hAnsi="Rockwell"/>
          </w:rPr>
          <w:t>16</w:t>
        </w:r>
        <w:r w:rsidR="00912BAE">
          <w:rPr>
            <w:rFonts w:ascii="Rockwell" w:hAnsi="Rockwell"/>
          </w:rPr>
          <w:fldChar w:fldCharType="end"/>
        </w:r>
      </w:hyperlink>
    </w:p>
    <w:p w14:paraId="13BB0A65" w14:textId="77777777" w:rsidR="00733207" w:rsidRDefault="00E06378">
      <w:pPr>
        <w:pStyle w:val="TM1"/>
        <w:tabs>
          <w:tab w:val="right" w:leader="dot" w:pos="9062"/>
        </w:tabs>
        <w:jc w:val="both"/>
        <w:rPr>
          <w:rFonts w:ascii="Rockwell" w:hAnsi="Rockwell" w:cstheme="minorBidi"/>
        </w:rPr>
      </w:pPr>
      <w:hyperlink w:anchor="_Toc170209315" w:history="1">
        <w:r w:rsidR="00912BAE">
          <w:rPr>
            <w:rStyle w:val="Lienhypertexte"/>
            <w:rFonts w:ascii="Rockwell" w:hAnsi="Rockwell"/>
            <w:b/>
          </w:rPr>
          <w:t>INTRODUCTION</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_Toc170209315 \h </w:instrText>
        </w:r>
        <w:r w:rsidR="00912BAE">
          <w:rPr>
            <w:rFonts w:ascii="Rockwell" w:hAnsi="Rockwell"/>
          </w:rPr>
        </w:r>
        <w:r w:rsidR="00912BAE">
          <w:rPr>
            <w:rFonts w:ascii="Rockwell" w:hAnsi="Rockwell"/>
          </w:rPr>
          <w:fldChar w:fldCharType="separate"/>
        </w:r>
        <w:r w:rsidR="00912BAE">
          <w:rPr>
            <w:rFonts w:ascii="Rockwell" w:hAnsi="Rockwell"/>
          </w:rPr>
          <w:t>18</w:t>
        </w:r>
        <w:r w:rsidR="00912BAE">
          <w:rPr>
            <w:rFonts w:ascii="Rockwell" w:hAnsi="Rockwell"/>
          </w:rPr>
          <w:fldChar w:fldCharType="end"/>
        </w:r>
      </w:hyperlink>
    </w:p>
    <w:p w14:paraId="098A7074" w14:textId="77777777" w:rsidR="00733207" w:rsidRDefault="00E06378">
      <w:pPr>
        <w:pStyle w:val="TM1"/>
        <w:tabs>
          <w:tab w:val="right" w:leader="dot" w:pos="9062"/>
        </w:tabs>
        <w:jc w:val="both"/>
        <w:rPr>
          <w:rFonts w:ascii="Rockwell" w:hAnsi="Rockwell" w:cstheme="minorBidi"/>
        </w:rPr>
      </w:pPr>
      <w:hyperlink w:anchor="_Toc170209316" w:history="1">
        <w:r w:rsidR="00912BAE">
          <w:rPr>
            <w:rStyle w:val="Lienhypertexte"/>
            <w:rFonts w:ascii="Rockwell" w:hAnsi="Rockwell"/>
            <w:b/>
          </w:rPr>
          <w:t>PREMIERE PARTIE : LA REGULATION DANS UN CONTEXTE DIFFICILE D’INSTABILITE ET DE CRISE SOCIO-SECURITAIRE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_Toc170209316 \h </w:instrText>
        </w:r>
        <w:r w:rsidR="00912BAE">
          <w:rPr>
            <w:rFonts w:ascii="Rockwell" w:hAnsi="Rockwell"/>
          </w:rPr>
        </w:r>
        <w:r w:rsidR="00912BAE">
          <w:rPr>
            <w:rFonts w:ascii="Rockwell" w:hAnsi="Rockwell"/>
          </w:rPr>
          <w:fldChar w:fldCharType="separate"/>
        </w:r>
        <w:r w:rsidR="00912BAE">
          <w:rPr>
            <w:rFonts w:ascii="Rockwell" w:hAnsi="Rockwell"/>
          </w:rPr>
          <w:t>20</w:t>
        </w:r>
        <w:r w:rsidR="00912BAE">
          <w:rPr>
            <w:rFonts w:ascii="Rockwell" w:hAnsi="Rockwell"/>
          </w:rPr>
          <w:fldChar w:fldCharType="end"/>
        </w:r>
      </w:hyperlink>
    </w:p>
    <w:p w14:paraId="1F08C89E" w14:textId="77777777" w:rsidR="00733207" w:rsidRDefault="00E06378">
      <w:pPr>
        <w:pStyle w:val="TM2"/>
        <w:jc w:val="both"/>
        <w:rPr>
          <w:rFonts w:ascii="Rockwell" w:hAnsi="Rockwell" w:cstheme="minorBidi"/>
        </w:rPr>
      </w:pPr>
      <w:hyperlink w:anchor="_Toc170209317" w:history="1">
        <w:r w:rsidR="00912BAE">
          <w:rPr>
            <w:rStyle w:val="Lienhypertexte"/>
            <w:rFonts w:ascii="Rockwell" w:hAnsi="Rockwell"/>
            <w:b/>
          </w:rPr>
          <w:t>CHAPITRE I : RELANCE DES ACTIVITES DU CONSEIL SUPERIEUR DE LA COMMUNICATION</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_Toc170209317 \h </w:instrText>
        </w:r>
        <w:r w:rsidR="00912BAE">
          <w:rPr>
            <w:rFonts w:ascii="Rockwell" w:hAnsi="Rockwell"/>
          </w:rPr>
        </w:r>
        <w:r w:rsidR="00912BAE">
          <w:rPr>
            <w:rFonts w:ascii="Rockwell" w:hAnsi="Rockwell"/>
          </w:rPr>
          <w:fldChar w:fldCharType="separate"/>
        </w:r>
        <w:r w:rsidR="00912BAE">
          <w:rPr>
            <w:rFonts w:ascii="Rockwell" w:hAnsi="Rockwell"/>
          </w:rPr>
          <w:t>21</w:t>
        </w:r>
        <w:r w:rsidR="00912BAE">
          <w:rPr>
            <w:rFonts w:ascii="Rockwell" w:hAnsi="Rockwell"/>
          </w:rPr>
          <w:fldChar w:fldCharType="end"/>
        </w:r>
      </w:hyperlink>
    </w:p>
    <w:p w14:paraId="2F050AE6" w14:textId="77777777" w:rsidR="00733207" w:rsidRDefault="00E06378">
      <w:pPr>
        <w:pStyle w:val="TM3"/>
        <w:tabs>
          <w:tab w:val="right" w:leader="dot" w:pos="9062"/>
        </w:tabs>
        <w:jc w:val="both"/>
        <w:rPr>
          <w:rFonts w:ascii="Rockwell" w:hAnsi="Rockwell" w:cstheme="minorBidi"/>
        </w:rPr>
      </w:pPr>
      <w:hyperlink w:anchor="_Toc170209318" w:history="1">
        <w:r w:rsidR="00912BAE">
          <w:rPr>
            <w:rStyle w:val="Lienhypertexte"/>
            <w:rFonts w:ascii="Rockwell" w:hAnsi="Rockwell"/>
            <w:i/>
          </w:rPr>
          <w:t>SECTION 1 : ELECTION ET PRISE DE FONCTION DU PRESIDENT ABDOULAZIZE BAMOGO</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_Toc170209318 \h </w:instrText>
        </w:r>
        <w:r w:rsidR="00912BAE">
          <w:rPr>
            <w:rFonts w:ascii="Rockwell" w:hAnsi="Rockwell"/>
          </w:rPr>
        </w:r>
        <w:r w:rsidR="00912BAE">
          <w:rPr>
            <w:rFonts w:ascii="Rockwell" w:hAnsi="Rockwell"/>
          </w:rPr>
          <w:fldChar w:fldCharType="separate"/>
        </w:r>
        <w:r w:rsidR="00912BAE">
          <w:rPr>
            <w:rFonts w:ascii="Rockwell" w:hAnsi="Rockwell"/>
          </w:rPr>
          <w:t>21</w:t>
        </w:r>
        <w:r w:rsidR="00912BAE">
          <w:rPr>
            <w:rFonts w:ascii="Rockwell" w:hAnsi="Rockwell"/>
          </w:rPr>
          <w:fldChar w:fldCharType="end"/>
        </w:r>
      </w:hyperlink>
    </w:p>
    <w:p w14:paraId="6F7FE78D" w14:textId="77777777" w:rsidR="00733207" w:rsidRDefault="00E06378">
      <w:pPr>
        <w:pStyle w:val="TM3"/>
        <w:tabs>
          <w:tab w:val="right" w:leader="dot" w:pos="9062"/>
        </w:tabs>
        <w:jc w:val="both"/>
        <w:rPr>
          <w:rFonts w:ascii="Rockwell" w:hAnsi="Rockwell" w:cstheme="minorBidi"/>
        </w:rPr>
      </w:pPr>
      <w:hyperlink w:anchor="_Toc170209319" w:history="1">
        <w:r w:rsidR="00912BAE">
          <w:rPr>
            <w:rStyle w:val="Lienhypertexte"/>
            <w:rFonts w:ascii="Rockwell" w:hAnsi="Rockwell"/>
          </w:rPr>
          <w:t>SECTION 2 : UNE NOUVELLE VISION POUR REPONDRE AUX DEFIS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_Toc170209319 \h </w:instrText>
        </w:r>
        <w:r w:rsidR="00912BAE">
          <w:rPr>
            <w:rFonts w:ascii="Rockwell" w:hAnsi="Rockwell"/>
          </w:rPr>
        </w:r>
        <w:r w:rsidR="00912BAE">
          <w:rPr>
            <w:rFonts w:ascii="Rockwell" w:hAnsi="Rockwell"/>
          </w:rPr>
          <w:fldChar w:fldCharType="separate"/>
        </w:r>
        <w:r w:rsidR="00912BAE">
          <w:rPr>
            <w:rFonts w:ascii="Rockwell" w:hAnsi="Rockwell"/>
          </w:rPr>
          <w:t>23</w:t>
        </w:r>
        <w:r w:rsidR="00912BAE">
          <w:rPr>
            <w:rFonts w:ascii="Rockwell" w:hAnsi="Rockwell"/>
          </w:rPr>
          <w:fldChar w:fldCharType="end"/>
        </w:r>
      </w:hyperlink>
    </w:p>
    <w:p w14:paraId="18E30FCD" w14:textId="77777777" w:rsidR="00733207" w:rsidRDefault="00E06378">
      <w:pPr>
        <w:pStyle w:val="TM2"/>
        <w:jc w:val="both"/>
        <w:rPr>
          <w:rFonts w:ascii="Rockwell" w:hAnsi="Rockwell" w:cstheme="minorBidi"/>
        </w:rPr>
      </w:pPr>
      <w:hyperlink w:anchor="_Toc170209320" w:history="1">
        <w:r w:rsidR="00912BAE">
          <w:rPr>
            <w:rStyle w:val="Lienhypertexte"/>
            <w:rFonts w:ascii="Rockwell" w:hAnsi="Rockwell"/>
            <w:b/>
          </w:rPr>
          <w:t>CHAPITRE II : AUTRES ACTIONS DE PROMOTION DE PAIX ET DE COHESION SOCIALE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_Toc170209320 \h </w:instrText>
        </w:r>
        <w:r w:rsidR="00912BAE">
          <w:rPr>
            <w:rFonts w:ascii="Rockwell" w:hAnsi="Rockwell"/>
          </w:rPr>
        </w:r>
        <w:r w:rsidR="00912BAE">
          <w:rPr>
            <w:rFonts w:ascii="Rockwell" w:hAnsi="Rockwell"/>
          </w:rPr>
          <w:fldChar w:fldCharType="separate"/>
        </w:r>
        <w:r w:rsidR="00912BAE">
          <w:rPr>
            <w:rFonts w:ascii="Rockwell" w:hAnsi="Rockwell"/>
          </w:rPr>
          <w:t>41</w:t>
        </w:r>
        <w:r w:rsidR="00912BAE">
          <w:rPr>
            <w:rFonts w:ascii="Rockwell" w:hAnsi="Rockwell"/>
          </w:rPr>
          <w:fldChar w:fldCharType="end"/>
        </w:r>
      </w:hyperlink>
    </w:p>
    <w:p w14:paraId="59E1DD73" w14:textId="77777777" w:rsidR="00733207" w:rsidRDefault="00E06378">
      <w:pPr>
        <w:pStyle w:val="TM3"/>
        <w:tabs>
          <w:tab w:val="right" w:leader="dot" w:pos="9062"/>
        </w:tabs>
        <w:jc w:val="both"/>
        <w:rPr>
          <w:rFonts w:ascii="Rockwell" w:hAnsi="Rockwell" w:cstheme="minorBidi"/>
        </w:rPr>
      </w:pPr>
      <w:hyperlink w:anchor="_Toc170209321" w:history="1">
        <w:r w:rsidR="00912BAE">
          <w:rPr>
            <w:rStyle w:val="Lienhypertexte"/>
            <w:rFonts w:ascii="Rockwell" w:hAnsi="Rockwell"/>
            <w:i/>
          </w:rPr>
          <w:t>SECTION 1 : LUTTE CONTRE LES FAKE-NEWS ET LES DISCOURS DE HAINE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_Toc170209321 \h </w:instrText>
        </w:r>
        <w:r w:rsidR="00912BAE">
          <w:rPr>
            <w:rFonts w:ascii="Rockwell" w:hAnsi="Rockwell"/>
          </w:rPr>
        </w:r>
        <w:r w:rsidR="00912BAE">
          <w:rPr>
            <w:rFonts w:ascii="Rockwell" w:hAnsi="Rockwell"/>
          </w:rPr>
          <w:fldChar w:fldCharType="separate"/>
        </w:r>
        <w:r w:rsidR="00912BAE">
          <w:rPr>
            <w:rFonts w:ascii="Rockwell" w:hAnsi="Rockwell"/>
          </w:rPr>
          <w:t>41</w:t>
        </w:r>
        <w:r w:rsidR="00912BAE">
          <w:rPr>
            <w:rFonts w:ascii="Rockwell" w:hAnsi="Rockwell"/>
          </w:rPr>
          <w:fldChar w:fldCharType="end"/>
        </w:r>
      </w:hyperlink>
    </w:p>
    <w:p w14:paraId="48F96489" w14:textId="77777777" w:rsidR="00733207" w:rsidRDefault="00E06378">
      <w:pPr>
        <w:pStyle w:val="TM3"/>
        <w:tabs>
          <w:tab w:val="right" w:leader="dot" w:pos="9062"/>
        </w:tabs>
        <w:jc w:val="both"/>
        <w:rPr>
          <w:rFonts w:ascii="Rockwell" w:hAnsi="Rockwell" w:cstheme="minorBidi"/>
        </w:rPr>
      </w:pPr>
      <w:hyperlink w:anchor="_Toc170209322" w:history="1">
        <w:r w:rsidR="00912BAE">
          <w:rPr>
            <w:rStyle w:val="Lienhypertexte"/>
            <w:rFonts w:ascii="Rockwell" w:hAnsi="Rockwell"/>
            <w:i/>
          </w:rPr>
          <w:t>SECTION 2 : INSTAURATION D’UN MANDAT DE PREDICATEUR DANS LES MEDIAS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_Toc170209322 \h </w:instrText>
        </w:r>
        <w:r w:rsidR="00912BAE">
          <w:rPr>
            <w:rFonts w:ascii="Rockwell" w:hAnsi="Rockwell"/>
          </w:rPr>
        </w:r>
        <w:r w:rsidR="00912BAE">
          <w:rPr>
            <w:rFonts w:ascii="Rockwell" w:hAnsi="Rockwell"/>
          </w:rPr>
          <w:fldChar w:fldCharType="separate"/>
        </w:r>
        <w:r w:rsidR="00912BAE">
          <w:rPr>
            <w:rFonts w:ascii="Rockwell" w:hAnsi="Rockwell"/>
          </w:rPr>
          <w:t>41</w:t>
        </w:r>
        <w:r w:rsidR="00912BAE">
          <w:rPr>
            <w:rFonts w:ascii="Rockwell" w:hAnsi="Rockwell"/>
          </w:rPr>
          <w:fldChar w:fldCharType="end"/>
        </w:r>
      </w:hyperlink>
    </w:p>
    <w:p w14:paraId="2292BADB" w14:textId="77777777" w:rsidR="00733207" w:rsidRDefault="00E06378">
      <w:pPr>
        <w:pStyle w:val="TM3"/>
        <w:tabs>
          <w:tab w:val="right" w:leader="dot" w:pos="9062"/>
        </w:tabs>
        <w:jc w:val="both"/>
        <w:rPr>
          <w:rFonts w:ascii="Rockwell" w:hAnsi="Rockwell" w:cstheme="minorBidi"/>
        </w:rPr>
      </w:pPr>
      <w:hyperlink w:anchor="_Toc170209323" w:history="1">
        <w:r w:rsidR="00912BAE">
          <w:rPr>
            <w:rStyle w:val="Lienhypertexte"/>
            <w:rFonts w:ascii="Rockwell" w:hAnsi="Rockwell"/>
            <w:i/>
          </w:rPr>
          <w:t>SECTION 3 : MISE EN PLACE D’UN PLAN D’ACTIONS DES JOURNALISTES ET COMMUNICATEURS CONFESSIONNELS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_Toc170209323 \h </w:instrText>
        </w:r>
        <w:r w:rsidR="00912BAE">
          <w:rPr>
            <w:rFonts w:ascii="Rockwell" w:hAnsi="Rockwell"/>
          </w:rPr>
        </w:r>
        <w:r w:rsidR="00912BAE">
          <w:rPr>
            <w:rFonts w:ascii="Rockwell" w:hAnsi="Rockwell"/>
          </w:rPr>
          <w:fldChar w:fldCharType="separate"/>
        </w:r>
        <w:r w:rsidR="00912BAE">
          <w:rPr>
            <w:rFonts w:ascii="Rockwell" w:hAnsi="Rockwell"/>
          </w:rPr>
          <w:t>42</w:t>
        </w:r>
        <w:r w:rsidR="00912BAE">
          <w:rPr>
            <w:rFonts w:ascii="Rockwell" w:hAnsi="Rockwell"/>
          </w:rPr>
          <w:fldChar w:fldCharType="end"/>
        </w:r>
      </w:hyperlink>
    </w:p>
    <w:p w14:paraId="72172A4A" w14:textId="77777777" w:rsidR="00733207" w:rsidRDefault="00E06378">
      <w:pPr>
        <w:pStyle w:val="TM3"/>
        <w:tabs>
          <w:tab w:val="right" w:leader="dot" w:pos="9062"/>
        </w:tabs>
        <w:jc w:val="both"/>
        <w:rPr>
          <w:rFonts w:ascii="Rockwell" w:hAnsi="Rockwell" w:cstheme="minorBidi"/>
        </w:rPr>
      </w:pPr>
      <w:hyperlink w:anchor="_Toc170209324" w:history="1">
        <w:r w:rsidR="00912BAE">
          <w:rPr>
            <w:rStyle w:val="Lienhypertexte"/>
            <w:rFonts w:ascii="Rockwell" w:hAnsi="Rockwell"/>
            <w:i/>
          </w:rPr>
          <w:t>SECTION 4 : PARRAINAGE DU 6</w:t>
        </w:r>
        <w:r w:rsidR="00912BAE">
          <w:rPr>
            <w:rStyle w:val="Lienhypertexte"/>
            <w:rFonts w:ascii="Rockwell" w:hAnsi="Rockwell"/>
            <w:i/>
            <w:vertAlign w:val="superscript"/>
          </w:rPr>
          <w:t>E</w:t>
        </w:r>
        <w:r w:rsidR="00912BAE">
          <w:rPr>
            <w:rStyle w:val="Lienhypertexte"/>
            <w:rFonts w:ascii="Rockwell" w:hAnsi="Rockwell"/>
            <w:i/>
          </w:rPr>
          <w:t xml:space="preserve"> FORUM DES MEDIAS CHRETIENS D’AFRIQUE FRANCOPHONE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_Toc170209324 \h </w:instrText>
        </w:r>
        <w:r w:rsidR="00912BAE">
          <w:rPr>
            <w:rFonts w:ascii="Rockwell" w:hAnsi="Rockwell"/>
          </w:rPr>
        </w:r>
        <w:r w:rsidR="00912BAE">
          <w:rPr>
            <w:rFonts w:ascii="Rockwell" w:hAnsi="Rockwell"/>
          </w:rPr>
          <w:fldChar w:fldCharType="separate"/>
        </w:r>
        <w:r w:rsidR="00912BAE">
          <w:rPr>
            <w:rFonts w:ascii="Rockwell" w:hAnsi="Rockwell"/>
          </w:rPr>
          <w:t>43</w:t>
        </w:r>
        <w:r w:rsidR="00912BAE">
          <w:rPr>
            <w:rFonts w:ascii="Rockwell" w:hAnsi="Rockwell"/>
          </w:rPr>
          <w:fldChar w:fldCharType="end"/>
        </w:r>
      </w:hyperlink>
    </w:p>
    <w:p w14:paraId="7DBE44B4" w14:textId="77777777" w:rsidR="00733207" w:rsidRDefault="00E06378">
      <w:pPr>
        <w:pStyle w:val="TM3"/>
        <w:tabs>
          <w:tab w:val="right" w:leader="dot" w:pos="9062"/>
        </w:tabs>
        <w:jc w:val="both"/>
        <w:rPr>
          <w:rFonts w:ascii="Rockwell" w:hAnsi="Rockwell" w:cstheme="minorBidi"/>
        </w:rPr>
      </w:pPr>
      <w:hyperlink w:anchor="_Toc170209325" w:history="1">
        <w:r w:rsidR="00912BAE">
          <w:rPr>
            <w:rStyle w:val="Lienhypertexte"/>
            <w:rFonts w:ascii="Rockwell" w:eastAsia="Times New Roman" w:hAnsi="Rockwell"/>
            <w:i/>
          </w:rPr>
          <w:t>SECTION 5 : PARTICIPATION AU LANCEMENT DE LA</w:t>
        </w:r>
        <w:r w:rsidR="00912BAE">
          <w:rPr>
            <w:rStyle w:val="Lienhypertexte"/>
            <w:rFonts w:ascii="Rockwell" w:eastAsia="Times New Roman" w:hAnsi="Rockwell"/>
            <w:b/>
            <w:i/>
          </w:rPr>
          <w:t xml:space="preserve"> </w:t>
        </w:r>
        <w:r w:rsidR="00912BAE">
          <w:rPr>
            <w:rStyle w:val="Lienhypertexte"/>
            <w:rFonts w:ascii="Rockwell" w:eastAsia="Times New Roman" w:hAnsi="Rockwell"/>
            <w:i/>
          </w:rPr>
          <w:t>CAMPAGNE</w:t>
        </w:r>
        <w:r w:rsidR="00912BAE">
          <w:rPr>
            <w:rStyle w:val="Lienhypertexte"/>
            <w:rFonts w:ascii="Rockwell" w:eastAsia="Times New Roman" w:hAnsi="Rockwell"/>
            <w:b/>
            <w:i/>
          </w:rPr>
          <w:t xml:space="preserve"> </w:t>
        </w:r>
        <w:r w:rsidR="00912BAE">
          <w:rPr>
            <w:rStyle w:val="Lienhypertexte"/>
            <w:rFonts w:ascii="Rockwell" w:eastAsia="Times New Roman" w:hAnsi="Rockwell"/>
            <w:i/>
          </w:rPr>
          <w:t>DE PREVENTION DE LA BCLCC</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_Toc170209325 \h </w:instrText>
        </w:r>
        <w:r w:rsidR="00912BAE">
          <w:rPr>
            <w:rFonts w:ascii="Rockwell" w:hAnsi="Rockwell"/>
          </w:rPr>
        </w:r>
        <w:r w:rsidR="00912BAE">
          <w:rPr>
            <w:rFonts w:ascii="Rockwell" w:hAnsi="Rockwell"/>
          </w:rPr>
          <w:fldChar w:fldCharType="separate"/>
        </w:r>
        <w:r w:rsidR="00912BAE">
          <w:rPr>
            <w:rFonts w:ascii="Rockwell" w:hAnsi="Rockwell"/>
          </w:rPr>
          <w:t>43</w:t>
        </w:r>
        <w:r w:rsidR="00912BAE">
          <w:rPr>
            <w:rFonts w:ascii="Rockwell" w:hAnsi="Rockwell"/>
          </w:rPr>
          <w:fldChar w:fldCharType="end"/>
        </w:r>
      </w:hyperlink>
    </w:p>
    <w:p w14:paraId="075E95EB" w14:textId="77777777" w:rsidR="00733207" w:rsidRDefault="00E06378">
      <w:pPr>
        <w:pStyle w:val="TM1"/>
        <w:tabs>
          <w:tab w:val="right" w:leader="dot" w:pos="9062"/>
        </w:tabs>
        <w:jc w:val="both"/>
        <w:rPr>
          <w:rFonts w:ascii="Rockwell" w:hAnsi="Rockwell" w:cstheme="minorBidi"/>
        </w:rPr>
      </w:pPr>
      <w:hyperlink w:anchor="_Toc170209326" w:history="1">
        <w:r w:rsidR="00912BAE">
          <w:rPr>
            <w:rStyle w:val="Lienhypertexte"/>
            <w:rFonts w:ascii="Rockwell" w:hAnsi="Rockwell"/>
            <w:b/>
          </w:rPr>
          <w:t>DEUXIEME PARTIE : ACTIVITES DE REGULATION COURANTE DES MEDIAS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_Toc170209326 \h </w:instrText>
        </w:r>
        <w:r w:rsidR="00912BAE">
          <w:rPr>
            <w:rFonts w:ascii="Rockwell" w:hAnsi="Rockwell"/>
          </w:rPr>
        </w:r>
        <w:r w:rsidR="00912BAE">
          <w:rPr>
            <w:rFonts w:ascii="Rockwell" w:hAnsi="Rockwell"/>
          </w:rPr>
          <w:fldChar w:fldCharType="separate"/>
        </w:r>
        <w:r w:rsidR="00912BAE">
          <w:rPr>
            <w:rFonts w:ascii="Rockwell" w:hAnsi="Rockwell"/>
          </w:rPr>
          <w:t>45</w:t>
        </w:r>
        <w:r w:rsidR="00912BAE">
          <w:rPr>
            <w:rFonts w:ascii="Rockwell" w:hAnsi="Rockwell"/>
          </w:rPr>
          <w:fldChar w:fldCharType="end"/>
        </w:r>
      </w:hyperlink>
    </w:p>
    <w:p w14:paraId="52AA1AD5" w14:textId="77777777" w:rsidR="00733207" w:rsidRDefault="00E06378">
      <w:pPr>
        <w:pStyle w:val="TM2"/>
        <w:jc w:val="both"/>
        <w:rPr>
          <w:rFonts w:ascii="Rockwell" w:hAnsi="Rockwell" w:cstheme="minorBidi"/>
        </w:rPr>
      </w:pPr>
      <w:hyperlink w:anchor="_Toc170209327" w:history="1">
        <w:r w:rsidR="00912BAE">
          <w:rPr>
            <w:rStyle w:val="Lienhypertexte"/>
            <w:rFonts w:ascii="Rockwell" w:hAnsi="Rockwell"/>
            <w:b/>
          </w:rPr>
          <w:t>CHAPITRE I : PRISE EN COMPTE DU NUMERIQUE DANS LA REGULATION DE LA COMMUNICATION</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_Toc170209327 \h </w:instrText>
        </w:r>
        <w:r w:rsidR="00912BAE">
          <w:rPr>
            <w:rFonts w:ascii="Rockwell" w:hAnsi="Rockwell"/>
          </w:rPr>
        </w:r>
        <w:r w:rsidR="00912BAE">
          <w:rPr>
            <w:rFonts w:ascii="Rockwell" w:hAnsi="Rockwell"/>
          </w:rPr>
          <w:fldChar w:fldCharType="separate"/>
        </w:r>
        <w:r w:rsidR="00912BAE">
          <w:rPr>
            <w:rFonts w:ascii="Rockwell" w:hAnsi="Rockwell"/>
          </w:rPr>
          <w:t>46</w:t>
        </w:r>
        <w:r w:rsidR="00912BAE">
          <w:rPr>
            <w:rFonts w:ascii="Rockwell" w:hAnsi="Rockwell"/>
          </w:rPr>
          <w:fldChar w:fldCharType="end"/>
        </w:r>
      </w:hyperlink>
    </w:p>
    <w:p w14:paraId="62D43BA3" w14:textId="77777777" w:rsidR="00733207" w:rsidRDefault="00E06378">
      <w:pPr>
        <w:pStyle w:val="TM3"/>
        <w:tabs>
          <w:tab w:val="right" w:leader="dot" w:pos="9062"/>
        </w:tabs>
        <w:jc w:val="both"/>
        <w:rPr>
          <w:rFonts w:ascii="Rockwell" w:hAnsi="Rockwell" w:cstheme="minorBidi"/>
        </w:rPr>
      </w:pPr>
      <w:hyperlink w:anchor="_Toc170209328" w:history="1">
        <w:r w:rsidR="00912BAE">
          <w:rPr>
            <w:rStyle w:val="Lienhypertexte"/>
            <w:rFonts w:ascii="Rockwell" w:hAnsi="Rockwell"/>
            <w:i/>
          </w:rPr>
          <w:t>SECTION 1 : REFLEXIONS COLLECTIVES ET PARTAGE D’EXPERIENCES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_Toc170209328 \h </w:instrText>
        </w:r>
        <w:r w:rsidR="00912BAE">
          <w:rPr>
            <w:rFonts w:ascii="Rockwell" w:hAnsi="Rockwell"/>
          </w:rPr>
        </w:r>
        <w:r w:rsidR="00912BAE">
          <w:rPr>
            <w:rFonts w:ascii="Rockwell" w:hAnsi="Rockwell"/>
          </w:rPr>
          <w:fldChar w:fldCharType="separate"/>
        </w:r>
        <w:r w:rsidR="00912BAE">
          <w:rPr>
            <w:rFonts w:ascii="Rockwell" w:hAnsi="Rockwell"/>
          </w:rPr>
          <w:t>46</w:t>
        </w:r>
        <w:r w:rsidR="00912BAE">
          <w:rPr>
            <w:rFonts w:ascii="Rockwell" w:hAnsi="Rockwell"/>
          </w:rPr>
          <w:fldChar w:fldCharType="end"/>
        </w:r>
      </w:hyperlink>
    </w:p>
    <w:p w14:paraId="0300C964" w14:textId="77777777" w:rsidR="00733207" w:rsidRDefault="00E06378">
      <w:pPr>
        <w:pStyle w:val="TM3"/>
        <w:tabs>
          <w:tab w:val="right" w:leader="dot" w:pos="9062"/>
        </w:tabs>
        <w:jc w:val="both"/>
        <w:rPr>
          <w:rFonts w:ascii="Rockwell" w:hAnsi="Rockwell" w:cstheme="minorBidi"/>
        </w:rPr>
      </w:pPr>
      <w:hyperlink w:anchor="_Toc170209329" w:history="1">
        <w:r w:rsidR="00912BAE">
          <w:rPr>
            <w:rStyle w:val="Lienhypertexte"/>
            <w:rFonts w:ascii="Rockwell" w:hAnsi="Rockwell"/>
            <w:i/>
          </w:rPr>
          <w:t>SECTION 2 : MODERNISATION DES PROCEDURES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_Toc170209329 \h </w:instrText>
        </w:r>
        <w:r w:rsidR="00912BAE">
          <w:rPr>
            <w:rFonts w:ascii="Rockwell" w:hAnsi="Rockwell"/>
          </w:rPr>
        </w:r>
        <w:r w:rsidR="00912BAE">
          <w:rPr>
            <w:rFonts w:ascii="Rockwell" w:hAnsi="Rockwell"/>
          </w:rPr>
          <w:fldChar w:fldCharType="separate"/>
        </w:r>
        <w:r w:rsidR="00912BAE">
          <w:rPr>
            <w:rFonts w:ascii="Rockwell" w:hAnsi="Rockwell"/>
          </w:rPr>
          <w:t>48</w:t>
        </w:r>
        <w:r w:rsidR="00912BAE">
          <w:rPr>
            <w:rFonts w:ascii="Rockwell" w:hAnsi="Rockwell"/>
          </w:rPr>
          <w:fldChar w:fldCharType="end"/>
        </w:r>
      </w:hyperlink>
    </w:p>
    <w:p w14:paraId="503AA764" w14:textId="77777777" w:rsidR="00733207" w:rsidRDefault="00E06378">
      <w:pPr>
        <w:pStyle w:val="TM2"/>
        <w:jc w:val="both"/>
        <w:rPr>
          <w:rFonts w:ascii="Rockwell" w:hAnsi="Rockwell" w:cstheme="minorBidi"/>
        </w:rPr>
      </w:pPr>
      <w:hyperlink w:anchor="_Toc170209330" w:history="1">
        <w:r w:rsidR="00912BAE">
          <w:rPr>
            <w:rStyle w:val="Lienhypertexte"/>
            <w:rFonts w:ascii="Rockwell" w:hAnsi="Rockwell"/>
            <w:b/>
          </w:rPr>
          <w:t>CHAPITRE II : ACTIONS COURANTES DE REGULATION ET DE RENFORCEMENT DES COMPETENCES DES ACTEURS DES MEDIAS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_Toc170209330 \h </w:instrText>
        </w:r>
        <w:r w:rsidR="00912BAE">
          <w:rPr>
            <w:rFonts w:ascii="Rockwell" w:hAnsi="Rockwell"/>
          </w:rPr>
        </w:r>
        <w:r w:rsidR="00912BAE">
          <w:rPr>
            <w:rFonts w:ascii="Rockwell" w:hAnsi="Rockwell"/>
          </w:rPr>
          <w:fldChar w:fldCharType="separate"/>
        </w:r>
        <w:r w:rsidR="00912BAE">
          <w:rPr>
            <w:rFonts w:ascii="Rockwell" w:hAnsi="Rockwell"/>
          </w:rPr>
          <w:t>50</w:t>
        </w:r>
        <w:r w:rsidR="00912BAE">
          <w:rPr>
            <w:rFonts w:ascii="Rockwell" w:hAnsi="Rockwell"/>
          </w:rPr>
          <w:fldChar w:fldCharType="end"/>
        </w:r>
      </w:hyperlink>
    </w:p>
    <w:p w14:paraId="75348BA8" w14:textId="77777777" w:rsidR="00733207" w:rsidRDefault="00E06378">
      <w:pPr>
        <w:pStyle w:val="TM3"/>
        <w:tabs>
          <w:tab w:val="right" w:leader="dot" w:pos="9062"/>
        </w:tabs>
        <w:jc w:val="both"/>
        <w:rPr>
          <w:rFonts w:ascii="Rockwell" w:hAnsi="Rockwell" w:cstheme="minorBidi"/>
        </w:rPr>
      </w:pPr>
      <w:hyperlink w:anchor="_Toc170209331" w:history="1">
        <w:r w:rsidR="00912BAE">
          <w:rPr>
            <w:rStyle w:val="Lienhypertexte"/>
            <w:rFonts w:ascii="Rockwell" w:hAnsi="Rockwell"/>
            <w:i/>
          </w:rPr>
          <w:t>SECTION 1 : AMELIORATION DU DISPOSITIF TECHNIQUE D’OBSERVATION</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_Toc170209331 \h </w:instrText>
        </w:r>
        <w:r w:rsidR="00912BAE">
          <w:rPr>
            <w:rFonts w:ascii="Rockwell" w:hAnsi="Rockwell"/>
          </w:rPr>
        </w:r>
        <w:r w:rsidR="00912BAE">
          <w:rPr>
            <w:rFonts w:ascii="Rockwell" w:hAnsi="Rockwell"/>
          </w:rPr>
          <w:fldChar w:fldCharType="separate"/>
        </w:r>
        <w:r w:rsidR="00912BAE">
          <w:rPr>
            <w:rFonts w:ascii="Rockwell" w:hAnsi="Rockwell"/>
          </w:rPr>
          <w:t>50</w:t>
        </w:r>
        <w:r w:rsidR="00912BAE">
          <w:rPr>
            <w:rFonts w:ascii="Rockwell" w:hAnsi="Rockwell"/>
          </w:rPr>
          <w:fldChar w:fldCharType="end"/>
        </w:r>
      </w:hyperlink>
    </w:p>
    <w:p w14:paraId="7BDEA530" w14:textId="77777777" w:rsidR="00733207" w:rsidRDefault="00E06378">
      <w:pPr>
        <w:pStyle w:val="TM3"/>
        <w:tabs>
          <w:tab w:val="right" w:leader="dot" w:pos="9062"/>
        </w:tabs>
        <w:jc w:val="both"/>
        <w:rPr>
          <w:rFonts w:ascii="Rockwell" w:hAnsi="Rockwell" w:cstheme="minorBidi"/>
        </w:rPr>
      </w:pPr>
      <w:hyperlink w:anchor="_Toc170209332" w:history="1">
        <w:r w:rsidR="00912BAE">
          <w:rPr>
            <w:rStyle w:val="Lienhypertexte"/>
            <w:rFonts w:ascii="Rockwell" w:hAnsi="Rockwell"/>
            <w:i/>
          </w:rPr>
          <w:t>SECTION 2 : FORMATION DES ACTEURS DES MEDIAS ET DES AGENCES DE PUBLICITE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_Toc170209332 \h </w:instrText>
        </w:r>
        <w:r w:rsidR="00912BAE">
          <w:rPr>
            <w:rFonts w:ascii="Rockwell" w:hAnsi="Rockwell"/>
          </w:rPr>
        </w:r>
        <w:r w:rsidR="00912BAE">
          <w:rPr>
            <w:rFonts w:ascii="Rockwell" w:hAnsi="Rockwell"/>
          </w:rPr>
          <w:fldChar w:fldCharType="separate"/>
        </w:r>
        <w:r w:rsidR="00912BAE">
          <w:rPr>
            <w:rFonts w:ascii="Rockwell" w:hAnsi="Rockwell"/>
          </w:rPr>
          <w:t>51</w:t>
        </w:r>
        <w:r w:rsidR="00912BAE">
          <w:rPr>
            <w:rFonts w:ascii="Rockwell" w:hAnsi="Rockwell"/>
          </w:rPr>
          <w:fldChar w:fldCharType="end"/>
        </w:r>
      </w:hyperlink>
    </w:p>
    <w:p w14:paraId="277417B4" w14:textId="77777777" w:rsidR="00733207" w:rsidRDefault="00E06378">
      <w:pPr>
        <w:pStyle w:val="TM3"/>
        <w:tabs>
          <w:tab w:val="right" w:leader="dot" w:pos="9062"/>
        </w:tabs>
        <w:jc w:val="both"/>
        <w:rPr>
          <w:rFonts w:ascii="Rockwell" w:hAnsi="Rockwell" w:cstheme="minorBidi"/>
        </w:rPr>
      </w:pPr>
      <w:hyperlink w:anchor="_Toc170209333" w:history="1">
        <w:r w:rsidR="00912BAE">
          <w:rPr>
            <w:rStyle w:val="Lienhypertexte"/>
            <w:rFonts w:ascii="Rockwell" w:hAnsi="Rockwell"/>
            <w:i/>
          </w:rPr>
          <w:t>SECTION 3 : NUMEROTATION DES CHAINES TV ET ACCOMPAGNEMENT DE LA REFLEXION SUR L’AUTOREGULATION DE LA PUBLICITE AU BURKINA FASO</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_Toc170209333 \h </w:instrText>
        </w:r>
        <w:r w:rsidR="00912BAE">
          <w:rPr>
            <w:rFonts w:ascii="Rockwell" w:hAnsi="Rockwell"/>
          </w:rPr>
        </w:r>
        <w:r w:rsidR="00912BAE">
          <w:rPr>
            <w:rFonts w:ascii="Rockwell" w:hAnsi="Rockwell"/>
          </w:rPr>
          <w:fldChar w:fldCharType="separate"/>
        </w:r>
        <w:r w:rsidR="00912BAE">
          <w:rPr>
            <w:rFonts w:ascii="Rockwell" w:hAnsi="Rockwell"/>
          </w:rPr>
          <w:t>53</w:t>
        </w:r>
        <w:r w:rsidR="00912BAE">
          <w:rPr>
            <w:rFonts w:ascii="Rockwell" w:hAnsi="Rockwell"/>
          </w:rPr>
          <w:fldChar w:fldCharType="end"/>
        </w:r>
      </w:hyperlink>
    </w:p>
    <w:p w14:paraId="2BBE1235" w14:textId="77777777" w:rsidR="00733207" w:rsidRDefault="00E06378">
      <w:pPr>
        <w:pStyle w:val="TM2"/>
        <w:jc w:val="both"/>
        <w:rPr>
          <w:rFonts w:ascii="Rockwell" w:hAnsi="Rockwell" w:cstheme="minorBidi"/>
        </w:rPr>
      </w:pPr>
      <w:hyperlink w:anchor="_Toc170209334" w:history="1">
        <w:r w:rsidR="00912BAE">
          <w:rPr>
            <w:rStyle w:val="Lienhypertexte"/>
            <w:rFonts w:ascii="Rockwell" w:hAnsi="Rockwell"/>
            <w:b/>
          </w:rPr>
          <w:t>CHAPITRE III : REGULATION DE L’OFFRE MEDIATIQUE ET CONTENTIEUX</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_Toc170209334 \h </w:instrText>
        </w:r>
        <w:r w:rsidR="00912BAE">
          <w:rPr>
            <w:rFonts w:ascii="Rockwell" w:hAnsi="Rockwell"/>
          </w:rPr>
        </w:r>
        <w:r w:rsidR="00912BAE">
          <w:rPr>
            <w:rFonts w:ascii="Rockwell" w:hAnsi="Rockwell"/>
          </w:rPr>
          <w:fldChar w:fldCharType="separate"/>
        </w:r>
        <w:r w:rsidR="00912BAE">
          <w:rPr>
            <w:rFonts w:ascii="Rockwell" w:hAnsi="Rockwell"/>
          </w:rPr>
          <w:t>56</w:t>
        </w:r>
        <w:r w:rsidR="00912BAE">
          <w:rPr>
            <w:rFonts w:ascii="Rockwell" w:hAnsi="Rockwell"/>
          </w:rPr>
          <w:fldChar w:fldCharType="end"/>
        </w:r>
      </w:hyperlink>
    </w:p>
    <w:p w14:paraId="35CD4F79" w14:textId="77777777" w:rsidR="00733207" w:rsidRDefault="00E06378">
      <w:pPr>
        <w:pStyle w:val="TM3"/>
        <w:tabs>
          <w:tab w:val="right" w:leader="dot" w:pos="9062"/>
        </w:tabs>
        <w:jc w:val="both"/>
        <w:rPr>
          <w:rFonts w:ascii="Rockwell" w:hAnsi="Rockwell" w:cstheme="minorBidi"/>
        </w:rPr>
      </w:pPr>
      <w:hyperlink w:anchor="_Toc170209335" w:history="1">
        <w:r w:rsidR="00912BAE">
          <w:rPr>
            <w:rStyle w:val="Lienhypertexte"/>
            <w:rFonts w:ascii="Rockwell" w:hAnsi="Rockwell"/>
            <w:i/>
          </w:rPr>
          <w:t>SECTION 1 : ACTIVITES D’AUTORISATION ET DE RENOUVELLEMENT DE CONVENTIONS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_Toc170209335 \h </w:instrText>
        </w:r>
        <w:r w:rsidR="00912BAE">
          <w:rPr>
            <w:rFonts w:ascii="Rockwell" w:hAnsi="Rockwell"/>
          </w:rPr>
        </w:r>
        <w:r w:rsidR="00912BAE">
          <w:rPr>
            <w:rFonts w:ascii="Rockwell" w:hAnsi="Rockwell"/>
          </w:rPr>
          <w:fldChar w:fldCharType="separate"/>
        </w:r>
        <w:r w:rsidR="00912BAE">
          <w:rPr>
            <w:rFonts w:ascii="Rockwell" w:hAnsi="Rockwell"/>
          </w:rPr>
          <w:t>56</w:t>
        </w:r>
        <w:r w:rsidR="00912BAE">
          <w:rPr>
            <w:rFonts w:ascii="Rockwell" w:hAnsi="Rockwell"/>
          </w:rPr>
          <w:fldChar w:fldCharType="end"/>
        </w:r>
      </w:hyperlink>
    </w:p>
    <w:p w14:paraId="206EB518" w14:textId="77777777" w:rsidR="00733207" w:rsidRDefault="00E06378">
      <w:pPr>
        <w:pStyle w:val="TM3"/>
        <w:tabs>
          <w:tab w:val="right" w:leader="dot" w:pos="9062"/>
        </w:tabs>
        <w:jc w:val="both"/>
        <w:rPr>
          <w:rFonts w:ascii="Rockwell" w:hAnsi="Rockwell" w:cstheme="minorBidi"/>
        </w:rPr>
      </w:pPr>
      <w:hyperlink w:anchor="_Toc170209336" w:history="1">
        <w:r w:rsidR="00912BAE">
          <w:rPr>
            <w:rStyle w:val="Lienhypertexte"/>
            <w:rFonts w:ascii="Rockwell" w:hAnsi="Rockwell"/>
            <w:i/>
          </w:rPr>
          <w:t>SECTION 2 : SUIVI DU FONCTIONNEMENT DES MEDIAS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_Toc170209336 \h </w:instrText>
        </w:r>
        <w:r w:rsidR="00912BAE">
          <w:rPr>
            <w:rFonts w:ascii="Rockwell" w:hAnsi="Rockwell"/>
          </w:rPr>
        </w:r>
        <w:r w:rsidR="00912BAE">
          <w:rPr>
            <w:rFonts w:ascii="Rockwell" w:hAnsi="Rockwell"/>
          </w:rPr>
          <w:fldChar w:fldCharType="separate"/>
        </w:r>
        <w:r w:rsidR="00912BAE">
          <w:rPr>
            <w:rFonts w:ascii="Rockwell" w:hAnsi="Rockwell"/>
          </w:rPr>
          <w:t>58</w:t>
        </w:r>
        <w:r w:rsidR="00912BAE">
          <w:rPr>
            <w:rFonts w:ascii="Rockwell" w:hAnsi="Rockwell"/>
          </w:rPr>
          <w:fldChar w:fldCharType="end"/>
        </w:r>
      </w:hyperlink>
    </w:p>
    <w:p w14:paraId="52260EEB" w14:textId="77777777" w:rsidR="00733207" w:rsidRDefault="00E06378">
      <w:pPr>
        <w:pStyle w:val="TM3"/>
        <w:tabs>
          <w:tab w:val="right" w:leader="dot" w:pos="9062"/>
        </w:tabs>
        <w:jc w:val="both"/>
        <w:rPr>
          <w:rFonts w:ascii="Rockwell" w:hAnsi="Rockwell" w:cstheme="minorBidi"/>
        </w:rPr>
      </w:pPr>
      <w:hyperlink w:anchor="_Toc170209337" w:history="1">
        <w:r w:rsidR="00912BAE">
          <w:rPr>
            <w:rStyle w:val="Lienhypertexte"/>
            <w:rFonts w:ascii="Rockwell" w:hAnsi="Rockwell"/>
            <w:i/>
          </w:rPr>
          <w:t>SECTION 3 : SUIVI ET GESTION DU CONTENTIEUX</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_Toc170209337 \h </w:instrText>
        </w:r>
        <w:r w:rsidR="00912BAE">
          <w:rPr>
            <w:rFonts w:ascii="Rockwell" w:hAnsi="Rockwell"/>
          </w:rPr>
        </w:r>
        <w:r w:rsidR="00912BAE">
          <w:rPr>
            <w:rFonts w:ascii="Rockwell" w:hAnsi="Rockwell"/>
          </w:rPr>
          <w:fldChar w:fldCharType="separate"/>
        </w:r>
        <w:r w:rsidR="00912BAE">
          <w:rPr>
            <w:rFonts w:ascii="Rockwell" w:hAnsi="Rockwell"/>
          </w:rPr>
          <w:t>61</w:t>
        </w:r>
        <w:r w:rsidR="00912BAE">
          <w:rPr>
            <w:rFonts w:ascii="Rockwell" w:hAnsi="Rockwell"/>
          </w:rPr>
          <w:fldChar w:fldCharType="end"/>
        </w:r>
      </w:hyperlink>
    </w:p>
    <w:p w14:paraId="191725DD" w14:textId="77777777" w:rsidR="00733207" w:rsidRDefault="00E06378">
      <w:pPr>
        <w:pStyle w:val="TM2"/>
        <w:jc w:val="both"/>
        <w:rPr>
          <w:rFonts w:ascii="Rockwell" w:hAnsi="Rockwell" w:cstheme="minorBidi"/>
        </w:rPr>
      </w:pPr>
      <w:hyperlink w:anchor="_Toc170209338" w:history="1">
        <w:r w:rsidR="00912BAE">
          <w:rPr>
            <w:rStyle w:val="Lienhypertexte"/>
            <w:rFonts w:ascii="Rockwell" w:hAnsi="Rockwell"/>
            <w:b/>
          </w:rPr>
          <w:t>CHAPITRE V : MONITORING DES MEDIAS AUDIOVISUELS, DE LA PRESSE ECRITE ET DE LA PRESSE EN LIGNE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_Toc170209338 \h </w:instrText>
        </w:r>
        <w:r w:rsidR="00912BAE">
          <w:rPr>
            <w:rFonts w:ascii="Rockwell" w:hAnsi="Rockwell"/>
          </w:rPr>
        </w:r>
        <w:r w:rsidR="00912BAE">
          <w:rPr>
            <w:rFonts w:ascii="Rockwell" w:hAnsi="Rockwell"/>
          </w:rPr>
          <w:fldChar w:fldCharType="separate"/>
        </w:r>
        <w:r w:rsidR="00912BAE">
          <w:rPr>
            <w:rFonts w:ascii="Rockwell" w:hAnsi="Rockwell"/>
          </w:rPr>
          <w:t>66</w:t>
        </w:r>
        <w:r w:rsidR="00912BAE">
          <w:rPr>
            <w:rFonts w:ascii="Rockwell" w:hAnsi="Rockwell"/>
          </w:rPr>
          <w:fldChar w:fldCharType="end"/>
        </w:r>
      </w:hyperlink>
    </w:p>
    <w:p w14:paraId="2814569E" w14:textId="77777777" w:rsidR="00733207" w:rsidRDefault="00E06378">
      <w:pPr>
        <w:pStyle w:val="TM3"/>
        <w:tabs>
          <w:tab w:val="right" w:leader="dot" w:pos="9062"/>
        </w:tabs>
        <w:jc w:val="both"/>
        <w:rPr>
          <w:rFonts w:ascii="Rockwell" w:hAnsi="Rockwell" w:cstheme="minorBidi"/>
        </w:rPr>
      </w:pPr>
      <w:hyperlink w:anchor="_Toc170209339" w:history="1">
        <w:r w:rsidR="00912BAE">
          <w:rPr>
            <w:rStyle w:val="Lienhypertexte"/>
            <w:rFonts w:ascii="Rockwell" w:hAnsi="Rockwell"/>
            <w:i/>
          </w:rPr>
          <w:t>SECTION 1 : MONITORING DE LA PRESSE ECRITE ET DE LA PRESSE EN LIGNE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_Toc170209339 \h </w:instrText>
        </w:r>
        <w:r w:rsidR="00912BAE">
          <w:rPr>
            <w:rFonts w:ascii="Rockwell" w:hAnsi="Rockwell"/>
          </w:rPr>
        </w:r>
        <w:r w:rsidR="00912BAE">
          <w:rPr>
            <w:rFonts w:ascii="Rockwell" w:hAnsi="Rockwell"/>
          </w:rPr>
          <w:fldChar w:fldCharType="separate"/>
        </w:r>
        <w:r w:rsidR="00912BAE">
          <w:rPr>
            <w:rFonts w:ascii="Rockwell" w:hAnsi="Rockwell"/>
          </w:rPr>
          <w:t>67</w:t>
        </w:r>
        <w:r w:rsidR="00912BAE">
          <w:rPr>
            <w:rFonts w:ascii="Rockwell" w:hAnsi="Rockwell"/>
          </w:rPr>
          <w:fldChar w:fldCharType="end"/>
        </w:r>
      </w:hyperlink>
    </w:p>
    <w:p w14:paraId="2F4BC23E" w14:textId="77777777" w:rsidR="00733207" w:rsidRDefault="00E06378">
      <w:pPr>
        <w:pStyle w:val="TM3"/>
        <w:tabs>
          <w:tab w:val="right" w:leader="dot" w:pos="9062"/>
        </w:tabs>
        <w:jc w:val="both"/>
        <w:rPr>
          <w:rFonts w:ascii="Rockwell" w:hAnsi="Rockwell" w:cstheme="minorBidi"/>
        </w:rPr>
      </w:pPr>
      <w:hyperlink w:anchor="_Toc170209340" w:history="1">
        <w:r w:rsidR="00912BAE">
          <w:rPr>
            <w:rStyle w:val="Lienhypertexte"/>
            <w:rFonts w:ascii="Rockwell" w:hAnsi="Rockwell" w:cstheme="majorHAnsi"/>
            <w:i/>
          </w:rPr>
          <w:t>SECTION 2 : MONITORING DES MEDIAS AUDIOVISUELS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_Toc170209340 \h </w:instrText>
        </w:r>
        <w:r w:rsidR="00912BAE">
          <w:rPr>
            <w:rFonts w:ascii="Rockwell" w:hAnsi="Rockwell"/>
          </w:rPr>
        </w:r>
        <w:r w:rsidR="00912BAE">
          <w:rPr>
            <w:rFonts w:ascii="Rockwell" w:hAnsi="Rockwell"/>
          </w:rPr>
          <w:fldChar w:fldCharType="separate"/>
        </w:r>
        <w:r w:rsidR="00912BAE">
          <w:rPr>
            <w:rFonts w:ascii="Rockwell" w:hAnsi="Rockwell"/>
          </w:rPr>
          <w:t>88</w:t>
        </w:r>
        <w:r w:rsidR="00912BAE">
          <w:rPr>
            <w:rFonts w:ascii="Rockwell" w:hAnsi="Rockwell"/>
          </w:rPr>
          <w:fldChar w:fldCharType="end"/>
        </w:r>
      </w:hyperlink>
    </w:p>
    <w:p w14:paraId="08678C02" w14:textId="77777777" w:rsidR="00733207" w:rsidRDefault="00E06378">
      <w:pPr>
        <w:pStyle w:val="TM2"/>
        <w:jc w:val="both"/>
        <w:rPr>
          <w:rFonts w:ascii="Rockwell" w:hAnsi="Rockwell" w:cstheme="minorBidi"/>
        </w:rPr>
      </w:pPr>
      <w:hyperlink w:anchor="_Toc170209341" w:history="1">
        <w:r w:rsidR="00912BAE">
          <w:rPr>
            <w:rStyle w:val="Lienhypertexte"/>
            <w:rFonts w:ascii="Rockwell" w:hAnsi="Rockwell"/>
            <w:b/>
          </w:rPr>
          <w:t>CHAPITRE VI : MANQUEMENTS A LA LOI, A L’ETHIQUE ET A LA DEONTOLOGIE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_Toc170209341 \h </w:instrText>
        </w:r>
        <w:r w:rsidR="00912BAE">
          <w:rPr>
            <w:rFonts w:ascii="Rockwell" w:hAnsi="Rockwell"/>
          </w:rPr>
        </w:r>
        <w:r w:rsidR="00912BAE">
          <w:rPr>
            <w:rFonts w:ascii="Rockwell" w:hAnsi="Rockwell"/>
          </w:rPr>
          <w:fldChar w:fldCharType="separate"/>
        </w:r>
        <w:r w:rsidR="00912BAE">
          <w:rPr>
            <w:rFonts w:ascii="Rockwell" w:hAnsi="Rockwell"/>
          </w:rPr>
          <w:t>111</w:t>
        </w:r>
        <w:r w:rsidR="00912BAE">
          <w:rPr>
            <w:rFonts w:ascii="Rockwell" w:hAnsi="Rockwell"/>
          </w:rPr>
          <w:fldChar w:fldCharType="end"/>
        </w:r>
      </w:hyperlink>
    </w:p>
    <w:p w14:paraId="0772E725" w14:textId="77777777" w:rsidR="00733207" w:rsidRDefault="00E06378">
      <w:pPr>
        <w:pStyle w:val="TM3"/>
        <w:tabs>
          <w:tab w:val="right" w:leader="dot" w:pos="9062"/>
        </w:tabs>
        <w:jc w:val="both"/>
        <w:rPr>
          <w:rFonts w:ascii="Rockwell" w:hAnsi="Rockwell" w:cstheme="minorBidi"/>
        </w:rPr>
      </w:pPr>
      <w:hyperlink w:anchor="_Toc170209342" w:history="1">
        <w:r w:rsidR="00912BAE">
          <w:rPr>
            <w:rStyle w:val="Lienhypertexte"/>
            <w:rFonts w:ascii="Rockwell" w:hAnsi="Rockwell"/>
            <w:i/>
          </w:rPr>
          <w:t>SECTION 1 : AUTO-SAISINES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_Toc170209342 \h </w:instrText>
        </w:r>
        <w:r w:rsidR="00912BAE">
          <w:rPr>
            <w:rFonts w:ascii="Rockwell" w:hAnsi="Rockwell"/>
          </w:rPr>
        </w:r>
        <w:r w:rsidR="00912BAE">
          <w:rPr>
            <w:rFonts w:ascii="Rockwell" w:hAnsi="Rockwell"/>
          </w:rPr>
          <w:fldChar w:fldCharType="separate"/>
        </w:r>
        <w:r w:rsidR="00912BAE">
          <w:rPr>
            <w:rFonts w:ascii="Rockwell" w:hAnsi="Rockwell"/>
          </w:rPr>
          <w:t>111</w:t>
        </w:r>
        <w:r w:rsidR="00912BAE">
          <w:rPr>
            <w:rFonts w:ascii="Rockwell" w:hAnsi="Rockwell"/>
          </w:rPr>
          <w:fldChar w:fldCharType="end"/>
        </w:r>
      </w:hyperlink>
    </w:p>
    <w:p w14:paraId="5E1A35AE" w14:textId="77777777" w:rsidR="00733207" w:rsidRDefault="00E06378">
      <w:pPr>
        <w:pStyle w:val="TM3"/>
        <w:tabs>
          <w:tab w:val="right" w:leader="dot" w:pos="9062"/>
        </w:tabs>
        <w:jc w:val="both"/>
        <w:rPr>
          <w:rFonts w:ascii="Rockwell" w:hAnsi="Rockwell" w:cstheme="minorBidi"/>
        </w:rPr>
      </w:pPr>
      <w:hyperlink w:anchor="_Toc170209343" w:history="1">
        <w:r w:rsidR="00912BAE">
          <w:rPr>
            <w:rStyle w:val="Lienhypertexte"/>
            <w:rFonts w:ascii="Rockwell" w:hAnsi="Rockwell"/>
            <w:i/>
          </w:rPr>
          <w:t>SECTION 2 : SAISINES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_Toc170209343 \h </w:instrText>
        </w:r>
        <w:r w:rsidR="00912BAE">
          <w:rPr>
            <w:rFonts w:ascii="Rockwell" w:hAnsi="Rockwell"/>
          </w:rPr>
        </w:r>
        <w:r w:rsidR="00912BAE">
          <w:rPr>
            <w:rFonts w:ascii="Rockwell" w:hAnsi="Rockwell"/>
          </w:rPr>
          <w:fldChar w:fldCharType="separate"/>
        </w:r>
        <w:r w:rsidR="00912BAE">
          <w:rPr>
            <w:rFonts w:ascii="Rockwell" w:hAnsi="Rockwell"/>
          </w:rPr>
          <w:t>115</w:t>
        </w:r>
        <w:r w:rsidR="00912BAE">
          <w:rPr>
            <w:rFonts w:ascii="Rockwell" w:hAnsi="Rockwell"/>
          </w:rPr>
          <w:fldChar w:fldCharType="end"/>
        </w:r>
      </w:hyperlink>
    </w:p>
    <w:p w14:paraId="2E8A39BD" w14:textId="77777777" w:rsidR="00733207" w:rsidRDefault="00E06378">
      <w:pPr>
        <w:pStyle w:val="TM1"/>
        <w:tabs>
          <w:tab w:val="right" w:leader="dot" w:pos="9062"/>
        </w:tabs>
        <w:jc w:val="both"/>
        <w:rPr>
          <w:rFonts w:ascii="Rockwell" w:hAnsi="Rockwell" w:cstheme="minorBidi"/>
        </w:rPr>
      </w:pPr>
      <w:hyperlink w:anchor="_Toc170209344" w:history="1">
        <w:r w:rsidR="00912BAE">
          <w:rPr>
            <w:rStyle w:val="Lienhypertexte"/>
            <w:rFonts w:ascii="Rockwell" w:hAnsi="Rockwell"/>
            <w:b/>
          </w:rPr>
          <w:t>TROISIEME PARTIE : RENCONTRES, COOPERATION ET PARTENARIAT</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_Toc170209344 \h </w:instrText>
        </w:r>
        <w:r w:rsidR="00912BAE">
          <w:rPr>
            <w:rFonts w:ascii="Rockwell" w:hAnsi="Rockwell"/>
          </w:rPr>
        </w:r>
        <w:r w:rsidR="00912BAE">
          <w:rPr>
            <w:rFonts w:ascii="Rockwell" w:hAnsi="Rockwell"/>
          </w:rPr>
          <w:fldChar w:fldCharType="separate"/>
        </w:r>
        <w:r w:rsidR="00912BAE">
          <w:rPr>
            <w:rFonts w:ascii="Rockwell" w:hAnsi="Rockwell"/>
          </w:rPr>
          <w:t>122</w:t>
        </w:r>
        <w:r w:rsidR="00912BAE">
          <w:rPr>
            <w:rFonts w:ascii="Rockwell" w:hAnsi="Rockwell"/>
          </w:rPr>
          <w:fldChar w:fldCharType="end"/>
        </w:r>
      </w:hyperlink>
    </w:p>
    <w:p w14:paraId="07D5E639" w14:textId="77777777" w:rsidR="00733207" w:rsidRDefault="00E06378">
      <w:pPr>
        <w:pStyle w:val="TM2"/>
        <w:jc w:val="both"/>
        <w:rPr>
          <w:rFonts w:ascii="Rockwell" w:hAnsi="Rockwell" w:cstheme="minorBidi"/>
        </w:rPr>
      </w:pPr>
      <w:hyperlink w:anchor="_Toc170209345" w:history="1">
        <w:r w:rsidR="00912BAE">
          <w:rPr>
            <w:rStyle w:val="Lienhypertexte"/>
            <w:rFonts w:ascii="Rockwell" w:hAnsi="Rockwell"/>
            <w:b/>
          </w:rPr>
          <w:t>CHAPITRE I : RENCONTRES AU PLAN NATIONAL</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_Toc170209345 \h </w:instrText>
        </w:r>
        <w:r w:rsidR="00912BAE">
          <w:rPr>
            <w:rFonts w:ascii="Rockwell" w:hAnsi="Rockwell"/>
          </w:rPr>
        </w:r>
        <w:r w:rsidR="00912BAE">
          <w:rPr>
            <w:rFonts w:ascii="Rockwell" w:hAnsi="Rockwell"/>
          </w:rPr>
          <w:fldChar w:fldCharType="separate"/>
        </w:r>
        <w:r w:rsidR="00912BAE">
          <w:rPr>
            <w:rFonts w:ascii="Rockwell" w:hAnsi="Rockwell"/>
          </w:rPr>
          <w:t>123</w:t>
        </w:r>
        <w:r w:rsidR="00912BAE">
          <w:rPr>
            <w:rFonts w:ascii="Rockwell" w:hAnsi="Rockwell"/>
          </w:rPr>
          <w:fldChar w:fldCharType="end"/>
        </w:r>
      </w:hyperlink>
    </w:p>
    <w:p w14:paraId="33EDD506" w14:textId="77777777" w:rsidR="00733207" w:rsidRDefault="00E06378">
      <w:pPr>
        <w:pStyle w:val="TM3"/>
        <w:tabs>
          <w:tab w:val="right" w:leader="dot" w:pos="9062"/>
        </w:tabs>
        <w:jc w:val="both"/>
        <w:rPr>
          <w:rFonts w:ascii="Rockwell" w:hAnsi="Rockwell" w:cstheme="minorBidi"/>
        </w:rPr>
      </w:pPr>
      <w:hyperlink w:anchor="_Toc170209346" w:history="1">
        <w:r w:rsidR="00912BAE">
          <w:rPr>
            <w:rStyle w:val="Lienhypertexte"/>
            <w:rFonts w:ascii="Rockwell" w:hAnsi="Rockwell"/>
            <w:i/>
          </w:rPr>
          <w:t>SECTION 1 : AUDIENCES DU PRESIDENT</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_Toc170209346 \h </w:instrText>
        </w:r>
        <w:r w:rsidR="00912BAE">
          <w:rPr>
            <w:rFonts w:ascii="Rockwell" w:hAnsi="Rockwell"/>
          </w:rPr>
        </w:r>
        <w:r w:rsidR="00912BAE">
          <w:rPr>
            <w:rFonts w:ascii="Rockwell" w:hAnsi="Rockwell"/>
          </w:rPr>
          <w:fldChar w:fldCharType="separate"/>
        </w:r>
        <w:r w:rsidR="00912BAE">
          <w:rPr>
            <w:rFonts w:ascii="Rockwell" w:hAnsi="Rockwell"/>
          </w:rPr>
          <w:t>123</w:t>
        </w:r>
        <w:r w:rsidR="00912BAE">
          <w:rPr>
            <w:rFonts w:ascii="Rockwell" w:hAnsi="Rockwell"/>
          </w:rPr>
          <w:fldChar w:fldCharType="end"/>
        </w:r>
      </w:hyperlink>
    </w:p>
    <w:p w14:paraId="4612297C" w14:textId="77777777" w:rsidR="00733207" w:rsidRDefault="00E06378">
      <w:pPr>
        <w:pStyle w:val="TM3"/>
        <w:tabs>
          <w:tab w:val="right" w:leader="dot" w:pos="9062"/>
        </w:tabs>
        <w:jc w:val="both"/>
        <w:rPr>
          <w:rFonts w:ascii="Rockwell" w:hAnsi="Rockwell" w:cstheme="minorBidi"/>
        </w:rPr>
      </w:pPr>
      <w:hyperlink w:anchor="_Toc170209347" w:history="1">
        <w:r w:rsidR="00912BAE">
          <w:rPr>
            <w:rStyle w:val="Lienhypertexte"/>
            <w:rFonts w:ascii="Rockwell" w:hAnsi="Rockwell"/>
            <w:i/>
          </w:rPr>
          <w:t>SECTION 2 : TOURNEES DANS LES MEDIAS ET VISITES DE COURTOISIE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_Toc170209347 \h </w:instrText>
        </w:r>
        <w:r w:rsidR="00912BAE">
          <w:rPr>
            <w:rFonts w:ascii="Rockwell" w:hAnsi="Rockwell"/>
          </w:rPr>
        </w:r>
        <w:r w:rsidR="00912BAE">
          <w:rPr>
            <w:rFonts w:ascii="Rockwell" w:hAnsi="Rockwell"/>
          </w:rPr>
          <w:fldChar w:fldCharType="separate"/>
        </w:r>
        <w:r w:rsidR="00912BAE">
          <w:rPr>
            <w:rFonts w:ascii="Rockwell" w:hAnsi="Rockwell"/>
          </w:rPr>
          <w:t>129</w:t>
        </w:r>
        <w:r w:rsidR="00912BAE">
          <w:rPr>
            <w:rFonts w:ascii="Rockwell" w:hAnsi="Rockwell"/>
          </w:rPr>
          <w:fldChar w:fldCharType="end"/>
        </w:r>
      </w:hyperlink>
    </w:p>
    <w:p w14:paraId="41CE5FE0" w14:textId="77777777" w:rsidR="00733207" w:rsidRDefault="00E06378">
      <w:pPr>
        <w:pStyle w:val="TM2"/>
        <w:jc w:val="both"/>
        <w:rPr>
          <w:rFonts w:ascii="Rockwell" w:hAnsi="Rockwell" w:cstheme="minorBidi"/>
        </w:rPr>
      </w:pPr>
      <w:hyperlink w:anchor="_Toc170209348" w:history="1">
        <w:r w:rsidR="00912BAE">
          <w:rPr>
            <w:rStyle w:val="Lienhypertexte"/>
            <w:rFonts w:ascii="Rockwell" w:hAnsi="Rockwell"/>
            <w:b/>
          </w:rPr>
          <w:t>CHAPITRE II : COOPERATION ET PARTENARIAT</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_Toc170209348 \h </w:instrText>
        </w:r>
        <w:r w:rsidR="00912BAE">
          <w:rPr>
            <w:rFonts w:ascii="Rockwell" w:hAnsi="Rockwell"/>
          </w:rPr>
        </w:r>
        <w:r w:rsidR="00912BAE">
          <w:rPr>
            <w:rFonts w:ascii="Rockwell" w:hAnsi="Rockwell"/>
          </w:rPr>
          <w:fldChar w:fldCharType="separate"/>
        </w:r>
        <w:r w:rsidR="00912BAE">
          <w:rPr>
            <w:rFonts w:ascii="Rockwell" w:hAnsi="Rockwell"/>
          </w:rPr>
          <w:t>134</w:t>
        </w:r>
        <w:r w:rsidR="00912BAE">
          <w:rPr>
            <w:rFonts w:ascii="Rockwell" w:hAnsi="Rockwell"/>
          </w:rPr>
          <w:fldChar w:fldCharType="end"/>
        </w:r>
      </w:hyperlink>
    </w:p>
    <w:p w14:paraId="2540E872" w14:textId="77777777" w:rsidR="00733207" w:rsidRDefault="00E06378">
      <w:pPr>
        <w:pStyle w:val="TM3"/>
        <w:tabs>
          <w:tab w:val="right" w:leader="dot" w:pos="9062"/>
        </w:tabs>
        <w:jc w:val="both"/>
        <w:rPr>
          <w:rFonts w:ascii="Rockwell" w:hAnsi="Rockwell" w:cstheme="minorBidi"/>
        </w:rPr>
      </w:pPr>
      <w:hyperlink w:anchor="_Toc170209349" w:history="1">
        <w:r w:rsidR="00912BAE">
          <w:rPr>
            <w:rStyle w:val="Lienhypertexte"/>
            <w:rFonts w:ascii="Rockwell" w:hAnsi="Rockwell"/>
            <w:i/>
          </w:rPr>
          <w:t>SECTION 1 : COOPERATION AU PLAN NATIONAL</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_Toc170209349 \h </w:instrText>
        </w:r>
        <w:r w:rsidR="00912BAE">
          <w:rPr>
            <w:rFonts w:ascii="Rockwell" w:hAnsi="Rockwell"/>
          </w:rPr>
        </w:r>
        <w:r w:rsidR="00912BAE">
          <w:rPr>
            <w:rFonts w:ascii="Rockwell" w:hAnsi="Rockwell"/>
          </w:rPr>
          <w:fldChar w:fldCharType="separate"/>
        </w:r>
        <w:r w:rsidR="00912BAE">
          <w:rPr>
            <w:rFonts w:ascii="Rockwell" w:hAnsi="Rockwell"/>
          </w:rPr>
          <w:t>134</w:t>
        </w:r>
        <w:r w:rsidR="00912BAE">
          <w:rPr>
            <w:rFonts w:ascii="Rockwell" w:hAnsi="Rockwell"/>
          </w:rPr>
          <w:fldChar w:fldCharType="end"/>
        </w:r>
      </w:hyperlink>
    </w:p>
    <w:p w14:paraId="46222F9C" w14:textId="77777777" w:rsidR="00733207" w:rsidRDefault="00E06378">
      <w:pPr>
        <w:pStyle w:val="TM3"/>
        <w:tabs>
          <w:tab w:val="right" w:leader="dot" w:pos="9062"/>
        </w:tabs>
        <w:jc w:val="both"/>
        <w:rPr>
          <w:rFonts w:ascii="Rockwell" w:hAnsi="Rockwell" w:cstheme="minorBidi"/>
        </w:rPr>
      </w:pPr>
      <w:hyperlink w:anchor="_Toc170209350" w:history="1">
        <w:r w:rsidR="00912BAE">
          <w:rPr>
            <w:rStyle w:val="Lienhypertexte"/>
            <w:rFonts w:ascii="Rockwell" w:hAnsi="Rockwell"/>
            <w:i/>
          </w:rPr>
          <w:t>SECTION 2 : COOPERATION AU NIVEAU SOUS-REGIONAL ET REGIONAL</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_Toc170209350 \h </w:instrText>
        </w:r>
        <w:r w:rsidR="00912BAE">
          <w:rPr>
            <w:rFonts w:ascii="Rockwell" w:hAnsi="Rockwell"/>
          </w:rPr>
        </w:r>
        <w:r w:rsidR="00912BAE">
          <w:rPr>
            <w:rFonts w:ascii="Rockwell" w:hAnsi="Rockwell"/>
          </w:rPr>
          <w:fldChar w:fldCharType="separate"/>
        </w:r>
        <w:r w:rsidR="00912BAE">
          <w:rPr>
            <w:rFonts w:ascii="Rockwell" w:hAnsi="Rockwell"/>
          </w:rPr>
          <w:t>136</w:t>
        </w:r>
        <w:r w:rsidR="00912BAE">
          <w:rPr>
            <w:rFonts w:ascii="Rockwell" w:hAnsi="Rockwell"/>
          </w:rPr>
          <w:fldChar w:fldCharType="end"/>
        </w:r>
      </w:hyperlink>
    </w:p>
    <w:p w14:paraId="2889577A" w14:textId="77777777" w:rsidR="00733207" w:rsidRDefault="00E06378">
      <w:pPr>
        <w:pStyle w:val="TM3"/>
        <w:tabs>
          <w:tab w:val="right" w:leader="dot" w:pos="9062"/>
        </w:tabs>
        <w:jc w:val="both"/>
        <w:rPr>
          <w:rFonts w:ascii="Rockwell" w:hAnsi="Rockwell" w:cstheme="minorBidi"/>
        </w:rPr>
      </w:pPr>
      <w:hyperlink w:anchor="_Toc170209351" w:history="1">
        <w:r w:rsidR="00912BAE">
          <w:rPr>
            <w:rStyle w:val="Lienhypertexte"/>
            <w:rFonts w:ascii="Rockwell" w:hAnsi="Rockwell"/>
            <w:i/>
          </w:rPr>
          <w:t>SECTION 3 : PARTENARIAT AU NIVEAU NATIONAL</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_Toc170209351 \h </w:instrText>
        </w:r>
        <w:r w:rsidR="00912BAE">
          <w:rPr>
            <w:rFonts w:ascii="Rockwell" w:hAnsi="Rockwell"/>
          </w:rPr>
        </w:r>
        <w:r w:rsidR="00912BAE">
          <w:rPr>
            <w:rFonts w:ascii="Rockwell" w:hAnsi="Rockwell"/>
          </w:rPr>
          <w:fldChar w:fldCharType="separate"/>
        </w:r>
        <w:r w:rsidR="00912BAE">
          <w:rPr>
            <w:rFonts w:ascii="Rockwell" w:hAnsi="Rockwell"/>
          </w:rPr>
          <w:t>143</w:t>
        </w:r>
        <w:r w:rsidR="00912BAE">
          <w:rPr>
            <w:rFonts w:ascii="Rockwell" w:hAnsi="Rockwell"/>
          </w:rPr>
          <w:fldChar w:fldCharType="end"/>
        </w:r>
      </w:hyperlink>
    </w:p>
    <w:p w14:paraId="37EDBB10" w14:textId="77777777" w:rsidR="00733207" w:rsidRDefault="00E06378">
      <w:pPr>
        <w:pStyle w:val="TM1"/>
        <w:tabs>
          <w:tab w:val="right" w:leader="dot" w:pos="9062"/>
        </w:tabs>
        <w:jc w:val="both"/>
        <w:rPr>
          <w:rFonts w:ascii="Rockwell" w:hAnsi="Rockwell" w:cstheme="minorBidi"/>
        </w:rPr>
      </w:pPr>
      <w:hyperlink w:anchor="_Toc170209352" w:history="1">
        <w:r w:rsidR="00912BAE">
          <w:rPr>
            <w:rStyle w:val="Lienhypertexte"/>
            <w:rFonts w:ascii="Rockwell" w:hAnsi="Rockwell"/>
            <w:b/>
          </w:rPr>
          <w:t>QUATRIEME PARTIE : GESTION DES RESSOURCES HUMAINES, FINANCIERES ET DES MATIERES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_Toc170209352 \h </w:instrText>
        </w:r>
        <w:r w:rsidR="00912BAE">
          <w:rPr>
            <w:rFonts w:ascii="Rockwell" w:hAnsi="Rockwell"/>
          </w:rPr>
        </w:r>
        <w:r w:rsidR="00912BAE">
          <w:rPr>
            <w:rFonts w:ascii="Rockwell" w:hAnsi="Rockwell"/>
          </w:rPr>
          <w:fldChar w:fldCharType="separate"/>
        </w:r>
        <w:r w:rsidR="00912BAE">
          <w:rPr>
            <w:rFonts w:ascii="Rockwell" w:hAnsi="Rockwell"/>
          </w:rPr>
          <w:t>147</w:t>
        </w:r>
        <w:r w:rsidR="00912BAE">
          <w:rPr>
            <w:rFonts w:ascii="Rockwell" w:hAnsi="Rockwell"/>
          </w:rPr>
          <w:fldChar w:fldCharType="end"/>
        </w:r>
      </w:hyperlink>
    </w:p>
    <w:p w14:paraId="362E2330" w14:textId="77777777" w:rsidR="00733207" w:rsidRDefault="00E06378">
      <w:pPr>
        <w:pStyle w:val="TM2"/>
        <w:jc w:val="both"/>
        <w:rPr>
          <w:rFonts w:ascii="Rockwell" w:hAnsi="Rockwell" w:cstheme="minorBidi"/>
        </w:rPr>
      </w:pPr>
      <w:hyperlink w:anchor="_Toc170209353" w:history="1">
        <w:r w:rsidR="00912BAE">
          <w:rPr>
            <w:rStyle w:val="Lienhypertexte"/>
            <w:rFonts w:ascii="Rockwell" w:hAnsi="Rockwell"/>
            <w:b/>
          </w:rPr>
          <w:t>CHAPITRE I : GESTION DES RESSOURCES HUMAINES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_Toc170209353 \h </w:instrText>
        </w:r>
        <w:r w:rsidR="00912BAE">
          <w:rPr>
            <w:rFonts w:ascii="Rockwell" w:hAnsi="Rockwell"/>
          </w:rPr>
        </w:r>
        <w:r w:rsidR="00912BAE">
          <w:rPr>
            <w:rFonts w:ascii="Rockwell" w:hAnsi="Rockwell"/>
          </w:rPr>
          <w:fldChar w:fldCharType="separate"/>
        </w:r>
        <w:r w:rsidR="00912BAE">
          <w:rPr>
            <w:rFonts w:ascii="Rockwell" w:hAnsi="Rockwell"/>
          </w:rPr>
          <w:t>148</w:t>
        </w:r>
        <w:r w:rsidR="00912BAE">
          <w:rPr>
            <w:rFonts w:ascii="Rockwell" w:hAnsi="Rockwell"/>
          </w:rPr>
          <w:fldChar w:fldCharType="end"/>
        </w:r>
      </w:hyperlink>
    </w:p>
    <w:p w14:paraId="2308C221" w14:textId="77777777" w:rsidR="00733207" w:rsidRDefault="00E06378">
      <w:pPr>
        <w:pStyle w:val="TM3"/>
        <w:tabs>
          <w:tab w:val="right" w:leader="dot" w:pos="9062"/>
        </w:tabs>
        <w:jc w:val="both"/>
        <w:rPr>
          <w:rFonts w:ascii="Rockwell" w:hAnsi="Rockwell" w:cstheme="minorBidi"/>
        </w:rPr>
      </w:pPr>
      <w:hyperlink w:anchor="_Toc170209354" w:history="1">
        <w:r w:rsidR="00912BAE">
          <w:rPr>
            <w:rStyle w:val="Lienhypertexte"/>
            <w:rFonts w:ascii="Rockwell" w:hAnsi="Rockwell"/>
          </w:rPr>
          <w:t>SECTION 1 : GESTION ADMINISTRATIVE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_Toc170209354 \h </w:instrText>
        </w:r>
        <w:r w:rsidR="00912BAE">
          <w:rPr>
            <w:rFonts w:ascii="Rockwell" w:hAnsi="Rockwell"/>
          </w:rPr>
        </w:r>
        <w:r w:rsidR="00912BAE">
          <w:rPr>
            <w:rFonts w:ascii="Rockwell" w:hAnsi="Rockwell"/>
          </w:rPr>
          <w:fldChar w:fldCharType="separate"/>
        </w:r>
        <w:r w:rsidR="00912BAE">
          <w:rPr>
            <w:rFonts w:ascii="Rockwell" w:hAnsi="Rockwell"/>
          </w:rPr>
          <w:t>148</w:t>
        </w:r>
        <w:r w:rsidR="00912BAE">
          <w:rPr>
            <w:rFonts w:ascii="Rockwell" w:hAnsi="Rockwell"/>
          </w:rPr>
          <w:fldChar w:fldCharType="end"/>
        </w:r>
      </w:hyperlink>
    </w:p>
    <w:p w14:paraId="220C2FBA" w14:textId="77777777" w:rsidR="00733207" w:rsidRDefault="00E06378">
      <w:pPr>
        <w:pStyle w:val="TM3"/>
        <w:tabs>
          <w:tab w:val="right" w:leader="dot" w:pos="9062"/>
        </w:tabs>
        <w:jc w:val="both"/>
        <w:rPr>
          <w:rFonts w:ascii="Rockwell" w:hAnsi="Rockwell" w:cstheme="minorBidi"/>
        </w:rPr>
      </w:pPr>
      <w:hyperlink w:anchor="_Toc170209355" w:history="1">
        <w:r w:rsidR="00912BAE">
          <w:rPr>
            <w:rStyle w:val="Lienhypertexte"/>
            <w:rFonts w:ascii="Rockwell" w:hAnsi="Rockwell"/>
            <w:i/>
          </w:rPr>
          <w:t>SECTION 2 : DISTINCTIONS HONORIFIQUES, RENFORCEMENT DES CAPACITES DU PERSONNEL ET ACTIVITES SOCIALES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_Toc170209355 \h </w:instrText>
        </w:r>
        <w:r w:rsidR="00912BAE">
          <w:rPr>
            <w:rFonts w:ascii="Rockwell" w:hAnsi="Rockwell"/>
          </w:rPr>
        </w:r>
        <w:r w:rsidR="00912BAE">
          <w:rPr>
            <w:rFonts w:ascii="Rockwell" w:hAnsi="Rockwell"/>
          </w:rPr>
          <w:fldChar w:fldCharType="separate"/>
        </w:r>
        <w:r w:rsidR="00912BAE">
          <w:rPr>
            <w:rFonts w:ascii="Rockwell" w:hAnsi="Rockwell"/>
          </w:rPr>
          <w:t>153</w:t>
        </w:r>
        <w:r w:rsidR="00912BAE">
          <w:rPr>
            <w:rFonts w:ascii="Rockwell" w:hAnsi="Rockwell"/>
          </w:rPr>
          <w:fldChar w:fldCharType="end"/>
        </w:r>
      </w:hyperlink>
    </w:p>
    <w:p w14:paraId="488FADD7" w14:textId="77777777" w:rsidR="00733207" w:rsidRDefault="00E06378">
      <w:pPr>
        <w:pStyle w:val="TM2"/>
        <w:jc w:val="both"/>
        <w:rPr>
          <w:rFonts w:ascii="Rockwell" w:hAnsi="Rockwell" w:cstheme="minorBidi"/>
        </w:rPr>
      </w:pPr>
      <w:hyperlink w:anchor="_Toc170209356" w:history="1">
        <w:r w:rsidR="00912BAE">
          <w:rPr>
            <w:rStyle w:val="Lienhypertexte"/>
            <w:rFonts w:ascii="Rockwell" w:hAnsi="Rockwell"/>
            <w:b/>
          </w:rPr>
          <w:t>CHAPITRE II : GESTION FINANCIERE ET DES MATIERES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_Toc170209356 \h </w:instrText>
        </w:r>
        <w:r w:rsidR="00912BAE">
          <w:rPr>
            <w:rFonts w:ascii="Rockwell" w:hAnsi="Rockwell"/>
          </w:rPr>
        </w:r>
        <w:r w:rsidR="00912BAE">
          <w:rPr>
            <w:rFonts w:ascii="Rockwell" w:hAnsi="Rockwell"/>
          </w:rPr>
          <w:fldChar w:fldCharType="separate"/>
        </w:r>
        <w:r w:rsidR="00912BAE">
          <w:rPr>
            <w:rFonts w:ascii="Rockwell" w:hAnsi="Rockwell"/>
          </w:rPr>
          <w:t>160</w:t>
        </w:r>
        <w:r w:rsidR="00912BAE">
          <w:rPr>
            <w:rFonts w:ascii="Rockwell" w:hAnsi="Rockwell"/>
          </w:rPr>
          <w:fldChar w:fldCharType="end"/>
        </w:r>
      </w:hyperlink>
    </w:p>
    <w:p w14:paraId="4B0CDE95" w14:textId="77777777" w:rsidR="00733207" w:rsidRDefault="00E06378">
      <w:pPr>
        <w:pStyle w:val="TM3"/>
        <w:tabs>
          <w:tab w:val="right" w:leader="dot" w:pos="9062"/>
        </w:tabs>
        <w:jc w:val="both"/>
        <w:rPr>
          <w:rFonts w:ascii="Rockwell" w:hAnsi="Rockwell" w:cstheme="minorBidi"/>
        </w:rPr>
      </w:pPr>
      <w:hyperlink w:anchor="_Toc170209357" w:history="1">
        <w:r w:rsidR="00912BAE">
          <w:rPr>
            <w:rStyle w:val="Lienhypertexte"/>
            <w:rFonts w:ascii="Rockwell" w:hAnsi="Rockwell"/>
            <w:b/>
          </w:rPr>
          <w:t>SECTION 1 : GESTION FINANCIERE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_Toc170209357 \h </w:instrText>
        </w:r>
        <w:r w:rsidR="00912BAE">
          <w:rPr>
            <w:rFonts w:ascii="Rockwell" w:hAnsi="Rockwell"/>
          </w:rPr>
        </w:r>
        <w:r w:rsidR="00912BAE">
          <w:rPr>
            <w:rFonts w:ascii="Rockwell" w:hAnsi="Rockwell"/>
          </w:rPr>
          <w:fldChar w:fldCharType="separate"/>
        </w:r>
        <w:r w:rsidR="00912BAE">
          <w:rPr>
            <w:rFonts w:ascii="Rockwell" w:hAnsi="Rockwell"/>
          </w:rPr>
          <w:t>160</w:t>
        </w:r>
        <w:r w:rsidR="00912BAE">
          <w:rPr>
            <w:rFonts w:ascii="Rockwell" w:hAnsi="Rockwell"/>
          </w:rPr>
          <w:fldChar w:fldCharType="end"/>
        </w:r>
      </w:hyperlink>
    </w:p>
    <w:p w14:paraId="47C3CCED" w14:textId="77777777" w:rsidR="00733207" w:rsidRDefault="00E06378">
      <w:pPr>
        <w:pStyle w:val="TM3"/>
        <w:tabs>
          <w:tab w:val="right" w:leader="dot" w:pos="9062"/>
        </w:tabs>
        <w:jc w:val="both"/>
        <w:rPr>
          <w:rFonts w:ascii="Rockwell" w:hAnsi="Rockwell" w:cstheme="minorBidi"/>
        </w:rPr>
      </w:pPr>
      <w:hyperlink w:anchor="_Toc170209358" w:history="1">
        <w:r w:rsidR="00912BAE">
          <w:rPr>
            <w:rStyle w:val="Lienhypertexte"/>
            <w:rFonts w:ascii="Rockwell" w:hAnsi="Rockwell"/>
            <w:i/>
          </w:rPr>
          <w:t>SECTION 2 : GESTION DES MATIERES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_Toc170209358 \h </w:instrText>
        </w:r>
        <w:r w:rsidR="00912BAE">
          <w:rPr>
            <w:rFonts w:ascii="Rockwell" w:hAnsi="Rockwell"/>
          </w:rPr>
        </w:r>
        <w:r w:rsidR="00912BAE">
          <w:rPr>
            <w:rFonts w:ascii="Rockwell" w:hAnsi="Rockwell"/>
          </w:rPr>
          <w:fldChar w:fldCharType="separate"/>
        </w:r>
        <w:r w:rsidR="00912BAE">
          <w:rPr>
            <w:rFonts w:ascii="Rockwell" w:hAnsi="Rockwell"/>
          </w:rPr>
          <w:t>163</w:t>
        </w:r>
        <w:r w:rsidR="00912BAE">
          <w:rPr>
            <w:rFonts w:ascii="Rockwell" w:hAnsi="Rockwell"/>
          </w:rPr>
          <w:fldChar w:fldCharType="end"/>
        </w:r>
      </w:hyperlink>
    </w:p>
    <w:p w14:paraId="3D996EEC" w14:textId="77777777" w:rsidR="00733207" w:rsidRDefault="00E06378">
      <w:pPr>
        <w:pStyle w:val="TM1"/>
        <w:tabs>
          <w:tab w:val="right" w:leader="dot" w:pos="9062"/>
        </w:tabs>
        <w:jc w:val="both"/>
        <w:rPr>
          <w:rFonts w:ascii="Rockwell" w:hAnsi="Rockwell" w:cstheme="minorBidi"/>
        </w:rPr>
      </w:pPr>
      <w:hyperlink w:anchor="_Toc170209359" w:history="1">
        <w:r w:rsidR="00912BAE">
          <w:rPr>
            <w:rStyle w:val="Lienhypertexte"/>
            <w:rFonts w:ascii="Rockwell" w:hAnsi="Rockwell"/>
            <w:b/>
          </w:rPr>
          <w:t>CINQUIEME PARTIE : ACQUIS, PERSPECTIVES ET RECOMMANDATIONS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_Toc170209359 \h </w:instrText>
        </w:r>
        <w:r w:rsidR="00912BAE">
          <w:rPr>
            <w:rFonts w:ascii="Rockwell" w:hAnsi="Rockwell"/>
          </w:rPr>
        </w:r>
        <w:r w:rsidR="00912BAE">
          <w:rPr>
            <w:rFonts w:ascii="Rockwell" w:hAnsi="Rockwell"/>
          </w:rPr>
          <w:fldChar w:fldCharType="separate"/>
        </w:r>
        <w:r w:rsidR="00912BAE">
          <w:rPr>
            <w:rFonts w:ascii="Rockwell" w:hAnsi="Rockwell"/>
          </w:rPr>
          <w:t>165</w:t>
        </w:r>
        <w:r w:rsidR="00912BAE">
          <w:rPr>
            <w:rFonts w:ascii="Rockwell" w:hAnsi="Rockwell"/>
          </w:rPr>
          <w:fldChar w:fldCharType="end"/>
        </w:r>
      </w:hyperlink>
    </w:p>
    <w:p w14:paraId="424130DF" w14:textId="77777777" w:rsidR="00733207" w:rsidRDefault="00E06378">
      <w:pPr>
        <w:pStyle w:val="TM2"/>
        <w:jc w:val="both"/>
        <w:rPr>
          <w:rFonts w:ascii="Rockwell" w:hAnsi="Rockwell" w:cstheme="minorBidi"/>
        </w:rPr>
      </w:pPr>
      <w:hyperlink w:anchor="_Toc170209360" w:history="1">
        <w:r w:rsidR="00912BAE">
          <w:rPr>
            <w:rStyle w:val="Lienhypertexte"/>
            <w:rFonts w:ascii="Rockwell" w:hAnsi="Rockwell"/>
            <w:b/>
          </w:rPr>
          <w:t>CHAPITRE I : ACQUIS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_Toc170209360 \h </w:instrText>
        </w:r>
        <w:r w:rsidR="00912BAE">
          <w:rPr>
            <w:rFonts w:ascii="Rockwell" w:hAnsi="Rockwell"/>
          </w:rPr>
        </w:r>
        <w:r w:rsidR="00912BAE">
          <w:rPr>
            <w:rFonts w:ascii="Rockwell" w:hAnsi="Rockwell"/>
          </w:rPr>
          <w:fldChar w:fldCharType="separate"/>
        </w:r>
        <w:r w:rsidR="00912BAE">
          <w:rPr>
            <w:rFonts w:ascii="Rockwell" w:hAnsi="Rockwell"/>
          </w:rPr>
          <w:t>166</w:t>
        </w:r>
        <w:r w:rsidR="00912BAE">
          <w:rPr>
            <w:rFonts w:ascii="Rockwell" w:hAnsi="Rockwell"/>
          </w:rPr>
          <w:fldChar w:fldCharType="end"/>
        </w:r>
      </w:hyperlink>
    </w:p>
    <w:p w14:paraId="59FCAC62" w14:textId="77777777" w:rsidR="00733207" w:rsidRDefault="00E06378">
      <w:pPr>
        <w:pStyle w:val="TM3"/>
        <w:tabs>
          <w:tab w:val="right" w:leader="dot" w:pos="9062"/>
        </w:tabs>
        <w:jc w:val="both"/>
        <w:rPr>
          <w:rFonts w:ascii="Rockwell" w:hAnsi="Rockwell" w:cstheme="minorBidi"/>
        </w:rPr>
      </w:pPr>
      <w:hyperlink w:anchor="_Toc170209361" w:history="1">
        <w:r w:rsidR="00912BAE">
          <w:rPr>
            <w:rStyle w:val="Lienhypertexte"/>
            <w:rFonts w:ascii="Rockwell" w:eastAsia="Arial Narrow" w:hAnsi="Rockwell"/>
            <w:i/>
          </w:rPr>
          <w:t>SECTION 1 : ACQUIS D’ORDRE ADMINISTRATIF ET ORGANISATIONNEL</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_Toc170209361 \h </w:instrText>
        </w:r>
        <w:r w:rsidR="00912BAE">
          <w:rPr>
            <w:rFonts w:ascii="Rockwell" w:hAnsi="Rockwell"/>
          </w:rPr>
        </w:r>
        <w:r w:rsidR="00912BAE">
          <w:rPr>
            <w:rFonts w:ascii="Rockwell" w:hAnsi="Rockwell"/>
          </w:rPr>
          <w:fldChar w:fldCharType="separate"/>
        </w:r>
        <w:r w:rsidR="00912BAE">
          <w:rPr>
            <w:rFonts w:ascii="Rockwell" w:hAnsi="Rockwell"/>
          </w:rPr>
          <w:t>166</w:t>
        </w:r>
        <w:r w:rsidR="00912BAE">
          <w:rPr>
            <w:rFonts w:ascii="Rockwell" w:hAnsi="Rockwell"/>
          </w:rPr>
          <w:fldChar w:fldCharType="end"/>
        </w:r>
      </w:hyperlink>
    </w:p>
    <w:p w14:paraId="4D6E0F7B" w14:textId="77777777" w:rsidR="00733207" w:rsidRDefault="00E06378">
      <w:pPr>
        <w:pStyle w:val="TM3"/>
        <w:tabs>
          <w:tab w:val="right" w:leader="dot" w:pos="9062"/>
        </w:tabs>
        <w:jc w:val="both"/>
        <w:rPr>
          <w:rFonts w:ascii="Rockwell" w:hAnsi="Rockwell" w:cstheme="minorBidi"/>
        </w:rPr>
      </w:pPr>
      <w:hyperlink w:anchor="_Toc170209362" w:history="1">
        <w:r w:rsidR="00912BAE">
          <w:rPr>
            <w:rStyle w:val="Lienhypertexte"/>
            <w:rFonts w:ascii="Rockwell" w:eastAsia="Arial Narrow" w:hAnsi="Rockwell"/>
            <w:i/>
          </w:rPr>
          <w:t>SECTION 2 : ACQUIS D’ORDRE MATERIEL ET TECHNOLOGIQUE</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_Toc170209362 \h </w:instrText>
        </w:r>
        <w:r w:rsidR="00912BAE">
          <w:rPr>
            <w:rFonts w:ascii="Rockwell" w:hAnsi="Rockwell"/>
          </w:rPr>
        </w:r>
        <w:r w:rsidR="00912BAE">
          <w:rPr>
            <w:rFonts w:ascii="Rockwell" w:hAnsi="Rockwell"/>
          </w:rPr>
          <w:fldChar w:fldCharType="separate"/>
        </w:r>
        <w:r w:rsidR="00912BAE">
          <w:rPr>
            <w:rFonts w:ascii="Rockwell" w:hAnsi="Rockwell"/>
          </w:rPr>
          <w:t>167</w:t>
        </w:r>
        <w:r w:rsidR="00912BAE">
          <w:rPr>
            <w:rFonts w:ascii="Rockwell" w:hAnsi="Rockwell"/>
          </w:rPr>
          <w:fldChar w:fldCharType="end"/>
        </w:r>
      </w:hyperlink>
    </w:p>
    <w:p w14:paraId="1254C065" w14:textId="77777777" w:rsidR="00733207" w:rsidRDefault="00E06378">
      <w:pPr>
        <w:pStyle w:val="TM2"/>
        <w:jc w:val="both"/>
        <w:rPr>
          <w:rFonts w:ascii="Rockwell" w:hAnsi="Rockwell" w:cstheme="minorBidi"/>
        </w:rPr>
      </w:pPr>
      <w:hyperlink w:anchor="_Toc170209363" w:history="1">
        <w:r w:rsidR="00912BAE">
          <w:rPr>
            <w:rStyle w:val="Lienhypertexte"/>
            <w:rFonts w:ascii="Rockwell" w:hAnsi="Rockwell"/>
            <w:b/>
          </w:rPr>
          <w:t>CHAPITRE II : PERSPECTIVES ET RECOMMANDATIONS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_Toc170209363 \h </w:instrText>
        </w:r>
        <w:r w:rsidR="00912BAE">
          <w:rPr>
            <w:rFonts w:ascii="Rockwell" w:hAnsi="Rockwell"/>
          </w:rPr>
        </w:r>
        <w:r w:rsidR="00912BAE">
          <w:rPr>
            <w:rFonts w:ascii="Rockwell" w:hAnsi="Rockwell"/>
          </w:rPr>
          <w:fldChar w:fldCharType="separate"/>
        </w:r>
        <w:r w:rsidR="00912BAE">
          <w:rPr>
            <w:rFonts w:ascii="Rockwell" w:hAnsi="Rockwell"/>
          </w:rPr>
          <w:t>169</w:t>
        </w:r>
        <w:r w:rsidR="00912BAE">
          <w:rPr>
            <w:rFonts w:ascii="Rockwell" w:hAnsi="Rockwell"/>
          </w:rPr>
          <w:fldChar w:fldCharType="end"/>
        </w:r>
      </w:hyperlink>
    </w:p>
    <w:p w14:paraId="5865ACF2" w14:textId="77777777" w:rsidR="00733207" w:rsidRDefault="00E06378">
      <w:pPr>
        <w:pStyle w:val="TM3"/>
        <w:tabs>
          <w:tab w:val="right" w:leader="dot" w:pos="9062"/>
        </w:tabs>
        <w:jc w:val="both"/>
        <w:rPr>
          <w:rFonts w:ascii="Rockwell" w:hAnsi="Rockwell" w:cstheme="minorBidi"/>
        </w:rPr>
      </w:pPr>
      <w:hyperlink w:anchor="_Toc170209364" w:history="1">
        <w:r w:rsidR="00912BAE">
          <w:rPr>
            <w:rStyle w:val="Lienhypertexte"/>
            <w:rFonts w:ascii="Rockwell" w:hAnsi="Rockwell"/>
            <w:i/>
          </w:rPr>
          <w:t>SECTION 1 : PERSPECTIVES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_Toc170209364 \h </w:instrText>
        </w:r>
        <w:r w:rsidR="00912BAE">
          <w:rPr>
            <w:rFonts w:ascii="Rockwell" w:hAnsi="Rockwell"/>
          </w:rPr>
        </w:r>
        <w:r w:rsidR="00912BAE">
          <w:rPr>
            <w:rFonts w:ascii="Rockwell" w:hAnsi="Rockwell"/>
          </w:rPr>
          <w:fldChar w:fldCharType="separate"/>
        </w:r>
        <w:r w:rsidR="00912BAE">
          <w:rPr>
            <w:rFonts w:ascii="Rockwell" w:hAnsi="Rockwell"/>
          </w:rPr>
          <w:t>169</w:t>
        </w:r>
        <w:r w:rsidR="00912BAE">
          <w:rPr>
            <w:rFonts w:ascii="Rockwell" w:hAnsi="Rockwell"/>
          </w:rPr>
          <w:fldChar w:fldCharType="end"/>
        </w:r>
      </w:hyperlink>
    </w:p>
    <w:p w14:paraId="4FA899FA" w14:textId="77777777" w:rsidR="00733207" w:rsidRDefault="00E06378">
      <w:pPr>
        <w:pStyle w:val="TM3"/>
        <w:tabs>
          <w:tab w:val="right" w:leader="dot" w:pos="9062"/>
        </w:tabs>
        <w:jc w:val="both"/>
        <w:rPr>
          <w:rFonts w:ascii="Rockwell" w:hAnsi="Rockwell" w:cstheme="minorBidi"/>
        </w:rPr>
      </w:pPr>
      <w:hyperlink w:anchor="_Toc170209365" w:history="1">
        <w:r w:rsidR="00912BAE">
          <w:rPr>
            <w:rStyle w:val="Lienhypertexte"/>
            <w:rFonts w:ascii="Rockwell" w:hAnsi="Rockwell"/>
            <w:i/>
          </w:rPr>
          <w:t>SECTION 2 : RECOMMANDATIONS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_Toc170209365 \h </w:instrText>
        </w:r>
        <w:r w:rsidR="00912BAE">
          <w:rPr>
            <w:rFonts w:ascii="Rockwell" w:hAnsi="Rockwell"/>
          </w:rPr>
        </w:r>
        <w:r w:rsidR="00912BAE">
          <w:rPr>
            <w:rFonts w:ascii="Rockwell" w:hAnsi="Rockwell"/>
          </w:rPr>
          <w:fldChar w:fldCharType="separate"/>
        </w:r>
        <w:r w:rsidR="00912BAE">
          <w:rPr>
            <w:rFonts w:ascii="Rockwell" w:hAnsi="Rockwell"/>
          </w:rPr>
          <w:t>170</w:t>
        </w:r>
        <w:r w:rsidR="00912BAE">
          <w:rPr>
            <w:rFonts w:ascii="Rockwell" w:hAnsi="Rockwell"/>
          </w:rPr>
          <w:fldChar w:fldCharType="end"/>
        </w:r>
      </w:hyperlink>
    </w:p>
    <w:p w14:paraId="1227F266" w14:textId="77777777" w:rsidR="00733207" w:rsidRDefault="00E06378">
      <w:pPr>
        <w:pStyle w:val="TM1"/>
        <w:tabs>
          <w:tab w:val="right" w:leader="dot" w:pos="9062"/>
        </w:tabs>
        <w:jc w:val="both"/>
        <w:rPr>
          <w:rFonts w:ascii="Rockwell" w:hAnsi="Rockwell" w:cstheme="minorBidi"/>
        </w:rPr>
      </w:pPr>
      <w:hyperlink w:anchor="_Toc170209366" w:history="1">
        <w:r w:rsidR="00912BAE">
          <w:rPr>
            <w:rStyle w:val="Lienhypertexte"/>
            <w:rFonts w:ascii="Rockwell" w:hAnsi="Rockwell"/>
            <w:b/>
          </w:rPr>
          <w:t>CONCLUSION</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_Toc170209366 \h </w:instrText>
        </w:r>
        <w:r w:rsidR="00912BAE">
          <w:rPr>
            <w:rFonts w:ascii="Rockwell" w:hAnsi="Rockwell"/>
          </w:rPr>
        </w:r>
        <w:r w:rsidR="00912BAE">
          <w:rPr>
            <w:rFonts w:ascii="Rockwell" w:hAnsi="Rockwell"/>
          </w:rPr>
          <w:fldChar w:fldCharType="separate"/>
        </w:r>
        <w:r w:rsidR="00912BAE">
          <w:rPr>
            <w:rFonts w:ascii="Rockwell" w:hAnsi="Rockwell"/>
          </w:rPr>
          <w:t>171</w:t>
        </w:r>
        <w:r w:rsidR="00912BAE">
          <w:rPr>
            <w:rFonts w:ascii="Rockwell" w:hAnsi="Rockwell"/>
          </w:rPr>
          <w:fldChar w:fldCharType="end"/>
        </w:r>
      </w:hyperlink>
    </w:p>
    <w:p w14:paraId="218B0015" w14:textId="77777777" w:rsidR="00733207" w:rsidRDefault="00E06378">
      <w:pPr>
        <w:pStyle w:val="TM1"/>
        <w:tabs>
          <w:tab w:val="right" w:leader="dot" w:pos="9062"/>
        </w:tabs>
        <w:jc w:val="both"/>
        <w:rPr>
          <w:rFonts w:ascii="Rockwell" w:hAnsi="Rockwell" w:cstheme="minorBidi"/>
        </w:rPr>
      </w:pPr>
      <w:hyperlink w:anchor="_Toc170209367" w:history="1">
        <w:r w:rsidR="00912BAE">
          <w:rPr>
            <w:rStyle w:val="Lienhypertexte"/>
            <w:rFonts w:ascii="Rockwell" w:hAnsi="Rockwell"/>
            <w:b/>
          </w:rPr>
          <w:t>TABLE DES MATIERES</w:t>
        </w:r>
        <w:r w:rsidR="00912BAE">
          <w:rPr>
            <w:rFonts w:ascii="Rockwell" w:hAnsi="Rockwell"/>
          </w:rPr>
          <w:tab/>
        </w:r>
        <w:r w:rsidR="00912BAE">
          <w:rPr>
            <w:rFonts w:ascii="Rockwell" w:hAnsi="Rockwell"/>
          </w:rPr>
          <w:fldChar w:fldCharType="begin"/>
        </w:r>
        <w:r w:rsidR="00912BAE">
          <w:rPr>
            <w:rFonts w:ascii="Rockwell" w:hAnsi="Rockwell"/>
          </w:rPr>
          <w:instrText xml:space="preserve"> PAGEREF _Toc170209367 \h </w:instrText>
        </w:r>
        <w:r w:rsidR="00912BAE">
          <w:rPr>
            <w:rFonts w:ascii="Rockwell" w:hAnsi="Rockwell"/>
          </w:rPr>
        </w:r>
        <w:r w:rsidR="00912BAE">
          <w:rPr>
            <w:rFonts w:ascii="Rockwell" w:hAnsi="Rockwell"/>
          </w:rPr>
          <w:fldChar w:fldCharType="separate"/>
        </w:r>
        <w:r w:rsidR="00912BAE">
          <w:rPr>
            <w:rFonts w:ascii="Rockwell" w:hAnsi="Rockwell"/>
          </w:rPr>
          <w:t>173</w:t>
        </w:r>
        <w:r w:rsidR="00912BAE">
          <w:rPr>
            <w:rFonts w:ascii="Rockwell" w:hAnsi="Rockwell"/>
          </w:rPr>
          <w:fldChar w:fldCharType="end"/>
        </w:r>
      </w:hyperlink>
    </w:p>
    <w:p w14:paraId="7A67D553" w14:textId="77777777" w:rsidR="00733207" w:rsidRDefault="00912BAE">
      <w:pPr>
        <w:jc w:val="both"/>
        <w:rPr>
          <w:rFonts w:ascii="Rockwell" w:hAnsi="Rockwell"/>
        </w:rPr>
        <w:sectPr w:rsidR="00733207">
          <w:pgSz w:w="11906" w:h="16838"/>
          <w:pgMar w:top="1417" w:right="1417" w:bottom="1417" w:left="1417" w:header="708" w:footer="708" w:gutter="0"/>
          <w:cols w:space="708"/>
          <w:docGrid w:linePitch="360"/>
        </w:sectPr>
      </w:pPr>
      <w:r>
        <w:rPr>
          <w:rFonts w:ascii="Rockwell" w:hAnsi="Rockwell"/>
        </w:rPr>
        <w:fldChar w:fldCharType="end"/>
      </w:r>
      <w:bookmarkStart w:id="7" w:name="_Toc169854351"/>
      <w:bookmarkStart w:id="8" w:name="_Toc169855081"/>
    </w:p>
    <w:p w14:paraId="4359025F" w14:textId="6867526F" w:rsidR="00733207" w:rsidRDefault="00912BAE">
      <w:pPr>
        <w:pStyle w:val="Titre1"/>
        <w:jc w:val="center"/>
        <w:rPr>
          <w:rFonts w:ascii="Rockwell" w:hAnsi="Rockwell"/>
          <w:b/>
          <w:color w:val="auto"/>
        </w:rPr>
      </w:pPr>
      <w:bookmarkStart w:id="9" w:name="_Toc170209311"/>
      <w:bookmarkStart w:id="10" w:name="_Toc175128421"/>
      <w:r>
        <w:rPr>
          <w:rFonts w:ascii="Rockwell" w:hAnsi="Rockwell"/>
          <w:b/>
          <w:color w:val="auto"/>
        </w:rPr>
        <w:lastRenderedPageBreak/>
        <w:t>SIGLES ET ABREVIATIONS</w:t>
      </w:r>
      <w:bookmarkEnd w:id="4"/>
      <w:bookmarkEnd w:id="5"/>
      <w:bookmarkEnd w:id="6"/>
      <w:bookmarkEnd w:id="7"/>
      <w:bookmarkEnd w:id="8"/>
      <w:bookmarkEnd w:id="9"/>
      <w:bookmarkEnd w:id="10"/>
    </w:p>
    <w:tbl>
      <w:tblPr>
        <w:tblW w:w="9776" w:type="dxa"/>
        <w:jc w:val="center"/>
        <w:tblLayout w:type="fixed"/>
        <w:tblCellMar>
          <w:left w:w="10" w:type="dxa"/>
          <w:right w:w="10" w:type="dxa"/>
        </w:tblCellMar>
        <w:tblLook w:val="04A0" w:firstRow="1" w:lastRow="0" w:firstColumn="1" w:lastColumn="0" w:noHBand="0" w:noVBand="1"/>
      </w:tblPr>
      <w:tblGrid>
        <w:gridCol w:w="2405"/>
        <w:gridCol w:w="7371"/>
      </w:tblGrid>
      <w:tr w:rsidR="00733207" w14:paraId="6B96A09A" w14:textId="77777777">
        <w:trPr>
          <w:trHeight w:val="367"/>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BFDC4D"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ABB</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7333C9" w14:textId="77777777" w:rsidR="00733207" w:rsidRDefault="00912BAE">
            <w:pPr>
              <w:spacing w:beforeLines="60" w:before="144" w:afterLines="60" w:after="144" w:line="276" w:lineRule="auto"/>
              <w:ind w:firstLine="34"/>
              <w:jc w:val="both"/>
              <w:rPr>
                <w:rFonts w:ascii="Rockwell" w:hAnsi="Rockwell"/>
                <w:sz w:val="26"/>
                <w:szCs w:val="26"/>
              </w:rPr>
            </w:pPr>
            <w:r>
              <w:rPr>
                <w:rFonts w:ascii="Rockwell" w:hAnsi="Rockwell"/>
                <w:bCs/>
                <w:sz w:val="26"/>
                <w:szCs w:val="26"/>
              </w:rPr>
              <w:t>Association des Blogueurs du Burkina</w:t>
            </w:r>
          </w:p>
        </w:tc>
      </w:tr>
      <w:tr w:rsidR="00733207" w14:paraId="579D6360" w14:textId="77777777">
        <w:trPr>
          <w:trHeight w:val="418"/>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9C1415"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ADB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BB1EE7" w14:textId="77777777" w:rsidR="00733207" w:rsidRDefault="00912BAE">
            <w:pPr>
              <w:spacing w:beforeLines="60" w:before="144" w:afterLines="60" w:after="144" w:line="276" w:lineRule="auto"/>
              <w:ind w:left="178" w:hanging="178"/>
              <w:jc w:val="both"/>
              <w:rPr>
                <w:rFonts w:ascii="Rockwell" w:hAnsi="Rockwell"/>
                <w:sz w:val="26"/>
                <w:szCs w:val="26"/>
              </w:rPr>
            </w:pPr>
            <w:r>
              <w:rPr>
                <w:rFonts w:ascii="Rockwell" w:hAnsi="Rockwell"/>
                <w:sz w:val="26"/>
                <w:szCs w:val="26"/>
              </w:rPr>
              <w:t>Alliance des Démocrates du Burkina</w:t>
            </w:r>
          </w:p>
        </w:tc>
      </w:tr>
      <w:tr w:rsidR="00733207" w14:paraId="53C11F9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BFA4373"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ADD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FA69FE" w14:textId="77777777" w:rsidR="00733207" w:rsidRDefault="00912BAE">
            <w:pPr>
              <w:spacing w:beforeLines="60" w:before="144" w:afterLines="60" w:after="144" w:line="276" w:lineRule="auto"/>
              <w:ind w:left="178" w:hanging="178"/>
              <w:jc w:val="both"/>
              <w:rPr>
                <w:rFonts w:ascii="Rockwell" w:hAnsi="Rockwell"/>
                <w:sz w:val="26"/>
                <w:szCs w:val="26"/>
              </w:rPr>
            </w:pPr>
            <w:r>
              <w:rPr>
                <w:rFonts w:ascii="Rockwell" w:hAnsi="Rockwell"/>
                <w:sz w:val="26"/>
                <w:szCs w:val="26"/>
              </w:rPr>
              <w:t>Alliance des Démocrates pour le Développement</w:t>
            </w:r>
          </w:p>
        </w:tc>
      </w:tr>
      <w:tr w:rsidR="00733207" w14:paraId="0A5F658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E600C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ADF/RDA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B7D397" w14:textId="77777777" w:rsidR="00733207" w:rsidRDefault="00912BAE">
            <w:pPr>
              <w:spacing w:beforeLines="60" w:before="144" w:afterLines="60" w:after="144" w:line="276" w:lineRule="auto"/>
              <w:ind w:hanging="178"/>
              <w:jc w:val="both"/>
              <w:rPr>
                <w:rFonts w:ascii="Rockwell" w:hAnsi="Rockwell"/>
                <w:sz w:val="26"/>
                <w:szCs w:val="26"/>
              </w:rPr>
            </w:pPr>
            <w:r>
              <w:rPr>
                <w:rFonts w:ascii="Rockwell" w:hAnsi="Rockwell"/>
                <w:sz w:val="26"/>
                <w:szCs w:val="26"/>
              </w:rPr>
              <w:t xml:space="preserve"> Alliance pour la Démocratie et </w:t>
            </w:r>
            <w:proofErr w:type="gramStart"/>
            <w:r>
              <w:rPr>
                <w:rFonts w:ascii="Rockwell" w:hAnsi="Rockwell"/>
                <w:sz w:val="26"/>
                <w:szCs w:val="26"/>
              </w:rPr>
              <w:t>la</w:t>
            </w:r>
            <w:proofErr w:type="gramEnd"/>
            <w:r>
              <w:rPr>
                <w:rFonts w:ascii="Rockwell" w:hAnsi="Rockwell"/>
                <w:sz w:val="26"/>
                <w:szCs w:val="26"/>
              </w:rPr>
              <w:t xml:space="preserve"> Fédération/Rassemblement</w:t>
            </w:r>
          </w:p>
          <w:p w14:paraId="733D1BC6"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Démocratique Africain</w:t>
            </w:r>
          </w:p>
        </w:tc>
      </w:tr>
      <w:tr w:rsidR="00733207" w14:paraId="6FAF62C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8C7BE5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ADP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DE13ED" w14:textId="77777777" w:rsidR="00733207" w:rsidRDefault="00912BAE">
            <w:pPr>
              <w:spacing w:beforeLines="60" w:before="144" w:afterLines="60" w:after="144" w:line="276" w:lineRule="auto"/>
              <w:ind w:left="178" w:hanging="178"/>
              <w:jc w:val="both"/>
              <w:rPr>
                <w:rFonts w:ascii="Rockwell" w:hAnsi="Rockwell"/>
                <w:sz w:val="26"/>
                <w:szCs w:val="26"/>
              </w:rPr>
            </w:pPr>
            <w:r>
              <w:rPr>
                <w:rFonts w:ascii="Rockwell" w:hAnsi="Rockwell"/>
                <w:sz w:val="26"/>
                <w:szCs w:val="26"/>
              </w:rPr>
              <w:t>Alliance pour la Défense de la Patrie</w:t>
            </w:r>
          </w:p>
        </w:tc>
      </w:tr>
      <w:tr w:rsidR="00733207" w14:paraId="13330EC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6C8977" w14:textId="77777777" w:rsidR="00733207" w:rsidRDefault="00912BAE">
            <w:pPr>
              <w:spacing w:beforeLines="60" w:before="144" w:afterLines="60" w:after="144" w:line="276" w:lineRule="auto"/>
              <w:jc w:val="both"/>
              <w:rPr>
                <w:rFonts w:ascii="Rockwell" w:eastAsia="Times New Roman" w:hAnsi="Rockwell" w:cs="Times New Roman"/>
                <w:sz w:val="26"/>
                <w:szCs w:val="26"/>
                <w:lang w:eastAsia="fr-FR"/>
              </w:rPr>
            </w:pPr>
            <w:r>
              <w:rPr>
                <w:rFonts w:ascii="Rockwell" w:eastAsia="Times New Roman" w:hAnsi="Rockwell" w:cs="Times New Roman"/>
                <w:b/>
                <w:sz w:val="26"/>
                <w:szCs w:val="26"/>
                <w:lang w:eastAsia="fr-FR"/>
              </w:rPr>
              <w:t>AEP/BF</w:t>
            </w:r>
            <w:r>
              <w:rPr>
                <w:rFonts w:ascii="Rockwell" w:eastAsia="Times New Roman" w:hAnsi="Rockwell" w:cs="Times New Roman"/>
                <w:sz w:val="26"/>
                <w:szCs w:val="26"/>
                <w:lang w:eastAsia="fr-FR"/>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CE25DBD" w14:textId="77777777" w:rsidR="00733207" w:rsidRDefault="00912BAE">
            <w:pPr>
              <w:spacing w:beforeLines="60" w:before="144" w:afterLines="60" w:after="144" w:line="276" w:lineRule="auto"/>
              <w:jc w:val="both"/>
              <w:rPr>
                <w:rFonts w:ascii="Rockwell" w:hAnsi="Rockwell"/>
                <w:sz w:val="26"/>
                <w:szCs w:val="26"/>
              </w:rPr>
            </w:pPr>
            <w:r>
              <w:rPr>
                <w:rFonts w:ascii="Rockwell" w:eastAsia="Times New Roman" w:hAnsi="Rockwell" w:cs="Times New Roman"/>
                <w:sz w:val="26"/>
                <w:szCs w:val="26"/>
                <w:lang w:eastAsia="fr-FR"/>
              </w:rPr>
              <w:t>Amicale Entre Profs / Burkina Faso</w:t>
            </w:r>
          </w:p>
        </w:tc>
      </w:tr>
      <w:tr w:rsidR="00733207" w14:paraId="35ED9B6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C9B597"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AEPJLN</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483387"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Association des Editeurs et Publicateurs de Journaux en Langues Nationales</w:t>
            </w:r>
          </w:p>
        </w:tc>
      </w:tr>
      <w:tr w:rsidR="00733207" w14:paraId="0515F5E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70BF8C" w14:textId="77777777" w:rsidR="00733207" w:rsidRDefault="00912BAE">
            <w:pPr>
              <w:spacing w:before="100" w:beforeAutospacing="1" w:after="100" w:afterAutospacing="1" w:line="276" w:lineRule="auto"/>
              <w:jc w:val="both"/>
              <w:rPr>
                <w:rFonts w:ascii="Rockwell" w:hAnsi="Rockwell" w:cs="Times New Roman"/>
                <w:sz w:val="26"/>
                <w:szCs w:val="26"/>
              </w:rPr>
            </w:pPr>
            <w:r>
              <w:rPr>
                <w:rFonts w:ascii="Rockwell" w:hAnsi="Rockwell" w:cs="Times New Roman"/>
                <w:b/>
                <w:sz w:val="26"/>
                <w:szCs w:val="26"/>
              </w:rPr>
              <w:t>AEPML</w:t>
            </w:r>
            <w:r>
              <w:rPr>
                <w:rFonts w:ascii="Rockwell" w:hAnsi="Rockwell" w:cs="Times New Roman"/>
                <w:sz w:val="26"/>
                <w:szCs w:val="26"/>
              </w:rPr>
              <w:t xml:space="preserve">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714FFA" w14:textId="77777777" w:rsidR="00733207" w:rsidRDefault="00912BAE">
            <w:pPr>
              <w:spacing w:before="100" w:beforeAutospacing="1" w:after="100" w:afterAutospacing="1" w:line="276" w:lineRule="auto"/>
              <w:jc w:val="both"/>
              <w:rPr>
                <w:rFonts w:ascii="Rockwell" w:hAnsi="Rockwell"/>
                <w:sz w:val="26"/>
                <w:szCs w:val="26"/>
              </w:rPr>
            </w:pPr>
            <w:r>
              <w:rPr>
                <w:rFonts w:ascii="Rockwell" w:hAnsi="Rockwell" w:cs="Times New Roman"/>
                <w:sz w:val="26"/>
                <w:szCs w:val="26"/>
              </w:rPr>
              <w:t>Association des Editeurs et Professionnels des Médias en Ligne</w:t>
            </w:r>
          </w:p>
        </w:tc>
      </w:tr>
      <w:tr w:rsidR="00733207" w14:paraId="33E8B09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68653DD"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AJB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A4C15AF"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Association des Journalistes du Burkina</w:t>
            </w:r>
          </w:p>
        </w:tc>
      </w:tr>
      <w:tr w:rsidR="00733207" w14:paraId="29D5975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CB7EC8"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AJSB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CB5DAE"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Association des Journalistes Sportifs du Burkina</w:t>
            </w:r>
          </w:p>
        </w:tc>
      </w:tr>
      <w:tr w:rsidR="00733207" w14:paraId="1D4AFCF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1B62EC"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ANC</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FAEBB0E" w14:textId="77777777" w:rsidR="00733207" w:rsidRDefault="00912BAE">
            <w:pPr>
              <w:spacing w:beforeLines="60" w:before="144" w:afterLines="60" w:after="144" w:line="276" w:lineRule="auto"/>
              <w:ind w:left="178" w:hanging="178"/>
              <w:jc w:val="both"/>
              <w:rPr>
                <w:rFonts w:ascii="Rockwell" w:hAnsi="Rockwell"/>
                <w:sz w:val="26"/>
                <w:szCs w:val="26"/>
              </w:rPr>
            </w:pPr>
            <w:r>
              <w:rPr>
                <w:rFonts w:ascii="Rockwell" w:hAnsi="Rockwell"/>
                <w:sz w:val="26"/>
                <w:szCs w:val="26"/>
              </w:rPr>
              <w:t>Alliance des Nouvelles Consciences</w:t>
            </w:r>
          </w:p>
        </w:tc>
      </w:tr>
      <w:tr w:rsidR="00733207" w14:paraId="044D599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D66B43"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APAC</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CDDCEA5"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Association des Professionnelles Africaines de la Communication</w:t>
            </w:r>
          </w:p>
        </w:tc>
      </w:tr>
      <w:tr w:rsidR="00733207" w14:paraId="2DC8E0B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730B44"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APP/B</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83EA86" w14:textId="77777777" w:rsidR="00733207" w:rsidRDefault="00912BAE">
            <w:pPr>
              <w:spacing w:beforeLines="60" w:before="144" w:afterLines="60" w:after="144" w:line="276" w:lineRule="auto"/>
              <w:ind w:left="178" w:hanging="178"/>
              <w:jc w:val="both"/>
              <w:rPr>
                <w:rFonts w:ascii="Rockwell" w:hAnsi="Rockwell"/>
                <w:sz w:val="26"/>
                <w:szCs w:val="26"/>
              </w:rPr>
            </w:pPr>
            <w:r>
              <w:rPr>
                <w:rFonts w:ascii="Rockwell" w:hAnsi="Rockwell"/>
                <w:color w:val="000000"/>
                <w:sz w:val="26"/>
                <w:szCs w:val="26"/>
              </w:rPr>
              <w:t>Alliance Patriotique Panafricaine/</w:t>
            </w:r>
            <w:proofErr w:type="spellStart"/>
            <w:r>
              <w:rPr>
                <w:rFonts w:ascii="Rockwell" w:hAnsi="Rockwell"/>
                <w:color w:val="000000"/>
                <w:sz w:val="26"/>
                <w:szCs w:val="26"/>
              </w:rPr>
              <w:t>Burkindi</w:t>
            </w:r>
            <w:proofErr w:type="spellEnd"/>
          </w:p>
        </w:tc>
      </w:tr>
      <w:tr w:rsidR="00733207" w14:paraId="78BABB6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616B48"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ARCI</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5D4F5F"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Association des Retraités de la Communication et de l’Information</w:t>
            </w:r>
          </w:p>
        </w:tc>
      </w:tr>
      <w:tr w:rsidR="00733207" w14:paraId="66DD34A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B4AB6C"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ARDI</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2126DF"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Alliance pour la Renaissance, la Démocratie et l'Intégration</w:t>
            </w:r>
          </w:p>
        </w:tc>
      </w:tr>
      <w:tr w:rsidR="00733207" w14:paraId="2058354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396C8A"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ATD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05D8BA"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 xml:space="preserve">Alliance Travailliste pour le Développement </w:t>
            </w:r>
          </w:p>
        </w:tc>
      </w:tr>
      <w:tr w:rsidR="00733207" w14:paraId="2F8B854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301D417"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BBDA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325FA2"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Bureau Burkinabè du Droit d’Auteur</w:t>
            </w:r>
          </w:p>
        </w:tc>
      </w:tr>
      <w:tr w:rsidR="00733207" w14:paraId="57A583B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84837B"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BCLCC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B4D03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Brigade Centrale de Lutte Contre la Cybercriminalité</w:t>
            </w:r>
          </w:p>
        </w:tc>
      </w:tr>
      <w:tr w:rsidR="00733207" w14:paraId="060EE99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BB998B"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lastRenderedPageBreak/>
              <w:t>CBC</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EFE1F98"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 xml:space="preserve">Conseil Burkinabè des Chargeurs </w:t>
            </w:r>
          </w:p>
        </w:tc>
      </w:tr>
      <w:tr w:rsidR="00733207" w14:paraId="370F96E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249B8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CDP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704B8F"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Congrès pour la Démocratie et le Progrès</w:t>
            </w:r>
          </w:p>
        </w:tc>
      </w:tr>
      <w:tr w:rsidR="00733207" w14:paraId="605E092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1CC93F"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CGD</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76171F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Centre pour la Gouvernance Démocratique</w:t>
            </w:r>
          </w:p>
        </w:tc>
      </w:tr>
      <w:tr w:rsidR="00733207" w14:paraId="073AB32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917FF3"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CIL</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2E646E5"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Commission de l’Informatique et des Libertés</w:t>
            </w:r>
          </w:p>
        </w:tc>
      </w:tr>
      <w:tr w:rsidR="00733207" w14:paraId="4281CFA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F8CC7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CRP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0C7F7FE"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Congrès pour la Renaissance et le Progrès</w:t>
            </w:r>
          </w:p>
        </w:tc>
      </w:tr>
      <w:tr w:rsidR="00733207" w14:paraId="1E337A3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08D1D4"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CSC</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666B69"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bCs/>
                <w:sz w:val="26"/>
                <w:szCs w:val="26"/>
              </w:rPr>
              <w:t>Conseil Supérieur de la Communication</w:t>
            </w:r>
          </w:p>
        </w:tc>
      </w:tr>
      <w:tr w:rsidR="00733207" w14:paraId="432552B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E4F02B"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ENAREF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DE6714"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Ecole Nationale des Régies Financières</w:t>
            </w:r>
          </w:p>
        </w:tc>
      </w:tr>
      <w:tr w:rsidR="00733207" w14:paraId="2C7EBFA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E31844"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FCD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269DC0"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Front Commun pour le Développement</w:t>
            </w:r>
          </w:p>
        </w:tc>
      </w:tr>
      <w:tr w:rsidR="00733207" w14:paraId="28A1FD0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8BD2B3"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FOORT ENSEMBLE</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1ECCC2"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 xml:space="preserve">Travailler dans un esprit de grande </w:t>
            </w:r>
            <w:r>
              <w:rPr>
                <w:rFonts w:ascii="Rockwell" w:hAnsi="Rockwell" w:cs="Times New Roman"/>
                <w:b/>
                <w:sz w:val="26"/>
                <w:szCs w:val="26"/>
              </w:rPr>
              <w:t>F</w:t>
            </w:r>
            <w:r>
              <w:rPr>
                <w:rFonts w:ascii="Rockwell" w:hAnsi="Rockwell" w:cs="Times New Roman"/>
                <w:sz w:val="26"/>
                <w:szCs w:val="26"/>
              </w:rPr>
              <w:t>raternité</w:t>
            </w:r>
            <w:r>
              <w:rPr>
                <w:rFonts w:ascii="Rockwell" w:hAnsi="Rockwell" w:cs="Times New Roman"/>
                <w:b/>
                <w:sz w:val="26"/>
                <w:szCs w:val="26"/>
              </w:rPr>
              <w:t xml:space="preserve">, </w:t>
            </w:r>
            <w:r>
              <w:rPr>
                <w:rFonts w:ascii="Rockwell" w:hAnsi="Rockwell" w:cs="Times New Roman"/>
                <w:sz w:val="26"/>
                <w:szCs w:val="26"/>
              </w:rPr>
              <w:t>avec un</w:t>
            </w:r>
            <w:r>
              <w:rPr>
                <w:rFonts w:ascii="Rockwell" w:hAnsi="Rockwell" w:cs="Times New Roman"/>
                <w:b/>
                <w:sz w:val="26"/>
                <w:szCs w:val="26"/>
              </w:rPr>
              <w:t xml:space="preserve"> O</w:t>
            </w:r>
            <w:r>
              <w:rPr>
                <w:rFonts w:ascii="Rockwell" w:hAnsi="Rockwell" w:cs="Times New Roman"/>
                <w:sz w:val="26"/>
                <w:szCs w:val="26"/>
              </w:rPr>
              <w:t xml:space="preserve">ptimisme inébranlable, en s’appuyant sur une </w:t>
            </w:r>
            <w:r>
              <w:rPr>
                <w:rFonts w:ascii="Rockwell" w:hAnsi="Rockwell" w:cs="Times New Roman"/>
                <w:b/>
                <w:sz w:val="26"/>
                <w:szCs w:val="26"/>
              </w:rPr>
              <w:t>O</w:t>
            </w:r>
            <w:r>
              <w:rPr>
                <w:rFonts w:ascii="Rockwell" w:hAnsi="Rockwell" w:cs="Times New Roman"/>
                <w:sz w:val="26"/>
                <w:szCs w:val="26"/>
              </w:rPr>
              <w:t xml:space="preserve">rganisation solide dans laquelle tous sont </w:t>
            </w:r>
            <w:r>
              <w:rPr>
                <w:rFonts w:ascii="Rockwell" w:hAnsi="Rockwell" w:cs="Times New Roman"/>
                <w:b/>
                <w:sz w:val="26"/>
                <w:szCs w:val="26"/>
              </w:rPr>
              <w:t>R</w:t>
            </w:r>
            <w:r>
              <w:rPr>
                <w:rFonts w:ascii="Rockwell" w:hAnsi="Rockwell" w:cs="Times New Roman"/>
                <w:sz w:val="26"/>
                <w:szCs w:val="26"/>
              </w:rPr>
              <w:t xml:space="preserve">esponsables ensemble et exploitent de façon optimale les </w:t>
            </w:r>
            <w:r>
              <w:rPr>
                <w:rFonts w:ascii="Rockwell" w:hAnsi="Rockwell" w:cs="Times New Roman"/>
                <w:b/>
                <w:sz w:val="26"/>
                <w:szCs w:val="26"/>
              </w:rPr>
              <w:t>T</w:t>
            </w:r>
            <w:r>
              <w:rPr>
                <w:rFonts w:ascii="Rockwell" w:hAnsi="Rockwell" w:cs="Times New Roman"/>
                <w:sz w:val="26"/>
                <w:szCs w:val="26"/>
              </w:rPr>
              <w:t>echnologies numériques</w:t>
            </w:r>
          </w:p>
        </w:tc>
      </w:tr>
      <w:tr w:rsidR="00733207" w14:paraId="6C965E9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73D0A0"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FP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B176BF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Front Progressiste</w:t>
            </w:r>
          </w:p>
        </w:tc>
      </w:tr>
      <w:tr w:rsidR="00733207" w14:paraId="0F3F50D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B6A71B" w14:textId="77777777" w:rsidR="00733207" w:rsidRDefault="00912BAE">
            <w:pPr>
              <w:spacing w:beforeLines="60" w:before="144" w:afterLines="60" w:after="144" w:line="276" w:lineRule="auto"/>
              <w:jc w:val="both"/>
              <w:rPr>
                <w:rFonts w:ascii="Rockwell" w:hAnsi="Rockwell"/>
                <w:b/>
                <w:bCs/>
                <w:color w:val="000000" w:themeColor="text1"/>
                <w:sz w:val="26"/>
                <w:szCs w:val="26"/>
              </w:rPr>
            </w:pPr>
            <w:r>
              <w:rPr>
                <w:rFonts w:ascii="Rockwell" w:hAnsi="Rockwell"/>
                <w:b/>
                <w:color w:val="000000" w:themeColor="text1"/>
                <w:sz w:val="26"/>
                <w:szCs w:val="26"/>
              </w:rPr>
              <w:t>FAPP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35AD1E" w14:textId="77777777" w:rsidR="00733207" w:rsidRDefault="00912BAE">
            <w:pPr>
              <w:spacing w:beforeLines="60" w:before="144" w:afterLines="60" w:after="144" w:line="276" w:lineRule="auto"/>
              <w:jc w:val="both"/>
              <w:rPr>
                <w:rFonts w:ascii="Rockwell" w:hAnsi="Rockwell"/>
                <w:color w:val="000000" w:themeColor="text1"/>
                <w:sz w:val="26"/>
                <w:szCs w:val="26"/>
              </w:rPr>
            </w:pPr>
            <w:r>
              <w:rPr>
                <w:rFonts w:ascii="Rockwell" w:hAnsi="Rockwell"/>
                <w:color w:val="000000" w:themeColor="text1"/>
                <w:sz w:val="26"/>
                <w:szCs w:val="26"/>
              </w:rPr>
              <w:t xml:space="preserve">Fonds d’Appui à la Presse Privée </w:t>
            </w:r>
          </w:p>
        </w:tc>
      </w:tr>
      <w:tr w:rsidR="00733207" w14:paraId="114EB43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B0CDBD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FPC/Y</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598BA4"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Front Patriotique pour le Changement/</w:t>
            </w:r>
            <w:proofErr w:type="spellStart"/>
            <w:r>
              <w:rPr>
                <w:rFonts w:ascii="Rockwell" w:hAnsi="Rockwell"/>
                <w:sz w:val="26"/>
                <w:szCs w:val="26"/>
              </w:rPr>
              <w:t>Yelemani</w:t>
            </w:r>
            <w:proofErr w:type="spellEnd"/>
          </w:p>
        </w:tc>
      </w:tr>
      <w:tr w:rsidR="00733207" w14:paraId="0C09799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64B78A"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FPR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E1F1E4"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Front Patriotique pour le Renouveau</w:t>
            </w:r>
          </w:p>
        </w:tc>
      </w:tr>
      <w:tr w:rsidR="00733207" w14:paraId="7D6B1AD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8B684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HMS</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2D643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bCs/>
                <w:sz w:val="26"/>
                <w:szCs w:val="26"/>
              </w:rPr>
              <w:t>HACA Media Solutions</w:t>
            </w:r>
          </w:p>
        </w:tc>
      </w:tr>
      <w:tr w:rsidR="00733207" w14:paraId="3BF5001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F1FADC"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L’AB/PSR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317F7F"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L’Autre Burkina/ Partie pour le Socialisme et la Refondation</w:t>
            </w:r>
          </w:p>
        </w:tc>
      </w:tr>
      <w:tr w:rsidR="00733207" w14:paraId="6987474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111E4E6"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LIDICOM</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6872445"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Ligue des Directeurs, Conseillers et Chargés de la communication marketing</w:t>
            </w:r>
          </w:p>
        </w:tc>
      </w:tr>
      <w:tr w:rsidR="00733207" w14:paraId="2868DA9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C745D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LMP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CE2B8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La Marche pour la Patrie</w:t>
            </w:r>
          </w:p>
        </w:tc>
      </w:tr>
      <w:tr w:rsidR="00733207" w14:paraId="712547D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97D3E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MAE</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0A97CCB"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Agir Ensemble</w:t>
            </w:r>
          </w:p>
        </w:tc>
      </w:tr>
      <w:tr w:rsidR="00733207" w14:paraId="4D86492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4209FA"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lastRenderedPageBreak/>
              <w:t xml:space="preserve">MAP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68593DD"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Africain des Peuples</w:t>
            </w:r>
          </w:p>
        </w:tc>
      </w:tr>
      <w:tr w:rsidR="00733207" w14:paraId="75264BD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B1E63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MBF</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D8AB09"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le Burkina du Futur</w:t>
            </w:r>
          </w:p>
        </w:tc>
      </w:tr>
      <w:tr w:rsidR="00733207" w14:paraId="782224D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3758B5"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MBU</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B52F231"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le Burkina Uni</w:t>
            </w:r>
          </w:p>
        </w:tc>
      </w:tr>
      <w:tr w:rsidR="00733207" w14:paraId="62494E9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ECC458"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MCR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353545"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le Changement et la Renaissance</w:t>
            </w:r>
          </w:p>
        </w:tc>
      </w:tr>
      <w:tr w:rsidR="00733207" w14:paraId="536A25A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59BFD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MDP-BF</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B227187" w14:textId="07F5C4BC"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la Défense de la Patri/Burkina Faso</w:t>
            </w:r>
          </w:p>
        </w:tc>
      </w:tr>
      <w:tr w:rsidR="00733207" w14:paraId="0BE61F2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32664F"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 xml:space="preserve">MENAPLN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A8BAFDA"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Ministère de l’Education Nationale, de l’Alphabétisation et de la Promotion des Langues Nationales</w:t>
            </w:r>
          </w:p>
        </w:tc>
      </w:tr>
      <w:tr w:rsidR="00733207" w14:paraId="492F7F0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45F6A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MIDE</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145C8E" w14:textId="77777777" w:rsidR="00733207" w:rsidRDefault="00912BAE">
            <w:pPr>
              <w:spacing w:beforeLines="60" w:before="144" w:afterLines="60" w:after="144" w:line="276" w:lineRule="auto"/>
              <w:jc w:val="both"/>
              <w:rPr>
                <w:rFonts w:ascii="Rockwell" w:hAnsi="Rockwell"/>
                <w:color w:val="000000"/>
                <w:sz w:val="26"/>
                <w:szCs w:val="26"/>
              </w:rPr>
            </w:pPr>
            <w:r>
              <w:rPr>
                <w:rFonts w:ascii="Rockwell" w:hAnsi="Rockwell"/>
                <w:color w:val="000000"/>
                <w:sz w:val="26"/>
                <w:szCs w:val="26"/>
              </w:rPr>
              <w:t>Mouvement des Intellectuels pour le Développement</w:t>
            </w:r>
          </w:p>
        </w:tc>
      </w:tr>
      <w:tr w:rsidR="00733207" w14:paraId="1E32FFC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29791A"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MODEM</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17A573"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Démocrate</w:t>
            </w:r>
          </w:p>
        </w:tc>
      </w:tr>
      <w:tr w:rsidR="00733207" w14:paraId="7A714A3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8C18D7"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 xml:space="preserve">MPC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AA1C0E2"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le Progrès et le Changement</w:t>
            </w:r>
          </w:p>
        </w:tc>
      </w:tr>
      <w:tr w:rsidR="00733207" w14:paraId="2BE4BF9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739B91C"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MPP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7F54CB"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du Peuple pour le Progrès</w:t>
            </w:r>
          </w:p>
        </w:tc>
      </w:tr>
      <w:tr w:rsidR="00733207" w14:paraId="671EB09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198025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MRB</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F9F8E30"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la Renaissance du Burkina</w:t>
            </w:r>
          </w:p>
        </w:tc>
      </w:tr>
      <w:tr w:rsidR="00733207" w14:paraId="12300CA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F68638C"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MRD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2BFC68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le Renouveau Démocratique</w:t>
            </w:r>
          </w:p>
        </w:tc>
      </w:tr>
      <w:tr w:rsidR="00733207" w14:paraId="5BD70CA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6118F6"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MRP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07871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Mouvement pour le Rassemblement Patriotique</w:t>
            </w:r>
          </w:p>
        </w:tc>
      </w:tr>
      <w:tr w:rsidR="00733207" w14:paraId="7FB0CAA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40DF19B"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FAC052"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Nombre d’Articles</w:t>
            </w:r>
          </w:p>
        </w:tc>
      </w:tr>
      <w:tr w:rsidR="00733207" w14:paraId="65E9021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5C343A"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NAFA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4C65C5"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Nouvelle Alliance du Faso</w:t>
            </w:r>
          </w:p>
        </w:tc>
      </w:tr>
      <w:tr w:rsidR="00733207" w14:paraId="5853F6E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023028"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NEDA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FE3569"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Nouvel Elan Démocratique en Afrique</w:t>
            </w:r>
          </w:p>
        </w:tc>
      </w:tr>
      <w:tr w:rsidR="00733207" w14:paraId="0E76C4E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833DC2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NI</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909A27"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Nombre d’Images ou d’Illustrations</w:t>
            </w:r>
          </w:p>
        </w:tc>
      </w:tr>
      <w:tr w:rsidR="00733207" w14:paraId="3C2388A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D6C999F"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NOVI</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4E6272"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Nouvelle Vision</w:t>
            </w:r>
          </w:p>
        </w:tc>
      </w:tr>
      <w:tr w:rsidR="00733207" w14:paraId="584A303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3E555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45BFECA"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Nombre de pages</w:t>
            </w:r>
          </w:p>
        </w:tc>
      </w:tr>
      <w:tr w:rsidR="00733207" w14:paraId="2CEF3E5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29C8D0"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NTD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09AAEE"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Nouveau Temps pour la Démocratie</w:t>
            </w:r>
          </w:p>
        </w:tc>
      </w:tr>
      <w:tr w:rsidR="00733207" w14:paraId="55A38DA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38175A"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OBM</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E4BFED"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Observatoire Burkinabè des Médias</w:t>
            </w:r>
          </w:p>
        </w:tc>
      </w:tr>
      <w:tr w:rsidR="00733207" w14:paraId="670535A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7F6151" w14:textId="77777777" w:rsidR="00733207" w:rsidRDefault="00912BAE">
            <w:pPr>
              <w:spacing w:beforeLines="60" w:before="144" w:afterLines="60" w:after="144" w:line="276" w:lineRule="auto"/>
              <w:jc w:val="both"/>
              <w:rPr>
                <w:rFonts w:ascii="Rockwell" w:hAnsi="Rockwell"/>
                <w:b/>
                <w:sz w:val="26"/>
                <w:szCs w:val="26"/>
              </w:rPr>
            </w:pPr>
            <w:r>
              <w:rPr>
                <w:rFonts w:ascii="Rockwell" w:hAnsi="Rockwell"/>
                <w:b/>
                <w:sz w:val="26"/>
                <w:szCs w:val="26"/>
              </w:rPr>
              <w:lastRenderedPageBreak/>
              <w:t>ONAFAR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C54C18"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Observatoire National des Faits Religieux</w:t>
            </w:r>
          </w:p>
        </w:tc>
      </w:tr>
      <w:tr w:rsidR="00733207" w14:paraId="2865302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E8D230"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7D458F2"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Publicitaires Associés</w:t>
            </w:r>
          </w:p>
        </w:tc>
      </w:tr>
      <w:tr w:rsidR="00733207" w14:paraId="0A6D21A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F43156"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PAREN</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1597CB" w14:textId="7804C1E2"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 xml:space="preserve">Parti </w:t>
            </w:r>
            <w:r w:rsidR="00E06378">
              <w:rPr>
                <w:rFonts w:ascii="Rockwell" w:hAnsi="Rockwell"/>
                <w:sz w:val="26"/>
                <w:szCs w:val="26"/>
              </w:rPr>
              <w:t>pour la</w:t>
            </w:r>
            <w:r>
              <w:rPr>
                <w:rFonts w:ascii="Rockwell" w:hAnsi="Rockwell"/>
                <w:sz w:val="26"/>
                <w:szCs w:val="26"/>
              </w:rPr>
              <w:t xml:space="preserve"> Renaissance Nationale</w:t>
            </w:r>
          </w:p>
        </w:tc>
      </w:tr>
      <w:tr w:rsidR="00733207" w14:paraId="5D92715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7B02A5B"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PDC</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55AB1D"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Parti pour le Développement et le Changement</w:t>
            </w:r>
          </w:p>
        </w:tc>
      </w:tr>
      <w:tr w:rsidR="00733207" w14:paraId="0C05990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6140A53"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PDIS-LAFIA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9DCF090"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Parti Démocratique pour l'Intégration et la Solidarité-LAFIA</w:t>
            </w:r>
          </w:p>
        </w:tc>
      </w:tr>
      <w:tr w:rsidR="00733207" w14:paraId="43B77C9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DCD98A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PDJ</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36563EE"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Parti pour la Démocratie et la Jeunesse</w:t>
            </w:r>
          </w:p>
        </w:tc>
      </w:tr>
      <w:tr w:rsidR="00733207" w14:paraId="759F1FB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32E87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PDP/PS</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0C3D79"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Parti pour la Démocratie et le Progrès/Parti Socialiste</w:t>
            </w:r>
          </w:p>
        </w:tc>
      </w:tr>
      <w:tr w:rsidR="00733207" w14:paraId="7AECC59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900093"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PDS</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372ECA1"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Parti pour la Démocratie et le Socialisme</w:t>
            </w:r>
          </w:p>
        </w:tc>
      </w:tr>
      <w:tr w:rsidR="00733207" w14:paraId="0350145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865EBC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PIB</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9141AA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iCs/>
                <w:sz w:val="26"/>
                <w:szCs w:val="26"/>
              </w:rPr>
              <w:t>Parti</w:t>
            </w:r>
            <w:r>
              <w:rPr>
                <w:rFonts w:ascii="Rockwell" w:hAnsi="Rockwell"/>
                <w:sz w:val="26"/>
                <w:szCs w:val="26"/>
              </w:rPr>
              <w:t xml:space="preserve"> Indépendant du Burkina</w:t>
            </w:r>
          </w:p>
        </w:tc>
      </w:tr>
      <w:tr w:rsidR="00733207" w14:paraId="4C83FBB3"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296855"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PPR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9946217"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bCs/>
                <w:sz w:val="26"/>
                <w:szCs w:val="26"/>
              </w:rPr>
              <w:t>Parti du Peuple Républicain</w:t>
            </w:r>
          </w:p>
        </w:tc>
      </w:tr>
      <w:tr w:rsidR="00733207" w14:paraId="02E888B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5BD8D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PPS</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9BAA7F"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iCs/>
                <w:sz w:val="26"/>
                <w:szCs w:val="26"/>
              </w:rPr>
              <w:t>Parti Panafricain pour le Salut</w:t>
            </w:r>
          </w:p>
        </w:tc>
      </w:tr>
      <w:tr w:rsidR="00733207" w14:paraId="535FCCA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DD12E9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color w:val="000000" w:themeColor="text1"/>
                <w:sz w:val="26"/>
                <w:szCs w:val="26"/>
              </w:rPr>
              <w:t>PRA-UEMOA-GUINEE</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F44DF7"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sz w:val="26"/>
                <w:szCs w:val="26"/>
              </w:rPr>
              <w:t>Plateforme des Régulateurs de l'Audiovisuel des pays Membres de l’</w:t>
            </w:r>
            <w:r>
              <w:rPr>
                <w:rFonts w:ascii="Rockwell" w:hAnsi="Rockwell"/>
                <w:bCs/>
                <w:color w:val="000000" w:themeColor="text1"/>
                <w:sz w:val="26"/>
                <w:szCs w:val="26"/>
              </w:rPr>
              <w:t>UEMOA</w:t>
            </w:r>
            <w:r>
              <w:rPr>
                <w:rFonts w:ascii="Rockwell" w:hAnsi="Rockwell"/>
                <w:sz w:val="26"/>
                <w:szCs w:val="26"/>
              </w:rPr>
              <w:t xml:space="preserve"> et de la Guinée</w:t>
            </w:r>
          </w:p>
        </w:tc>
      </w:tr>
      <w:tr w:rsidR="00733207" w14:paraId="55AB21A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3C01C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PRC</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21D35F1"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iCs/>
                <w:sz w:val="26"/>
                <w:szCs w:val="26"/>
              </w:rPr>
              <w:t>Parti pour le Renouveau et le Changement</w:t>
            </w:r>
          </w:p>
        </w:tc>
      </w:tr>
      <w:tr w:rsidR="00733207" w14:paraId="09AC881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382D30"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PRD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2A5286"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iCs/>
                <w:sz w:val="26"/>
                <w:szCs w:val="26"/>
              </w:rPr>
              <w:t xml:space="preserve">Parti pour le Renouveau Démocratique </w:t>
            </w:r>
          </w:p>
        </w:tc>
      </w:tr>
      <w:tr w:rsidR="00733207" w14:paraId="7933777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EEAB8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PRIT-LANAYA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377FE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iCs/>
                <w:sz w:val="26"/>
                <w:szCs w:val="26"/>
              </w:rPr>
              <w:t>Parti</w:t>
            </w:r>
            <w:r>
              <w:rPr>
                <w:rFonts w:ascii="Rockwell" w:hAnsi="Rockwell"/>
                <w:sz w:val="26"/>
                <w:szCs w:val="26"/>
              </w:rPr>
              <w:t xml:space="preserve"> Républicain pour l'Indépendance Totale –</w:t>
            </w:r>
            <w:r>
              <w:rPr>
                <w:rFonts w:ascii="Rockwell" w:hAnsi="Rockwell"/>
                <w:iCs/>
                <w:sz w:val="26"/>
                <w:szCs w:val="26"/>
              </w:rPr>
              <w:t>LANAYA</w:t>
            </w:r>
          </w:p>
        </w:tc>
      </w:tr>
      <w:tr w:rsidR="00733207" w14:paraId="4574108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7C193B"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PUR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E0BB09" w14:textId="77777777" w:rsidR="00733207" w:rsidRDefault="00912BAE">
            <w:pPr>
              <w:keepNext/>
              <w:keepLines/>
              <w:spacing w:beforeLines="60" w:before="144" w:afterLines="60" w:after="144" w:line="276" w:lineRule="auto"/>
              <w:jc w:val="both"/>
              <w:rPr>
                <w:rFonts w:ascii="Rockwell" w:hAnsi="Rockwell"/>
                <w:sz w:val="26"/>
                <w:szCs w:val="26"/>
              </w:rPr>
            </w:pPr>
            <w:r>
              <w:rPr>
                <w:rFonts w:ascii="Rockwell" w:hAnsi="Rockwell"/>
                <w:sz w:val="26"/>
                <w:szCs w:val="26"/>
              </w:rPr>
              <w:t>Progressistes Unis pour le Renouveau</w:t>
            </w:r>
          </w:p>
        </w:tc>
      </w:tr>
      <w:tr w:rsidR="00733207" w14:paraId="521E267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A9DC3D"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RAJIT</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72CC8D"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Réseau Africain des Journalistes pour l’Intégrité et la Transparence</w:t>
            </w:r>
          </w:p>
        </w:tc>
      </w:tr>
      <w:tr w:rsidR="00733207" w14:paraId="5C60B8A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B7B7D7"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RDEBF</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814ADEA"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Des Ecologistes du Burkina Faso</w:t>
            </w:r>
          </w:p>
        </w:tc>
      </w:tr>
      <w:tr w:rsidR="00733207" w14:paraId="6982E8A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99E0C7"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RDF</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B50E58A"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des Démocrates pour le Faso</w:t>
            </w:r>
          </w:p>
        </w:tc>
      </w:tr>
      <w:tr w:rsidR="00733207" w14:paraId="47560B5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E2327F3"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RDJ</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5C08FB7"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 xml:space="preserve">Rassemblement pour la Démocratie et la Justice </w:t>
            </w:r>
          </w:p>
        </w:tc>
      </w:tr>
      <w:tr w:rsidR="00733207" w14:paraId="45320DB4"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FCDFD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lastRenderedPageBreak/>
              <w:t>RDN</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2251F63"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pour le Développement National</w:t>
            </w:r>
          </w:p>
        </w:tc>
      </w:tr>
      <w:tr w:rsidR="00733207" w14:paraId="1DA6626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C448C15"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RDP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BEC55D"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Démocratique et Populaire</w:t>
            </w:r>
          </w:p>
        </w:tc>
      </w:tr>
      <w:tr w:rsidR="00733207" w14:paraId="6A1A95D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31A705A"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RDR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54D920"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des Républicains</w:t>
            </w:r>
          </w:p>
        </w:tc>
      </w:tr>
      <w:tr w:rsidR="00733207" w14:paraId="5041F1E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8F229B3"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RDRN</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368967"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Démocratique pour la Refondation Nationale</w:t>
            </w:r>
          </w:p>
        </w:tc>
      </w:tr>
      <w:tr w:rsidR="00733207" w14:paraId="7C52A63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CEB3C8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color w:val="000000" w:themeColor="text1"/>
                <w:sz w:val="26"/>
                <w:szCs w:val="26"/>
              </w:rPr>
              <w:t>REFRAM</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7E1E06"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Réseau Francophone des Régulateurs des Médias</w:t>
            </w:r>
          </w:p>
        </w:tc>
      </w:tr>
      <w:tr w:rsidR="00733207" w14:paraId="7185322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9C07F1B" w14:textId="77777777" w:rsidR="00733207" w:rsidRDefault="00912BAE">
            <w:pPr>
              <w:spacing w:beforeLines="60" w:before="144" w:afterLines="60" w:after="144" w:line="276" w:lineRule="auto"/>
              <w:jc w:val="both"/>
              <w:rPr>
                <w:rFonts w:ascii="Rockwell" w:hAnsi="Rockwell" w:cs="Times New Roman"/>
                <w:b/>
                <w:sz w:val="26"/>
                <w:szCs w:val="26"/>
              </w:rPr>
            </w:pPr>
            <w:r>
              <w:rPr>
                <w:rFonts w:ascii="Rockwell" w:hAnsi="Rockwell" w:cs="Times New Roman"/>
                <w:b/>
                <w:sz w:val="26"/>
                <w:szCs w:val="26"/>
                <w:shd w:val="clear" w:color="auto" w:fill="FFFFFF"/>
              </w:rPr>
              <w:t>REJCOM-BF</w:t>
            </w:r>
            <w:r>
              <w:rPr>
                <w:rFonts w:ascii="Rockwell" w:hAnsi="Rockwell" w:cs="Times New Roman"/>
                <w:sz w:val="26"/>
                <w:szCs w:val="26"/>
                <w:shd w:val="clear" w:color="auto" w:fill="FFFFFF"/>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D8D58C"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shd w:val="clear" w:color="auto" w:fill="FFFFFF"/>
              </w:rPr>
              <w:t>Réseau des Journalistes et Communicateurs Musulmans du Burkina Faso</w:t>
            </w:r>
          </w:p>
        </w:tc>
      </w:tr>
      <w:tr w:rsidR="00733207" w14:paraId="2B444670"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DE2CBC8"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RF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B06CA2"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Reporters du Faso</w:t>
            </w:r>
          </w:p>
        </w:tc>
      </w:tr>
      <w:tr w:rsidR="00733207" w14:paraId="754746D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54F0A61" w14:textId="77777777" w:rsidR="00733207" w:rsidRDefault="00912BAE">
            <w:pPr>
              <w:spacing w:before="100" w:beforeAutospacing="1" w:after="100" w:afterAutospacing="1" w:line="276" w:lineRule="auto"/>
              <w:jc w:val="both"/>
              <w:rPr>
                <w:rFonts w:ascii="Rockwell" w:hAnsi="Rockwell" w:cs="Times New Roman"/>
                <w:sz w:val="26"/>
                <w:szCs w:val="26"/>
              </w:rPr>
            </w:pPr>
            <w:r>
              <w:rPr>
                <w:rFonts w:ascii="Rockwell" w:hAnsi="Rockwell" w:cs="Times New Roman"/>
                <w:b/>
                <w:sz w:val="26"/>
                <w:szCs w:val="26"/>
              </w:rPr>
              <w:t>RIARC</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44E2751" w14:textId="77777777" w:rsidR="00733207" w:rsidRDefault="00912BAE">
            <w:pPr>
              <w:spacing w:before="100" w:beforeAutospacing="1" w:after="100" w:afterAutospacing="1" w:line="276" w:lineRule="auto"/>
              <w:jc w:val="both"/>
              <w:rPr>
                <w:rFonts w:ascii="Rockwell" w:hAnsi="Rockwell"/>
                <w:sz w:val="26"/>
                <w:szCs w:val="26"/>
              </w:rPr>
            </w:pPr>
            <w:r>
              <w:rPr>
                <w:rFonts w:ascii="Rockwell" w:hAnsi="Rockwell" w:cs="Times New Roman"/>
                <w:sz w:val="26"/>
                <w:szCs w:val="26"/>
              </w:rPr>
              <w:t>Réseau des Instances Africaines de Régulation de la Communication</w:t>
            </w:r>
          </w:p>
        </w:tc>
      </w:tr>
      <w:tr w:rsidR="00733207" w14:paraId="47FB416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A7555AF"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RIJ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65019B"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Réseau Informel de Journalistes</w:t>
            </w:r>
          </w:p>
        </w:tc>
      </w:tr>
      <w:tr w:rsidR="00733207" w14:paraId="03EA902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D0982DC"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RMB</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EDF55C"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Mains Blanches</w:t>
            </w:r>
          </w:p>
        </w:tc>
      </w:tr>
      <w:tr w:rsidR="00733207" w14:paraId="4D6BD29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8AA12AB" w14:textId="77777777" w:rsidR="00733207" w:rsidRDefault="00912BAE">
            <w:pPr>
              <w:spacing w:beforeLines="60" w:before="144" w:afterLines="60" w:after="144" w:line="276" w:lineRule="auto"/>
              <w:jc w:val="both"/>
              <w:rPr>
                <w:rFonts w:ascii="Rockwell" w:eastAsia="Arial Narrow" w:hAnsi="Rockwell" w:cs="Times New Roman"/>
                <w:sz w:val="26"/>
                <w:szCs w:val="26"/>
              </w:rPr>
            </w:pPr>
            <w:r>
              <w:rPr>
                <w:rFonts w:ascii="Rockwell" w:eastAsia="Arial Narrow" w:hAnsi="Rockwell" w:cs="Times New Roman"/>
                <w:b/>
                <w:sz w:val="26"/>
                <w:szCs w:val="26"/>
              </w:rPr>
              <w:t>RNT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F9B21C9" w14:textId="77777777" w:rsidR="00733207" w:rsidRDefault="00912BAE">
            <w:pPr>
              <w:spacing w:beforeLines="60" w:before="144" w:afterLines="60" w:after="144" w:line="276" w:lineRule="auto"/>
              <w:jc w:val="both"/>
              <w:rPr>
                <w:rFonts w:ascii="Rockwell" w:hAnsi="Rockwell"/>
                <w:sz w:val="26"/>
                <w:szCs w:val="26"/>
              </w:rPr>
            </w:pPr>
            <w:r>
              <w:rPr>
                <w:rFonts w:ascii="Rockwell" w:eastAsia="Arial Narrow" w:hAnsi="Rockwell" w:cs="Times New Roman"/>
                <w:sz w:val="26"/>
                <w:szCs w:val="26"/>
              </w:rPr>
              <w:t>Radiodiffusion Numérique de Terre</w:t>
            </w:r>
          </w:p>
        </w:tc>
      </w:tr>
      <w:tr w:rsidR="00733207" w14:paraId="1449596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79E782" w14:textId="77777777" w:rsidR="00733207" w:rsidRDefault="00912BAE">
            <w:pPr>
              <w:spacing w:beforeLines="60" w:before="144" w:afterLines="60" w:after="144" w:line="276" w:lineRule="auto"/>
              <w:jc w:val="both"/>
              <w:rPr>
                <w:rFonts w:ascii="Rockwell" w:eastAsia="Times New Roman" w:hAnsi="Rockwell" w:cs="Times New Roman"/>
                <w:sz w:val="26"/>
                <w:szCs w:val="26"/>
                <w:lang w:eastAsia="fr-FR"/>
              </w:rPr>
            </w:pPr>
            <w:r>
              <w:rPr>
                <w:rFonts w:ascii="Rockwell" w:eastAsia="Times New Roman" w:hAnsi="Rockwell" w:cs="Times New Roman"/>
                <w:b/>
                <w:sz w:val="26"/>
                <w:szCs w:val="26"/>
                <w:lang w:eastAsia="fr-FR"/>
              </w:rPr>
              <w:t>ROJALNU-BURKINA FASO</w:t>
            </w:r>
            <w:r>
              <w:rPr>
                <w:rFonts w:ascii="Rockwell" w:eastAsia="Times New Roman" w:hAnsi="Rockwell" w:cs="Times New Roman"/>
                <w:sz w:val="26"/>
                <w:szCs w:val="26"/>
                <w:lang w:eastAsia="fr-FR"/>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BB3301C" w14:textId="77777777" w:rsidR="00733207" w:rsidRDefault="00912BAE">
            <w:pPr>
              <w:spacing w:beforeLines="60" w:before="144" w:afterLines="60" w:after="144" w:line="276" w:lineRule="auto"/>
              <w:jc w:val="both"/>
              <w:rPr>
                <w:rFonts w:ascii="Rockwell" w:hAnsi="Rockwell"/>
                <w:sz w:val="26"/>
                <w:szCs w:val="26"/>
              </w:rPr>
            </w:pPr>
            <w:r>
              <w:rPr>
                <w:rFonts w:ascii="Rockwell" w:eastAsia="Times New Roman" w:hAnsi="Rockwell" w:cs="Times New Roman"/>
                <w:sz w:val="26"/>
                <w:szCs w:val="26"/>
                <w:lang w:eastAsia="fr-FR"/>
              </w:rPr>
              <w:t>Réseau des Organisations des Jeunes Africains Leaders des Nations Unies au Burkina Faso</w:t>
            </w:r>
          </w:p>
        </w:tc>
      </w:tr>
      <w:tr w:rsidR="00733207" w14:paraId="0B3F41F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F74C8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RPD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3F08BF"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Rassemblement Patriotique pour l’Intégrité</w:t>
            </w:r>
          </w:p>
        </w:tc>
      </w:tr>
      <w:tr w:rsidR="00733207" w14:paraId="0DDECD2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4D315AD" w14:textId="77777777" w:rsidR="00733207" w:rsidRDefault="00912BAE">
            <w:pPr>
              <w:spacing w:beforeLines="60" w:before="144" w:afterLines="60" w:after="144" w:line="276" w:lineRule="auto"/>
              <w:jc w:val="both"/>
              <w:rPr>
                <w:rFonts w:ascii="Rockwell" w:hAnsi="Rockwell"/>
                <w:b/>
                <w:sz w:val="26"/>
                <w:szCs w:val="26"/>
              </w:rPr>
            </w:pPr>
            <w:bookmarkStart w:id="11" w:name="_Toc170079808"/>
            <w:bookmarkStart w:id="12" w:name="_Toc169855082"/>
            <w:r>
              <w:rPr>
                <w:rFonts w:ascii="Rockwell" w:hAnsi="Rockwell"/>
                <w:b/>
                <w:sz w:val="26"/>
                <w:szCs w:val="26"/>
              </w:rPr>
              <w:t>RSE</w:t>
            </w:r>
            <w:bookmarkEnd w:id="11"/>
            <w:bookmarkEnd w:id="12"/>
            <w:r>
              <w:rPr>
                <w:rFonts w:ascii="Rockwell" w:hAnsi="Rockwell"/>
                <w:b/>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0F33903"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Responsabilité Sociale de l’Entreprise</w:t>
            </w:r>
          </w:p>
        </w:tc>
      </w:tr>
      <w:tr w:rsidR="00733207" w14:paraId="0410E2B1"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72342E"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SA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3489F37"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Soleil d'Avenir</w:t>
            </w:r>
          </w:p>
        </w:tc>
      </w:tr>
      <w:tr w:rsidR="00733207" w14:paraId="22D876F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6D54E6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SENS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2CD44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Servir et Non se Servir</w:t>
            </w:r>
          </w:p>
        </w:tc>
      </w:tr>
      <w:tr w:rsidR="00733207" w14:paraId="45DFD6F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59C7E3"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SEP</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56329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Société des Editeurs de la Presse Privée</w:t>
            </w:r>
          </w:p>
        </w:tc>
      </w:tr>
      <w:tr w:rsidR="00733207" w14:paraId="27F2BB2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46DB8F"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SOCL</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461D345"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iCs/>
                <w:sz w:val="26"/>
                <w:szCs w:val="26"/>
              </w:rPr>
              <w:t>Socle</w:t>
            </w:r>
            <w:r>
              <w:rPr>
                <w:rFonts w:ascii="Rockwell" w:hAnsi="Rockwell"/>
                <w:sz w:val="26"/>
                <w:szCs w:val="26"/>
              </w:rPr>
              <w:t xml:space="preserve"> Citoyen pour la Libération</w:t>
            </w:r>
          </w:p>
        </w:tc>
      </w:tr>
      <w:tr w:rsidR="00733207" w14:paraId="38586545"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01E29E"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SYNATIC</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15F8404"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Syndicat Autonome des Travailleurs de l’Information et de la Culture</w:t>
            </w:r>
          </w:p>
        </w:tc>
      </w:tr>
      <w:tr w:rsidR="00733207" w14:paraId="4E5E6297"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231DD69"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lastRenderedPageBreak/>
              <w:t>TA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07DAB7"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iCs/>
                <w:sz w:val="26"/>
                <w:szCs w:val="26"/>
              </w:rPr>
              <w:t>Temps d’Antenne</w:t>
            </w:r>
          </w:p>
        </w:tc>
      </w:tr>
      <w:tr w:rsidR="00733207" w14:paraId="7328CA66"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5F918F8"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TNT</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03F9AF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cs="Times New Roman"/>
                <w:sz w:val="26"/>
                <w:szCs w:val="26"/>
              </w:rPr>
              <w:t>Télévision Numérique Terrestre</w:t>
            </w:r>
          </w:p>
        </w:tc>
      </w:tr>
      <w:tr w:rsidR="00733207" w14:paraId="01EA9B6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E98EA2"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TP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111C620"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iCs/>
                <w:sz w:val="26"/>
                <w:szCs w:val="26"/>
              </w:rPr>
              <w:t>Temps de Parole</w:t>
            </w:r>
          </w:p>
        </w:tc>
      </w:tr>
      <w:tr w:rsidR="00733207" w14:paraId="1FA5616C"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58C032" w14:textId="77777777" w:rsidR="00733207" w:rsidRDefault="00912BAE">
            <w:pPr>
              <w:spacing w:beforeLines="60" w:before="144" w:afterLines="60" w:after="144" w:line="276" w:lineRule="auto"/>
              <w:jc w:val="both"/>
              <w:rPr>
                <w:rFonts w:ascii="Rockwell" w:eastAsia="Times New Roman" w:hAnsi="Rockwell" w:cs="Times New Roman"/>
                <w:sz w:val="26"/>
                <w:szCs w:val="26"/>
                <w:lang w:eastAsia="fr-FR"/>
              </w:rPr>
            </w:pPr>
            <w:r>
              <w:rPr>
                <w:rFonts w:ascii="Rockwell" w:eastAsia="Times New Roman" w:hAnsi="Rockwell" w:cs="Times New Roman"/>
                <w:b/>
                <w:sz w:val="26"/>
                <w:szCs w:val="26"/>
                <w:lang w:eastAsia="fr-FR"/>
              </w:rPr>
              <w:t>UAMB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7D208B9"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eastAsia="Times New Roman" w:hAnsi="Rockwell" w:cs="Times New Roman"/>
                <w:sz w:val="26"/>
                <w:szCs w:val="26"/>
                <w:lang w:eastAsia="fr-FR"/>
              </w:rPr>
              <w:t>Union des Auditeurs des Médias du Burkina</w:t>
            </w:r>
          </w:p>
        </w:tc>
      </w:tr>
      <w:tr w:rsidR="00733207" w14:paraId="4F7ADD7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6973943"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UBESTV</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27C8EB1"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Union Burkinabè des Editeurs de Services de Télévision</w:t>
            </w:r>
          </w:p>
        </w:tc>
      </w:tr>
      <w:tr w:rsidR="00733207" w14:paraId="46791798"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8FDF4D"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UCAP-B</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764D1D"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Union Catholique Africaine de la Presse/Section Burkina</w:t>
            </w:r>
          </w:p>
        </w:tc>
      </w:tr>
      <w:tr w:rsidR="00733207" w14:paraId="39DB5EF2"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8AF5B1"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UDB/R</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400481E" w14:textId="77777777" w:rsidR="00733207" w:rsidRDefault="00912BAE">
            <w:pPr>
              <w:spacing w:beforeLines="60" w:before="144" w:afterLines="60" w:after="144" w:line="276" w:lineRule="auto"/>
              <w:jc w:val="both"/>
              <w:rPr>
                <w:rFonts w:ascii="Rockwell" w:hAnsi="Rockwell"/>
                <w:iCs/>
                <w:sz w:val="26"/>
                <w:szCs w:val="26"/>
              </w:rPr>
            </w:pPr>
            <w:r>
              <w:rPr>
                <w:rFonts w:ascii="Rockwell" w:hAnsi="Rockwell"/>
                <w:iCs/>
                <w:sz w:val="26"/>
                <w:szCs w:val="26"/>
              </w:rPr>
              <w:t>Union Démocratique Burkinabè pour la Renaissance</w:t>
            </w:r>
          </w:p>
        </w:tc>
      </w:tr>
      <w:tr w:rsidR="00733207" w14:paraId="1C601BD9"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FD63EA9"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UEMOA</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92E9D94"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Union Economique et Monétaire Ouest-Africaine</w:t>
            </w:r>
          </w:p>
        </w:tc>
      </w:tr>
      <w:tr w:rsidR="00733207" w14:paraId="537EA50B"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E190895"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UFP</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16B112D"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Union des Forces Progressistes</w:t>
            </w:r>
          </w:p>
        </w:tc>
      </w:tr>
      <w:tr w:rsidR="00733207" w14:paraId="41622E8D"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C8E6B97"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UIT</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EC25C78"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Union Internationale des Télécommunications</w:t>
            </w:r>
          </w:p>
        </w:tc>
      </w:tr>
      <w:tr w:rsidR="00733207" w14:paraId="439547BF"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A0B195"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UJCEB</w:t>
            </w:r>
            <w:r>
              <w:rPr>
                <w:rFonts w:ascii="Rockwell" w:hAnsi="Rockwell" w:cs="Times New Roman"/>
                <w:sz w:val="26"/>
                <w:szCs w:val="26"/>
              </w:rPr>
              <w:t>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5C9A395"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Union des Journalistes et Communicateurs Evangélistes</w:t>
            </w:r>
          </w:p>
        </w:tc>
      </w:tr>
      <w:tr w:rsidR="00733207" w14:paraId="311FC55E"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0EE4234"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b/>
                <w:sz w:val="26"/>
                <w:szCs w:val="26"/>
              </w:rPr>
              <w:t>UNALFA</w:t>
            </w:r>
            <w:r>
              <w:rPr>
                <w:rFonts w:ascii="Rockwell" w:hAnsi="Rockwell" w:cs="Times New Roman"/>
                <w:sz w:val="26"/>
                <w:szCs w:val="26"/>
              </w:rPr>
              <w:t xml:space="preserve">  </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F6E9A3B" w14:textId="77777777" w:rsidR="00733207" w:rsidRDefault="00912BAE">
            <w:pPr>
              <w:spacing w:beforeLines="60" w:before="144" w:afterLines="60" w:after="144" w:line="276" w:lineRule="auto"/>
              <w:jc w:val="both"/>
              <w:rPr>
                <w:rFonts w:ascii="Rockwell" w:hAnsi="Rockwell" w:cs="Times New Roman"/>
                <w:sz w:val="26"/>
                <w:szCs w:val="26"/>
              </w:rPr>
            </w:pPr>
            <w:r>
              <w:rPr>
                <w:rFonts w:ascii="Rockwell" w:hAnsi="Rockwell" w:cs="Times New Roman"/>
                <w:sz w:val="26"/>
                <w:szCs w:val="26"/>
              </w:rPr>
              <w:t>Union Nationale de l’Audiovisuel Libre du Faso</w:t>
            </w:r>
          </w:p>
        </w:tc>
      </w:tr>
      <w:tr w:rsidR="00733207" w14:paraId="3AAEA83A" w14:textId="77777777">
        <w:trPr>
          <w:trHeight w:val="20"/>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AE36B43" w14:textId="77777777" w:rsidR="00733207" w:rsidRDefault="00912BAE">
            <w:pPr>
              <w:spacing w:beforeLines="60" w:before="144" w:afterLines="60" w:after="144" w:line="276" w:lineRule="auto"/>
              <w:jc w:val="both"/>
              <w:rPr>
                <w:rFonts w:ascii="Rockwell" w:hAnsi="Rockwell"/>
                <w:b/>
                <w:bCs/>
                <w:sz w:val="26"/>
                <w:szCs w:val="26"/>
              </w:rPr>
            </w:pPr>
            <w:r>
              <w:rPr>
                <w:rFonts w:ascii="Rockwell" w:hAnsi="Rockwell"/>
                <w:b/>
                <w:bCs/>
                <w:sz w:val="26"/>
                <w:szCs w:val="26"/>
              </w:rPr>
              <w:t>UNDD</w:t>
            </w:r>
          </w:p>
        </w:tc>
        <w:tc>
          <w:tcPr>
            <w:tcW w:w="737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196A115" w14:textId="77777777" w:rsidR="00733207" w:rsidRDefault="00912BAE">
            <w:pPr>
              <w:spacing w:beforeLines="60" w:before="144" w:afterLines="60" w:after="144" w:line="276" w:lineRule="auto"/>
              <w:jc w:val="both"/>
              <w:rPr>
                <w:rFonts w:ascii="Rockwell" w:hAnsi="Rockwell"/>
                <w:sz w:val="26"/>
                <w:szCs w:val="26"/>
              </w:rPr>
            </w:pPr>
            <w:r>
              <w:rPr>
                <w:rFonts w:ascii="Rockwell" w:hAnsi="Rockwell"/>
                <w:sz w:val="26"/>
                <w:szCs w:val="26"/>
              </w:rPr>
              <w:t>Union Nationale pour la Démocratie et le Développement</w:t>
            </w:r>
          </w:p>
        </w:tc>
      </w:tr>
    </w:tbl>
    <w:p w14:paraId="59788DD0" w14:textId="77777777" w:rsidR="00733207" w:rsidRDefault="00733207">
      <w:pPr>
        <w:spacing w:before="120" w:after="120" w:line="360" w:lineRule="auto"/>
        <w:jc w:val="both"/>
        <w:rPr>
          <w:rFonts w:ascii="Rockwell" w:hAnsi="Rockwell"/>
          <w:sz w:val="26"/>
          <w:szCs w:val="26"/>
        </w:rPr>
      </w:pPr>
    </w:p>
    <w:p w14:paraId="21D3B034" w14:textId="77777777" w:rsidR="00733207" w:rsidRDefault="00733207">
      <w:pPr>
        <w:spacing w:before="120" w:after="120" w:line="360" w:lineRule="auto"/>
        <w:jc w:val="both"/>
        <w:rPr>
          <w:rFonts w:ascii="Rockwell" w:hAnsi="Rockwell" w:cs="Times New Roman"/>
          <w:b/>
          <w:sz w:val="26"/>
          <w:szCs w:val="26"/>
        </w:rPr>
        <w:sectPr w:rsidR="00733207">
          <w:pgSz w:w="11906" w:h="16838"/>
          <w:pgMar w:top="1417" w:right="1417" w:bottom="1417" w:left="1417" w:header="708" w:footer="708" w:gutter="0"/>
          <w:cols w:space="708"/>
          <w:docGrid w:linePitch="360"/>
        </w:sectPr>
      </w:pPr>
    </w:p>
    <w:p w14:paraId="7818CA3F" w14:textId="77777777" w:rsidR="00733207" w:rsidRDefault="00912BAE">
      <w:pPr>
        <w:pStyle w:val="Titre1"/>
        <w:spacing w:before="120" w:after="120" w:line="360" w:lineRule="auto"/>
        <w:jc w:val="center"/>
        <w:rPr>
          <w:rFonts w:ascii="Rockwell" w:hAnsi="Rockwell"/>
          <w:b/>
          <w:color w:val="auto"/>
        </w:rPr>
      </w:pPr>
      <w:bookmarkStart w:id="13" w:name="_Toc169855083"/>
      <w:bookmarkStart w:id="14" w:name="_Toc169854352"/>
      <w:bookmarkStart w:id="15" w:name="_Toc175128422"/>
      <w:bookmarkStart w:id="16" w:name="_Toc170209312"/>
      <w:bookmarkStart w:id="17" w:name="_Toc141088485"/>
      <w:bookmarkStart w:id="18" w:name="_Toc141088424"/>
      <w:r>
        <w:rPr>
          <w:rFonts w:ascii="Rockwell" w:hAnsi="Rockwell"/>
          <w:b/>
          <w:color w:val="auto"/>
        </w:rPr>
        <w:lastRenderedPageBreak/>
        <w:t>AVANT-PROPOS</w:t>
      </w:r>
      <w:bookmarkEnd w:id="13"/>
      <w:bookmarkEnd w:id="14"/>
      <w:bookmarkEnd w:id="15"/>
      <w:bookmarkEnd w:id="16"/>
    </w:p>
    <w:p w14:paraId="6A13D45D" w14:textId="77777777" w:rsidR="00733207" w:rsidRDefault="00733207">
      <w:pPr>
        <w:spacing w:before="120" w:after="120" w:line="360" w:lineRule="auto"/>
        <w:jc w:val="both"/>
        <w:rPr>
          <w:rFonts w:ascii="Rockwell" w:hAnsi="Rockwell"/>
          <w:sz w:val="26"/>
          <w:szCs w:val="26"/>
        </w:rPr>
      </w:pPr>
    </w:p>
    <w:p w14:paraId="15C6D45F"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Les crises sont connues pour être révélatrices des forces et faiblesses des sociétés en général et des différents secteurs de l’activité humaine en particulier. L’année 2023, marquée par des attaques terroristes d’envergure et aux répercussions inédites, a projeté un nouveau faisceau de lumière sur le rôle spécifique et incontournable des médias en temps de crise. Cette crise sécuritaire devenue aussi une crise économique a révélé l’urgence qu’il y a à adapter le modèle économique des médias classiques au nouveau contexte de la communication numérique globalisée.</w:t>
      </w:r>
    </w:p>
    <w:p w14:paraId="07CDF92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2023 a davantage révélé la vulnérabilité économique des entreprises de presse nationales. Cette situation constitue une grande préoccupation non seulement pour les opérateurs mais aussi pour le régulateur dont l’une des attributions est de consolider l’offre audiovisuelle nationale et construire un paysage médiatique qui permette l’expression de tous les courants de pensée.</w:t>
      </w:r>
    </w:p>
    <w:p w14:paraId="03DC59A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C’est pourquoi, il s’est beaucoup investi dans la résolution du contentieux qui a opposé la SBT aux médias audiovisuels privés. Même si la médiation n’a pas permis aux différentes parties de parvenir à un consensus sur le paiement des arriérés des redevances dues à l’opérateur de télédiffusion, il faut se féliciter de cette démarche de conciliation qui visait la préservation des entreprises de presse.</w:t>
      </w:r>
    </w:p>
    <w:p w14:paraId="376871F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L’autre chantier majeur de 2023 a été la sensibilisation des médias et des citoyens à répondre à la mobilisation collective pour lutter contre le terrorisme. Cette campagne, entreprise par le régulateur pour des médias plus professionnels et des citoyens plus responsables, a mis en exergue l’impérieuse nécessité de faire face à la désinformation sous toutes ses formes et aux discours de haine qui contribuent à exacerber la crise sécuritaire.</w:t>
      </w:r>
    </w:p>
    <w:p w14:paraId="3CE9458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lastRenderedPageBreak/>
        <w:t>A côté des activités courantes de régulation, ces multiples actions, dont la mise en œuvre a été rendue possible grâce à l’accompagnement des acteurs sociopolitiques et des partenaires stratégiques auront permis au CSC d’occuper dignement sa place dans le dispositif institutionnel de notre pays.</w:t>
      </w:r>
    </w:p>
    <w:p w14:paraId="5C1D57B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 </w:t>
      </w:r>
    </w:p>
    <w:p w14:paraId="00DA425F" w14:textId="77777777" w:rsidR="00733207" w:rsidRDefault="00733207">
      <w:pPr>
        <w:spacing w:before="120" w:after="120" w:line="360" w:lineRule="auto"/>
        <w:jc w:val="both"/>
        <w:rPr>
          <w:rFonts w:ascii="Rockwell" w:hAnsi="Rockwell"/>
          <w:sz w:val="26"/>
          <w:szCs w:val="26"/>
        </w:rPr>
      </w:pPr>
    </w:p>
    <w:p w14:paraId="0D237458" w14:textId="77777777" w:rsidR="00733207" w:rsidRDefault="00912BAE">
      <w:pPr>
        <w:tabs>
          <w:tab w:val="left" w:pos="8222"/>
        </w:tabs>
        <w:spacing w:before="240" w:after="240"/>
        <w:ind w:right="1273"/>
        <w:jc w:val="right"/>
        <w:rPr>
          <w:rFonts w:ascii="Rockwell" w:eastAsia="Times New Roman" w:hAnsi="Rockwell" w:cs="Times New Roman"/>
          <w:color w:val="000000"/>
          <w:sz w:val="26"/>
          <w:szCs w:val="26"/>
          <w:lang w:eastAsia="fr-FR"/>
        </w:rPr>
      </w:pPr>
      <w:r>
        <w:rPr>
          <w:rFonts w:ascii="Rockwell" w:hAnsi="Rockwell"/>
          <w:sz w:val="26"/>
          <w:szCs w:val="26"/>
        </w:rPr>
        <w:t xml:space="preserve"> </w:t>
      </w:r>
      <w:r>
        <w:rPr>
          <w:rFonts w:ascii="Rockwell" w:eastAsia="Times New Roman" w:hAnsi="Rockwell" w:cs="Times New Roman"/>
          <w:color w:val="000000"/>
          <w:sz w:val="26"/>
          <w:szCs w:val="26"/>
          <w:lang w:eastAsia="fr-FR"/>
        </w:rPr>
        <w:t xml:space="preserve">  Le Président</w:t>
      </w:r>
    </w:p>
    <w:p w14:paraId="24331396" w14:textId="77777777" w:rsidR="00733207" w:rsidRDefault="00733207">
      <w:pPr>
        <w:tabs>
          <w:tab w:val="left" w:pos="8222"/>
        </w:tabs>
        <w:suppressAutoHyphens/>
        <w:autoSpaceDN w:val="0"/>
        <w:spacing w:before="240" w:after="240" w:line="360" w:lineRule="auto"/>
        <w:ind w:right="1273"/>
        <w:jc w:val="right"/>
        <w:textAlignment w:val="baseline"/>
        <w:rPr>
          <w:rFonts w:ascii="Rockwell" w:eastAsia="Times New Roman" w:hAnsi="Rockwell" w:cs="Times New Roman"/>
          <w:color w:val="000000"/>
          <w:sz w:val="10"/>
          <w:szCs w:val="10"/>
          <w:lang w:eastAsia="fr-FR"/>
        </w:rPr>
      </w:pPr>
    </w:p>
    <w:p w14:paraId="3C8B7946" w14:textId="77777777" w:rsidR="00733207" w:rsidRDefault="00733207">
      <w:pPr>
        <w:tabs>
          <w:tab w:val="left" w:pos="8222"/>
        </w:tabs>
        <w:suppressAutoHyphens/>
        <w:autoSpaceDN w:val="0"/>
        <w:spacing w:before="240" w:after="240" w:line="360" w:lineRule="auto"/>
        <w:ind w:right="1273"/>
        <w:jc w:val="right"/>
        <w:textAlignment w:val="baseline"/>
        <w:rPr>
          <w:rFonts w:ascii="Rockwell" w:eastAsia="Times New Roman" w:hAnsi="Rockwell" w:cs="Times New Roman"/>
          <w:color w:val="000000"/>
          <w:sz w:val="10"/>
          <w:szCs w:val="10"/>
          <w:lang w:eastAsia="fr-FR"/>
        </w:rPr>
      </w:pPr>
    </w:p>
    <w:p w14:paraId="14D741FA" w14:textId="77777777" w:rsidR="00733207" w:rsidRDefault="00733207">
      <w:pPr>
        <w:tabs>
          <w:tab w:val="left" w:pos="8222"/>
        </w:tabs>
        <w:suppressAutoHyphens/>
        <w:autoSpaceDN w:val="0"/>
        <w:spacing w:before="240" w:after="240" w:line="360" w:lineRule="auto"/>
        <w:ind w:right="1273"/>
        <w:jc w:val="right"/>
        <w:textAlignment w:val="baseline"/>
        <w:rPr>
          <w:rFonts w:ascii="Rockwell" w:eastAsia="Times New Roman" w:hAnsi="Rockwell" w:cs="Times New Roman"/>
          <w:color w:val="000000"/>
          <w:sz w:val="10"/>
          <w:szCs w:val="10"/>
          <w:lang w:eastAsia="fr-FR"/>
        </w:rPr>
      </w:pPr>
    </w:p>
    <w:p w14:paraId="56831D22" w14:textId="77777777" w:rsidR="00733207" w:rsidRDefault="00912BAE">
      <w:pPr>
        <w:tabs>
          <w:tab w:val="left" w:pos="7050"/>
        </w:tabs>
        <w:suppressAutoHyphens/>
        <w:autoSpaceDN w:val="0"/>
        <w:spacing w:after="0" w:line="240" w:lineRule="auto"/>
        <w:jc w:val="right"/>
        <w:textAlignment w:val="baseline"/>
        <w:rPr>
          <w:rFonts w:ascii="Rockwell" w:eastAsia="Times New Roman" w:hAnsi="Rockwell" w:cs="Times New Roman"/>
          <w:b/>
          <w:color w:val="000000"/>
          <w:sz w:val="24"/>
          <w:szCs w:val="24"/>
          <w:u w:val="single"/>
          <w:lang w:eastAsia="fr-FR"/>
        </w:rPr>
      </w:pPr>
      <w:r>
        <w:rPr>
          <w:rFonts w:ascii="Rockwell" w:eastAsia="Times New Roman" w:hAnsi="Rockwell" w:cs="Times New Roman"/>
          <w:b/>
          <w:color w:val="000000"/>
          <w:sz w:val="24"/>
          <w:szCs w:val="24"/>
          <w:u w:val="single"/>
          <w:lang w:eastAsia="fr-FR"/>
        </w:rPr>
        <w:t>W. Louis Modeste OUEDRAOGO</w:t>
      </w:r>
    </w:p>
    <w:p w14:paraId="7F0191AA" w14:textId="77777777" w:rsidR="00733207" w:rsidRDefault="00912BAE">
      <w:pPr>
        <w:tabs>
          <w:tab w:val="left" w:pos="7050"/>
        </w:tabs>
        <w:suppressAutoHyphens/>
        <w:autoSpaceDN w:val="0"/>
        <w:spacing w:after="0" w:line="240" w:lineRule="auto"/>
        <w:ind w:left="4956"/>
        <w:jc w:val="center"/>
        <w:textAlignment w:val="baseline"/>
        <w:rPr>
          <w:rFonts w:ascii="Rockwell" w:eastAsia="Times New Roman" w:hAnsi="Rockwell" w:cs="Times New Roman"/>
          <w:i/>
          <w:color w:val="000000"/>
          <w:sz w:val="20"/>
          <w:szCs w:val="20"/>
          <w:lang w:eastAsia="fr-FR"/>
        </w:rPr>
      </w:pPr>
      <w:r>
        <w:rPr>
          <w:rFonts w:ascii="Rockwell" w:eastAsia="Times New Roman" w:hAnsi="Rockwell" w:cs="Times New Roman"/>
          <w:i/>
          <w:color w:val="000000"/>
          <w:sz w:val="20"/>
          <w:szCs w:val="20"/>
          <w:lang w:eastAsia="fr-FR"/>
        </w:rPr>
        <w:t>Chevalier de l’Ordre du Mérite des Arts, des Lettres et de la Communication</w:t>
      </w:r>
    </w:p>
    <w:p w14:paraId="5DCC3918" w14:textId="77777777" w:rsidR="00733207" w:rsidRDefault="00912BAE">
      <w:pPr>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r>
        <w:rPr>
          <w:rFonts w:ascii="Rockwell" w:hAnsi="Rockwell"/>
          <w:sz w:val="26"/>
          <w:szCs w:val="26"/>
        </w:rPr>
        <w:t xml:space="preserve">     </w:t>
      </w:r>
    </w:p>
    <w:p w14:paraId="5036369C" w14:textId="77777777" w:rsidR="00733207" w:rsidRDefault="00912BAE">
      <w:pPr>
        <w:pStyle w:val="Titre1"/>
        <w:spacing w:after="240"/>
        <w:jc w:val="center"/>
        <w:rPr>
          <w:rFonts w:ascii="Rockwell" w:hAnsi="Rockwell"/>
          <w:b/>
          <w:color w:val="auto"/>
          <w:sz w:val="30"/>
          <w:szCs w:val="30"/>
        </w:rPr>
      </w:pPr>
      <w:bookmarkStart w:id="19" w:name="_Toc169855084"/>
      <w:bookmarkStart w:id="20" w:name="_Toc169854353"/>
      <w:bookmarkStart w:id="21" w:name="_Toc170209313"/>
      <w:bookmarkStart w:id="22" w:name="_Toc175128423"/>
      <w:bookmarkEnd w:id="17"/>
      <w:bookmarkEnd w:id="18"/>
      <w:r>
        <w:rPr>
          <w:rFonts w:ascii="Rockwell" w:hAnsi="Rockwell"/>
          <w:b/>
          <w:color w:val="auto"/>
          <w:sz w:val="30"/>
          <w:szCs w:val="30"/>
        </w:rPr>
        <w:lastRenderedPageBreak/>
        <w:t xml:space="preserve">PRESENTATION DU CONSEIL SUPERIEUR DE LA </w:t>
      </w:r>
      <w:commentRangeStart w:id="23"/>
      <w:r>
        <w:rPr>
          <w:rFonts w:ascii="Rockwell" w:hAnsi="Rockwell"/>
          <w:b/>
          <w:color w:val="auto"/>
          <w:sz w:val="30"/>
          <w:szCs w:val="30"/>
        </w:rPr>
        <w:t>COMMUNICATION</w:t>
      </w:r>
      <w:commentRangeEnd w:id="23"/>
      <w:r>
        <w:rPr>
          <w:rStyle w:val="Marquedecommentaire"/>
          <w:rFonts w:ascii="Calibri" w:eastAsia="Calibri" w:hAnsi="Calibri" w:cs="Times New Roman"/>
          <w:color w:val="auto"/>
          <w:lang w:eastAsia="fr-FR"/>
        </w:rPr>
        <w:commentReference w:id="23"/>
      </w:r>
      <w:bookmarkEnd w:id="19"/>
      <w:bookmarkEnd w:id="20"/>
      <w:bookmarkEnd w:id="21"/>
      <w:bookmarkEnd w:id="22"/>
    </w:p>
    <w:p w14:paraId="4AD9E001" w14:textId="77777777" w:rsidR="00733207" w:rsidRDefault="00733207">
      <w:pPr>
        <w:jc w:val="both"/>
        <w:rPr>
          <w:rFonts w:ascii="Rockwell" w:hAnsi="Rockwell"/>
          <w:sz w:val="10"/>
          <w:szCs w:val="10"/>
        </w:rPr>
      </w:pPr>
    </w:p>
    <w:p w14:paraId="23735E55" w14:textId="77777777" w:rsidR="00733207" w:rsidRDefault="00912BAE">
      <w:pPr>
        <w:pStyle w:val="Default"/>
        <w:spacing w:before="120" w:after="120" w:line="360" w:lineRule="auto"/>
        <w:jc w:val="both"/>
        <w:rPr>
          <w:rFonts w:ascii="Rockwell" w:hAnsi="Rockwell"/>
          <w:sz w:val="26"/>
          <w:szCs w:val="26"/>
        </w:rPr>
      </w:pPr>
      <w:r>
        <w:rPr>
          <w:rFonts w:ascii="Rockwell" w:hAnsi="Rockwell" w:cs="Times New Roman"/>
          <w:color w:val="auto"/>
          <w:sz w:val="26"/>
          <w:szCs w:val="26"/>
        </w:rPr>
        <w:t>La loi organique N°041-2023/ALT du 21 novembre 2023 portant attributions, composition, organisation et fonctionnement du Conseil supérieur de la communication dispose qu’il est « </w:t>
      </w:r>
      <w:r>
        <w:rPr>
          <w:rFonts w:ascii="Rockwell" w:hAnsi="Rockwell" w:cs="Times New Roman"/>
          <w:i/>
          <w:color w:val="auto"/>
          <w:sz w:val="26"/>
          <w:szCs w:val="26"/>
        </w:rPr>
        <w:t xml:space="preserve">une </w:t>
      </w:r>
      <w:r>
        <w:rPr>
          <w:rFonts w:ascii="Rockwell" w:hAnsi="Rockwell" w:cs="Times New Roman"/>
          <w:i/>
          <w:color w:val="auto"/>
          <w:sz w:val="26"/>
          <w:szCs w:val="26"/>
          <w:lang w:eastAsia="fr-FR"/>
        </w:rPr>
        <w:t>autorité administrative indépendante</w:t>
      </w:r>
      <w:r>
        <w:rPr>
          <w:rFonts w:ascii="Rockwell" w:hAnsi="Rockwell" w:cs="Times New Roman"/>
          <w:i/>
          <w:color w:val="auto"/>
          <w:sz w:val="26"/>
          <w:szCs w:val="26"/>
        </w:rPr>
        <w:t xml:space="preserve"> dotée de la personnalité juridique et de l’autonomie financière. Il a pour mission la régulation du secteur de la communication au Burkina Faso</w:t>
      </w:r>
      <w:r>
        <w:rPr>
          <w:rFonts w:ascii="Rockwell" w:hAnsi="Rockwell" w:cs="Times New Roman"/>
          <w:color w:val="auto"/>
          <w:sz w:val="26"/>
          <w:szCs w:val="26"/>
        </w:rPr>
        <w:t> ».</w:t>
      </w:r>
    </w:p>
    <w:p w14:paraId="1BF69FC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Aux termes de l’article 3, son autorité s’exerce principalement dans les cinq domaines ci-après : </w:t>
      </w:r>
    </w:p>
    <w:p w14:paraId="5F5D226F" w14:textId="77777777" w:rsidR="00733207" w:rsidRDefault="00912BAE">
      <w:pPr>
        <w:pStyle w:val="Paragraphedeliste"/>
        <w:numPr>
          <w:ilvl w:val="0"/>
          <w:numId w:val="3"/>
        </w:numPr>
        <w:tabs>
          <w:tab w:val="left" w:pos="6820"/>
        </w:tabs>
        <w:spacing w:before="120" w:after="120" w:line="360" w:lineRule="auto"/>
        <w:jc w:val="both"/>
        <w:rPr>
          <w:rFonts w:ascii="Rockwell" w:hAnsi="Rockwell"/>
          <w:sz w:val="26"/>
          <w:szCs w:val="26"/>
        </w:rPr>
      </w:pPr>
      <w:proofErr w:type="gramStart"/>
      <w:r>
        <w:rPr>
          <w:rFonts w:ascii="Rockwell" w:hAnsi="Rockwell"/>
          <w:sz w:val="26"/>
          <w:szCs w:val="26"/>
        </w:rPr>
        <w:t>les</w:t>
      </w:r>
      <w:proofErr w:type="gramEnd"/>
      <w:r>
        <w:rPr>
          <w:rFonts w:ascii="Rockwell" w:hAnsi="Rockwell"/>
          <w:sz w:val="26"/>
          <w:szCs w:val="26"/>
        </w:rPr>
        <w:t xml:space="preserve"> activités d’information et de communication audiovisuelle, de presse écrite et en ligne, publique et privée ; </w:t>
      </w:r>
    </w:p>
    <w:p w14:paraId="12FEE78D" w14:textId="77777777" w:rsidR="00733207" w:rsidRDefault="00912BAE">
      <w:pPr>
        <w:numPr>
          <w:ilvl w:val="0"/>
          <w:numId w:val="3"/>
        </w:numPr>
        <w:spacing w:before="120" w:after="120" w:line="360" w:lineRule="auto"/>
        <w:jc w:val="both"/>
        <w:rPr>
          <w:rFonts w:ascii="Rockwell" w:hAnsi="Rockwell"/>
          <w:sz w:val="26"/>
          <w:szCs w:val="26"/>
        </w:rPr>
      </w:pPr>
      <w:proofErr w:type="gramStart"/>
      <w:r>
        <w:rPr>
          <w:rFonts w:ascii="Rockwell" w:hAnsi="Rockwell"/>
          <w:sz w:val="26"/>
          <w:szCs w:val="26"/>
        </w:rPr>
        <w:t>toute</w:t>
      </w:r>
      <w:proofErr w:type="gramEnd"/>
      <w:r>
        <w:rPr>
          <w:rFonts w:ascii="Rockwell" w:hAnsi="Rockwell"/>
          <w:sz w:val="26"/>
          <w:szCs w:val="26"/>
        </w:rPr>
        <w:t xml:space="preserve"> forme de mise à la disposition du public d’informations sur tout support physique, électronique ou numérique ;</w:t>
      </w:r>
    </w:p>
    <w:p w14:paraId="5805BCED" w14:textId="77777777" w:rsidR="00733207" w:rsidRDefault="00912BAE">
      <w:pPr>
        <w:pStyle w:val="Paragraphedeliste"/>
        <w:numPr>
          <w:ilvl w:val="0"/>
          <w:numId w:val="3"/>
        </w:numPr>
        <w:spacing w:before="120" w:after="120" w:line="360" w:lineRule="auto"/>
        <w:jc w:val="both"/>
        <w:rPr>
          <w:rFonts w:ascii="Rockwell" w:hAnsi="Rockwell"/>
          <w:sz w:val="26"/>
          <w:szCs w:val="26"/>
        </w:rPr>
      </w:pPr>
      <w:r>
        <w:rPr>
          <w:rFonts w:ascii="Rockwell" w:hAnsi="Rockwell"/>
          <w:sz w:val="26"/>
          <w:szCs w:val="26"/>
        </w:rPr>
        <w:t xml:space="preserve"> </w:t>
      </w:r>
      <w:proofErr w:type="gramStart"/>
      <w:r>
        <w:rPr>
          <w:rFonts w:ascii="Rockwell" w:hAnsi="Rockwell"/>
          <w:sz w:val="26"/>
          <w:szCs w:val="26"/>
        </w:rPr>
        <w:t>le</w:t>
      </w:r>
      <w:proofErr w:type="gramEnd"/>
      <w:r>
        <w:rPr>
          <w:rFonts w:ascii="Rockwell" w:hAnsi="Rockwell"/>
          <w:sz w:val="26"/>
          <w:szCs w:val="26"/>
        </w:rPr>
        <w:t xml:space="preserve"> contenu des activités de la publicité ;</w:t>
      </w:r>
    </w:p>
    <w:p w14:paraId="6F2DAC7B" w14:textId="77777777" w:rsidR="00733207" w:rsidRDefault="00912BAE">
      <w:pPr>
        <w:numPr>
          <w:ilvl w:val="0"/>
          <w:numId w:val="3"/>
        </w:numPr>
        <w:spacing w:before="120" w:after="120" w:line="360" w:lineRule="auto"/>
        <w:jc w:val="both"/>
        <w:rPr>
          <w:rFonts w:ascii="Rockwell" w:hAnsi="Rockwell"/>
          <w:sz w:val="26"/>
          <w:szCs w:val="26"/>
        </w:rPr>
      </w:pPr>
      <w:proofErr w:type="gramStart"/>
      <w:r>
        <w:rPr>
          <w:rFonts w:ascii="Rockwell" w:hAnsi="Rockwell"/>
          <w:sz w:val="26"/>
          <w:szCs w:val="26"/>
        </w:rPr>
        <w:t>l’activité</w:t>
      </w:r>
      <w:proofErr w:type="gramEnd"/>
      <w:r>
        <w:rPr>
          <w:rFonts w:ascii="Rockwell" w:hAnsi="Rockwell"/>
          <w:sz w:val="26"/>
          <w:szCs w:val="26"/>
        </w:rPr>
        <w:t xml:space="preserve"> des médias internationaux ou étrangers sur le territoire national, quelles que soient les modalités de leur mise à disposition du public ;</w:t>
      </w:r>
    </w:p>
    <w:p w14:paraId="463EE976" w14:textId="77777777" w:rsidR="00733207" w:rsidRDefault="00912BAE">
      <w:pPr>
        <w:numPr>
          <w:ilvl w:val="0"/>
          <w:numId w:val="3"/>
        </w:numPr>
        <w:spacing w:before="120" w:after="120" w:line="360" w:lineRule="auto"/>
        <w:jc w:val="both"/>
        <w:rPr>
          <w:rFonts w:ascii="Rockwell" w:hAnsi="Rockwell" w:cs="Times New Roman"/>
          <w:sz w:val="26"/>
          <w:szCs w:val="26"/>
        </w:rPr>
      </w:pPr>
      <w:proofErr w:type="gramStart"/>
      <w:r>
        <w:rPr>
          <w:rFonts w:ascii="Rockwell" w:hAnsi="Rockwell"/>
          <w:sz w:val="26"/>
          <w:szCs w:val="26"/>
        </w:rPr>
        <w:t>les</w:t>
      </w:r>
      <w:proofErr w:type="gramEnd"/>
      <w:r>
        <w:rPr>
          <w:rFonts w:ascii="Rockwell" w:hAnsi="Rockwell"/>
          <w:sz w:val="26"/>
          <w:szCs w:val="26"/>
        </w:rPr>
        <w:t xml:space="preserve"> contenus des publications de tout site de blogueur, de web-activiste, d’influenceur ou de tout autre internaute disposant d’au moins 5.000 abonnés, amis ou suiveurs en ligne. </w:t>
      </w:r>
    </w:p>
    <w:p w14:paraId="768F3A9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Institution de </w:t>
      </w:r>
      <w:r>
        <w:rPr>
          <w:rFonts w:ascii="Rockwell" w:hAnsi="Rockwell"/>
          <w:sz w:val="26"/>
          <w:szCs w:val="26"/>
        </w:rPr>
        <w:t xml:space="preserve">promotion de la liberté d’expression et du droit à l’information, de protection et de promotion de la culture nationale dans les activités du secteur de la communication et enfin de consolidation de la démocratie, le CSC </w:t>
      </w:r>
      <w:r>
        <w:rPr>
          <w:rFonts w:ascii="Rockwell" w:hAnsi="Rockwell" w:cs="Times New Roman"/>
          <w:sz w:val="26"/>
          <w:szCs w:val="26"/>
        </w:rPr>
        <w:t xml:space="preserve">a pour attributions notamment de : </w:t>
      </w:r>
    </w:p>
    <w:p w14:paraId="6FC7B42E"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à l’application de la législation et de la réglementation relative à la communication au public au Burkina Faso ; </w:t>
      </w:r>
    </w:p>
    <w:p w14:paraId="5B583654"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promouvoir</w:t>
      </w:r>
      <w:proofErr w:type="gramEnd"/>
      <w:r>
        <w:rPr>
          <w:rFonts w:ascii="Rockwell" w:hAnsi="Rockwell"/>
          <w:sz w:val="26"/>
          <w:szCs w:val="26"/>
        </w:rPr>
        <w:t xml:space="preserve"> la liberté d’expression et le droit à l’information ; </w:t>
      </w:r>
    </w:p>
    <w:p w14:paraId="62292AD3"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lastRenderedPageBreak/>
        <w:t>veiller</w:t>
      </w:r>
      <w:proofErr w:type="gramEnd"/>
      <w:r>
        <w:rPr>
          <w:rFonts w:ascii="Rockwell" w:hAnsi="Rockwell"/>
          <w:sz w:val="26"/>
          <w:szCs w:val="26"/>
        </w:rPr>
        <w:t xml:space="preserve"> au respect </w:t>
      </w:r>
      <w:bookmarkStart w:id="24" w:name="_Hlk142383369"/>
      <w:r>
        <w:rPr>
          <w:rFonts w:ascii="Rockwell" w:hAnsi="Rockwell"/>
          <w:sz w:val="26"/>
          <w:szCs w:val="26"/>
        </w:rPr>
        <w:t xml:space="preserve">du pluralisme et de l’équilibre de l’information </w:t>
      </w:r>
      <w:bookmarkEnd w:id="24"/>
      <w:r>
        <w:rPr>
          <w:rFonts w:ascii="Rockwell" w:hAnsi="Rockwell"/>
          <w:sz w:val="26"/>
          <w:szCs w:val="26"/>
        </w:rPr>
        <w:t>dans les entreprises de communication audiovisuelle, de presse écrite et en ligne ;</w:t>
      </w:r>
    </w:p>
    <w:p w14:paraId="605CD996"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faciliter</w:t>
      </w:r>
      <w:proofErr w:type="gramEnd"/>
      <w:r>
        <w:rPr>
          <w:rFonts w:ascii="Rockwell" w:hAnsi="Rockwell"/>
          <w:sz w:val="26"/>
          <w:szCs w:val="26"/>
        </w:rPr>
        <w:t xml:space="preserve"> l’accès des organes de presse aux sources d’information ;</w:t>
      </w:r>
    </w:p>
    <w:p w14:paraId="65142FC6"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à la qualité et à la diversité des programmes, au développement de la création et de la production audiovisuelles nationales dans les médias ; </w:t>
      </w:r>
    </w:p>
    <w:p w14:paraId="5279A86E"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émettre</w:t>
      </w:r>
      <w:proofErr w:type="gramEnd"/>
      <w:r>
        <w:rPr>
          <w:rFonts w:ascii="Rockwell" w:hAnsi="Rockwell"/>
          <w:sz w:val="26"/>
          <w:szCs w:val="26"/>
        </w:rPr>
        <w:t xml:space="preserve"> des avis sur tous textes relatifs au domaine de l’information et de la communication ;</w:t>
      </w:r>
    </w:p>
    <w:p w14:paraId="203F5436"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au respect de l’éthique professionnelle par les entreprises de communication audiovisuelle, de presse écrite et en ligne privées et publiques, et par les animateurs et journalistes professionnels ; </w:t>
      </w:r>
    </w:p>
    <w:p w14:paraId="388E63B3"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autoriser</w:t>
      </w:r>
      <w:proofErr w:type="gramEnd"/>
      <w:r>
        <w:rPr>
          <w:rFonts w:ascii="Rockwell" w:hAnsi="Rockwell"/>
          <w:sz w:val="26"/>
          <w:szCs w:val="26"/>
        </w:rPr>
        <w:t xml:space="preserve"> la création de stations de radiodiffusion sonore et télévisuelle, des web TV et web radio, publiques et privées ; </w:t>
      </w:r>
    </w:p>
    <w:p w14:paraId="499399D3"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autoriser</w:t>
      </w:r>
      <w:proofErr w:type="gramEnd"/>
      <w:r>
        <w:rPr>
          <w:rFonts w:ascii="Rockwell" w:hAnsi="Rockwell"/>
          <w:sz w:val="26"/>
          <w:szCs w:val="26"/>
        </w:rPr>
        <w:t xml:space="preserve"> la création des entreprises de distribution de services audiovisuels à péage ;</w:t>
      </w:r>
    </w:p>
    <w:p w14:paraId="3E811EA6"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autoriser</w:t>
      </w:r>
      <w:proofErr w:type="gramEnd"/>
      <w:r>
        <w:rPr>
          <w:rFonts w:ascii="Rockwell" w:hAnsi="Rockwell"/>
          <w:sz w:val="26"/>
          <w:szCs w:val="26"/>
        </w:rPr>
        <w:t xml:space="preserve"> l’exploitation des fréquences ou canaux destinés à la communication audiovisuelle ; </w:t>
      </w:r>
    </w:p>
    <w:p w14:paraId="7A81AED4"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recevoir</w:t>
      </w:r>
      <w:proofErr w:type="gramEnd"/>
      <w:r>
        <w:rPr>
          <w:rFonts w:ascii="Rockwell" w:hAnsi="Rockwell"/>
          <w:sz w:val="26"/>
          <w:szCs w:val="26"/>
        </w:rPr>
        <w:t xml:space="preserve"> les déclarations d’existence des organes de presse écrite et des médias en ligne ; </w:t>
      </w:r>
    </w:p>
    <w:p w14:paraId="5C1CE3C4"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recevoir</w:t>
      </w:r>
      <w:proofErr w:type="gramEnd"/>
      <w:r>
        <w:rPr>
          <w:rFonts w:ascii="Rockwell" w:hAnsi="Rockwell"/>
          <w:sz w:val="26"/>
          <w:szCs w:val="26"/>
        </w:rPr>
        <w:t xml:space="preserve"> les déclarations d’existence des entreprises de publicité ; </w:t>
      </w:r>
    </w:p>
    <w:p w14:paraId="5B5AADA5"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à la protection de la personne humaine et des personnes morales contre les violences résultant de l’activité du secteur de la communication ;</w:t>
      </w:r>
    </w:p>
    <w:p w14:paraId="40C46BCE"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à la protection de la société contre la désinformation, la stigmatisation et le discours de haine ;</w:t>
      </w:r>
    </w:p>
    <w:p w14:paraId="4A68A802"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à la protection et à la promotion de la culture nationale dans les activités du secteur de la communication ;</w:t>
      </w:r>
    </w:p>
    <w:p w14:paraId="2C023D54"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fixer</w:t>
      </w:r>
      <w:proofErr w:type="gramEnd"/>
      <w:r>
        <w:rPr>
          <w:rFonts w:ascii="Rockwell" w:hAnsi="Rockwell"/>
          <w:sz w:val="26"/>
          <w:szCs w:val="26"/>
        </w:rPr>
        <w:t xml:space="preserve"> les quotas de diffusion des œuvres audiovisuelles nationales ;</w:t>
      </w:r>
    </w:p>
    <w:p w14:paraId="6CF788DE"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promouvoir</w:t>
      </w:r>
      <w:proofErr w:type="gramEnd"/>
      <w:r>
        <w:rPr>
          <w:rFonts w:ascii="Rockwell" w:hAnsi="Rockwell"/>
          <w:sz w:val="26"/>
          <w:szCs w:val="26"/>
        </w:rPr>
        <w:t xml:space="preserve"> l’éducation du public aux médias et à l’information ;</w:t>
      </w:r>
    </w:p>
    <w:p w14:paraId="6F4AA62E"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lastRenderedPageBreak/>
        <w:t>renforcer</w:t>
      </w:r>
      <w:proofErr w:type="gramEnd"/>
      <w:r>
        <w:rPr>
          <w:rFonts w:ascii="Rockwell" w:hAnsi="Rockwell"/>
          <w:sz w:val="26"/>
          <w:szCs w:val="26"/>
        </w:rPr>
        <w:t xml:space="preserve"> les capacités des professionnels de l’information et de la communication ;</w:t>
      </w:r>
    </w:p>
    <w:p w14:paraId="1DD62488"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au respect des principes fondamentaux régissant le contenu de la publicité à travers les médias ; </w:t>
      </w:r>
    </w:p>
    <w:p w14:paraId="3B442596"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veiller</w:t>
      </w:r>
      <w:proofErr w:type="gramEnd"/>
      <w:r>
        <w:rPr>
          <w:rFonts w:ascii="Rockwell" w:hAnsi="Rockwell"/>
          <w:sz w:val="26"/>
          <w:szCs w:val="26"/>
        </w:rPr>
        <w:t xml:space="preserve"> au respect des cahiers des charges et des missions des entreprises de communication audiovisuelle publiques et privées ; </w:t>
      </w:r>
    </w:p>
    <w:p w14:paraId="4062BD77"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réguler</w:t>
      </w:r>
      <w:proofErr w:type="gramEnd"/>
      <w:r>
        <w:rPr>
          <w:rFonts w:ascii="Rockwell" w:hAnsi="Rockwell"/>
          <w:sz w:val="26"/>
          <w:szCs w:val="26"/>
        </w:rPr>
        <w:t xml:space="preserve"> la communication politique électorale ;</w:t>
      </w:r>
    </w:p>
    <w:p w14:paraId="270B4D22"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fixer</w:t>
      </w:r>
      <w:proofErr w:type="gramEnd"/>
      <w:r>
        <w:rPr>
          <w:rFonts w:ascii="Rockwell" w:hAnsi="Rockwell"/>
          <w:sz w:val="26"/>
          <w:szCs w:val="26"/>
        </w:rPr>
        <w:t xml:space="preserve"> les règles concernant les conditions de production, de programmation, de diffusion des émissions et des articles relatifs aux campagnes électorales par les entreprises publiques de communication audiovisuelle, de presse écrite et en ligne, en conformité avec les dispositions du code électoral ; </w:t>
      </w:r>
    </w:p>
    <w:p w14:paraId="779ACF17"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définir</w:t>
      </w:r>
      <w:proofErr w:type="gramEnd"/>
      <w:r>
        <w:rPr>
          <w:rFonts w:ascii="Rockwell" w:hAnsi="Rockwell"/>
          <w:sz w:val="26"/>
          <w:szCs w:val="26"/>
        </w:rPr>
        <w:t>, en accord avec l’administration en charge de la gestion du spectre radioélectrique, les normes applicables au matériel de diffusion et de réception ;</w:t>
      </w:r>
    </w:p>
    <w:p w14:paraId="090798F9"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réaliser</w:t>
      </w:r>
      <w:proofErr w:type="gramEnd"/>
      <w:r>
        <w:rPr>
          <w:rFonts w:ascii="Rockwell" w:hAnsi="Rockwell"/>
          <w:sz w:val="26"/>
          <w:szCs w:val="26"/>
        </w:rPr>
        <w:t xml:space="preserve"> périodiquement des études et mesures d’audience des médias et des réseaux sociaux numériques ;</w:t>
      </w:r>
    </w:p>
    <w:p w14:paraId="0384466D"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assurer</w:t>
      </w:r>
      <w:proofErr w:type="gramEnd"/>
      <w:r>
        <w:rPr>
          <w:rFonts w:ascii="Rockwell" w:hAnsi="Rockwell"/>
          <w:sz w:val="26"/>
          <w:szCs w:val="26"/>
        </w:rPr>
        <w:t xml:space="preserve"> l’encadrement des mesures d’audiences des médias et certifier les résultats des études réalisées par d’autres acteurs.</w:t>
      </w:r>
    </w:p>
    <w:p w14:paraId="048E7F65" w14:textId="4499304F" w:rsidR="00733207" w:rsidRDefault="00912BAE">
      <w:pPr>
        <w:pStyle w:val="Default"/>
        <w:spacing w:before="120" w:after="120" w:line="360" w:lineRule="auto"/>
        <w:jc w:val="both"/>
        <w:rPr>
          <w:rFonts w:ascii="Rockwell" w:hAnsi="Rockwell" w:cs="Times New Roman"/>
          <w:color w:val="auto"/>
          <w:sz w:val="26"/>
          <w:szCs w:val="26"/>
        </w:rPr>
      </w:pPr>
      <w:r>
        <w:rPr>
          <w:rFonts w:ascii="Rockwell" w:hAnsi="Rockwell" w:cs="Times New Roman"/>
          <w:color w:val="auto"/>
          <w:sz w:val="26"/>
          <w:szCs w:val="26"/>
        </w:rPr>
        <w:t xml:space="preserve">Le </w:t>
      </w:r>
      <w:r w:rsidR="00E06378">
        <w:rPr>
          <w:rFonts w:ascii="Rockwell" w:hAnsi="Rockwell" w:cs="Times New Roman"/>
          <w:color w:val="auto"/>
          <w:sz w:val="26"/>
          <w:szCs w:val="26"/>
        </w:rPr>
        <w:t>CSC</w:t>
      </w:r>
      <w:r>
        <w:rPr>
          <w:rFonts w:ascii="Rockwell" w:hAnsi="Rockwell" w:cs="Times New Roman"/>
          <w:color w:val="auto"/>
          <w:sz w:val="26"/>
          <w:szCs w:val="26"/>
        </w:rPr>
        <w:t xml:space="preserve"> est composé de neuf (09) membres permanents nommés par décret en Conseil des ministres ainsi qu’il suit : </w:t>
      </w:r>
    </w:p>
    <w:p w14:paraId="69B9F737"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trois</w:t>
      </w:r>
      <w:proofErr w:type="gramEnd"/>
      <w:r>
        <w:rPr>
          <w:rFonts w:ascii="Rockwell" w:hAnsi="Rockwell"/>
          <w:sz w:val="26"/>
          <w:szCs w:val="26"/>
        </w:rPr>
        <w:t xml:space="preserve"> (03) membres désignés par le Président du Faso dont au moins un juriste et un journaliste ou un spécialiste en sciences et techniques de l’information et de la communication ; </w:t>
      </w:r>
    </w:p>
    <w:p w14:paraId="1E4DFBA8"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deux</w:t>
      </w:r>
      <w:proofErr w:type="gramEnd"/>
      <w:r>
        <w:rPr>
          <w:rFonts w:ascii="Rockwell" w:hAnsi="Rockwell"/>
          <w:sz w:val="26"/>
          <w:szCs w:val="26"/>
        </w:rPr>
        <w:t xml:space="preserve"> (02) membres désignés par le Président de l’Assemblée nationale dont un ingénieur en réseaux et systèmes ou en télécommunication ; </w:t>
      </w:r>
    </w:p>
    <w:p w14:paraId="30BC2D7B"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un</w:t>
      </w:r>
      <w:proofErr w:type="gramEnd"/>
      <w:r>
        <w:rPr>
          <w:rFonts w:ascii="Rockwell" w:hAnsi="Rockwell"/>
          <w:sz w:val="26"/>
          <w:szCs w:val="26"/>
        </w:rPr>
        <w:t xml:space="preserve"> (01) membre désigné par le Président du Conseil constitutionnel ; </w:t>
      </w:r>
    </w:p>
    <w:p w14:paraId="3E298C2B" w14:textId="77777777" w:rsidR="00733207" w:rsidRDefault="00912BAE">
      <w:pPr>
        <w:pStyle w:val="Paragraphedeliste"/>
        <w:numPr>
          <w:ilvl w:val="0"/>
          <w:numId w:val="4"/>
        </w:numPr>
        <w:spacing w:before="120" w:after="120" w:line="360" w:lineRule="auto"/>
        <w:jc w:val="both"/>
        <w:rPr>
          <w:rFonts w:ascii="Rockwell" w:hAnsi="Rockwell"/>
          <w:sz w:val="26"/>
          <w:szCs w:val="26"/>
        </w:rPr>
      </w:pPr>
      <w:proofErr w:type="gramStart"/>
      <w:r>
        <w:rPr>
          <w:rFonts w:ascii="Rockwell" w:hAnsi="Rockwell"/>
          <w:sz w:val="26"/>
          <w:szCs w:val="26"/>
        </w:rPr>
        <w:t>trois</w:t>
      </w:r>
      <w:proofErr w:type="gramEnd"/>
      <w:r>
        <w:rPr>
          <w:rFonts w:ascii="Rockwell" w:hAnsi="Rockwell"/>
          <w:sz w:val="26"/>
          <w:szCs w:val="26"/>
        </w:rPr>
        <w:t xml:space="preserve"> (03) membres désignés par les associations professionnelles représentatives des médias et de la communication dont un de la </w:t>
      </w:r>
      <w:r>
        <w:rPr>
          <w:rFonts w:ascii="Rockwell" w:hAnsi="Rockwell"/>
          <w:sz w:val="26"/>
          <w:szCs w:val="26"/>
        </w:rPr>
        <w:lastRenderedPageBreak/>
        <w:t xml:space="preserve">presse écrite ou en ligne, un de l’audiovisuel et un du secteur de la publicité. </w:t>
      </w:r>
    </w:p>
    <w:p w14:paraId="5AF32835" w14:textId="77777777" w:rsidR="00733207" w:rsidRDefault="00912BAE">
      <w:pPr>
        <w:autoSpaceDE w:val="0"/>
        <w:autoSpaceDN w:val="0"/>
        <w:adjustRightInd w:val="0"/>
        <w:spacing w:before="120" w:after="120" w:line="360" w:lineRule="auto"/>
        <w:jc w:val="both"/>
        <w:rPr>
          <w:rFonts w:ascii="Rockwell" w:hAnsi="Rockwell" w:cs="Times New Roman"/>
          <w:sz w:val="26"/>
          <w:szCs w:val="26"/>
        </w:rPr>
      </w:pPr>
      <w:r>
        <w:rPr>
          <w:rFonts w:ascii="Rockwell" w:hAnsi="Rockwell"/>
          <w:sz w:val="26"/>
          <w:szCs w:val="26"/>
          <w:lang w:eastAsia="fr-FR"/>
        </w:rPr>
        <w:t xml:space="preserve">Ils sont appelés “Conseillers" et leur </w:t>
      </w:r>
      <w:r>
        <w:rPr>
          <w:rFonts w:ascii="Rockwell" w:hAnsi="Rockwell" w:cs="Times New Roman"/>
          <w:sz w:val="26"/>
          <w:szCs w:val="26"/>
        </w:rPr>
        <w:t>mandat est de cinq (05) ans, non renouvelable. Ils sont appuyés dans l’accomplissement quotidien des missions du CSC, par une administration placée sous la responsabilité d’un Secrétaire général et d’un Directeur de cabinet.</w:t>
      </w:r>
    </w:p>
    <w:p w14:paraId="3D5A6A3F" w14:textId="77777777" w:rsidR="00733207" w:rsidRDefault="00733207">
      <w:pPr>
        <w:spacing w:before="120" w:after="120" w:line="360" w:lineRule="auto"/>
        <w:jc w:val="both"/>
        <w:rPr>
          <w:rFonts w:ascii="Rockwell" w:hAnsi="Rockwell"/>
          <w:sz w:val="26"/>
          <w:szCs w:val="26"/>
        </w:rPr>
      </w:pPr>
    </w:p>
    <w:p w14:paraId="50AAC96E" w14:textId="77777777" w:rsidR="00733207" w:rsidRDefault="00733207">
      <w:pPr>
        <w:spacing w:before="120" w:after="120" w:line="360" w:lineRule="auto"/>
        <w:jc w:val="both"/>
        <w:rPr>
          <w:rFonts w:ascii="Rockwell" w:hAnsi="Rockwell"/>
          <w:sz w:val="26"/>
          <w:szCs w:val="26"/>
        </w:rPr>
      </w:pPr>
    </w:p>
    <w:p w14:paraId="31F7333A" w14:textId="77777777" w:rsidR="00733207" w:rsidRDefault="00733207">
      <w:pPr>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p>
    <w:p w14:paraId="31C069BA" w14:textId="77777777" w:rsidR="00733207" w:rsidRDefault="00912BAE">
      <w:pPr>
        <w:pStyle w:val="Titre1"/>
        <w:jc w:val="center"/>
        <w:rPr>
          <w:rFonts w:ascii="Rockwell" w:hAnsi="Rockwell"/>
          <w:b/>
          <w:color w:val="auto"/>
          <w:sz w:val="28"/>
        </w:rPr>
      </w:pPr>
      <w:bookmarkStart w:id="25" w:name="_Toc169855085"/>
      <w:bookmarkStart w:id="26" w:name="_Toc170209314"/>
      <w:bookmarkStart w:id="27" w:name="_Toc169854354"/>
      <w:bookmarkStart w:id="28" w:name="_Toc175128424"/>
      <w:r>
        <w:rPr>
          <w:rFonts w:ascii="Rockwell" w:hAnsi="Rockwell"/>
          <w:b/>
          <w:color w:val="auto"/>
          <w:sz w:val="28"/>
        </w:rPr>
        <w:lastRenderedPageBreak/>
        <w:t>COMPOSITION DU COLLEGE DES CONSEILLERS EN 2023</w:t>
      </w:r>
      <w:bookmarkEnd w:id="25"/>
      <w:bookmarkEnd w:id="26"/>
      <w:bookmarkEnd w:id="27"/>
      <w:bookmarkEnd w:id="28"/>
    </w:p>
    <w:p w14:paraId="3DA4C250" w14:textId="77777777" w:rsidR="00733207" w:rsidRDefault="00733207">
      <w:pPr>
        <w:spacing w:before="120" w:after="120" w:line="360" w:lineRule="auto"/>
        <w:jc w:val="center"/>
        <w:rPr>
          <w:rFonts w:ascii="Rockwell" w:hAnsi="Rockwell"/>
          <w:sz w:val="18"/>
          <w:szCs w:val="18"/>
        </w:rPr>
      </w:pPr>
    </w:p>
    <w:p w14:paraId="74BF4450" w14:textId="77777777" w:rsidR="00733207" w:rsidRDefault="00912BAE">
      <w:pPr>
        <w:spacing w:before="120" w:after="120" w:line="360" w:lineRule="auto"/>
        <w:ind w:firstLine="2552"/>
        <w:jc w:val="both"/>
        <w:rPr>
          <w:rFonts w:ascii="Rockwell" w:hAnsi="Rockwell" w:cs="Times New Roman"/>
          <w:b/>
          <w:sz w:val="26"/>
          <w:szCs w:val="26"/>
        </w:rPr>
      </w:pPr>
      <w:r>
        <w:rPr>
          <w:rFonts w:ascii="Rockwell" w:hAnsi="Rockwell" w:cs="Times New Roman"/>
          <w:b/>
          <w:noProof/>
          <w:sz w:val="26"/>
          <w:szCs w:val="26"/>
          <w:lang w:eastAsia="fr-FR"/>
        </w:rPr>
        <w:drawing>
          <wp:inline distT="0" distB="0" distL="0" distR="0" wp14:anchorId="08A3DCCC" wp14:editId="115A2779">
            <wp:extent cx="2299335" cy="2418715"/>
            <wp:effectExtent l="0" t="0" r="5715" b="63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0345" cy="2430039"/>
                    </a:xfrm>
                    <a:prstGeom prst="rect">
                      <a:avLst/>
                    </a:prstGeom>
                  </pic:spPr>
                </pic:pic>
              </a:graphicData>
            </a:graphic>
          </wp:inline>
        </w:drawing>
      </w:r>
    </w:p>
    <w:p w14:paraId="68AC9550" w14:textId="77777777" w:rsidR="00733207" w:rsidRDefault="00912BAE">
      <w:pPr>
        <w:spacing w:before="120" w:after="120" w:line="360" w:lineRule="auto"/>
        <w:ind w:firstLine="2835"/>
        <w:jc w:val="both"/>
        <w:rPr>
          <w:rFonts w:ascii="Rockwell" w:hAnsi="Rockwell" w:cs="Times New Roman"/>
          <w:sz w:val="18"/>
          <w:szCs w:val="18"/>
        </w:rPr>
      </w:pPr>
      <w:r>
        <w:rPr>
          <w:rFonts w:ascii="Rockwell" w:hAnsi="Rockwell" w:cs="Times New Roman"/>
          <w:b/>
          <w:sz w:val="18"/>
          <w:szCs w:val="18"/>
        </w:rPr>
        <w:t xml:space="preserve">M. </w:t>
      </w:r>
      <w:proofErr w:type="spellStart"/>
      <w:r>
        <w:rPr>
          <w:rFonts w:ascii="Rockwell" w:hAnsi="Rockwell" w:cs="Times New Roman"/>
          <w:b/>
          <w:sz w:val="18"/>
          <w:szCs w:val="18"/>
        </w:rPr>
        <w:t>Abdoulazize</w:t>
      </w:r>
      <w:proofErr w:type="spellEnd"/>
      <w:r>
        <w:rPr>
          <w:rFonts w:ascii="Rockwell" w:hAnsi="Rockwell" w:cs="Times New Roman"/>
          <w:b/>
          <w:sz w:val="18"/>
          <w:szCs w:val="18"/>
        </w:rPr>
        <w:t xml:space="preserve"> BAMOGO</w:t>
      </w:r>
      <w:r>
        <w:rPr>
          <w:rFonts w:ascii="Rockwell" w:hAnsi="Rockwell" w:cs="Times New Roman"/>
          <w:sz w:val="18"/>
          <w:szCs w:val="18"/>
        </w:rPr>
        <w:t> : Président</w:t>
      </w:r>
    </w:p>
    <w:p w14:paraId="3FE91FC4" w14:textId="77777777" w:rsidR="00733207" w:rsidRDefault="00912BAE">
      <w:pPr>
        <w:spacing w:before="120" w:after="120" w:line="360" w:lineRule="auto"/>
        <w:ind w:firstLine="2835"/>
        <w:jc w:val="both"/>
        <w:rPr>
          <w:rFonts w:ascii="Rockwell" w:hAnsi="Rockwell" w:cs="Times New Roman"/>
          <w:sz w:val="18"/>
          <w:szCs w:val="18"/>
        </w:rPr>
      </w:pPr>
      <w:r>
        <w:rPr>
          <w:rFonts w:ascii="Rockwell" w:hAnsi="Rockwell"/>
          <w:noProof/>
          <w:sz w:val="18"/>
          <w:szCs w:val="18"/>
          <w:lang w:eastAsia="fr-FR"/>
        </w:rPr>
        <w:drawing>
          <wp:anchor distT="0" distB="0" distL="114300" distR="114300" simplePos="0" relativeHeight="251659264" behindDoc="0" locked="0" layoutInCell="1" allowOverlap="1" wp14:anchorId="4AA90A9F" wp14:editId="52096268">
            <wp:simplePos x="0" y="0"/>
            <wp:positionH relativeFrom="margin">
              <wp:align>left</wp:align>
            </wp:positionH>
            <wp:positionV relativeFrom="paragraph">
              <wp:posOffset>367030</wp:posOffset>
            </wp:positionV>
            <wp:extent cx="1562100" cy="1522730"/>
            <wp:effectExtent l="0" t="0" r="0" b="1270"/>
            <wp:wrapSquare wrapText="bothSides"/>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34"/>
                    <pic:cNvPicPr>
                      <a:picLocks noChangeAspect="1"/>
                    </pic:cNvPicPr>
                  </pic:nvPicPr>
                  <pic:blipFill>
                    <a:blip r:embed="rId14" cstate="print">
                      <a:extLst>
                        <a:ext uri="{28A0092B-C50C-407E-A947-70E740481C1C}">
                          <a14:useLocalDpi xmlns:a14="http://schemas.microsoft.com/office/drawing/2010/main" val="0"/>
                        </a:ext>
                      </a:extLst>
                    </a:blip>
                    <a:srcRect l="26598" t="6862" r="21295" b="16955"/>
                    <a:stretch>
                      <a:fillRect/>
                    </a:stretch>
                  </pic:blipFill>
                  <pic:spPr>
                    <a:xfrm>
                      <a:off x="0" y="0"/>
                      <a:ext cx="1562100" cy="1522730"/>
                    </a:xfrm>
                    <a:prstGeom prst="rect">
                      <a:avLst/>
                    </a:prstGeom>
                    <a:ln>
                      <a:noFill/>
                    </a:ln>
                  </pic:spPr>
                </pic:pic>
              </a:graphicData>
            </a:graphic>
          </wp:anchor>
        </w:drawing>
      </w:r>
    </w:p>
    <w:p w14:paraId="6D7465C9" w14:textId="77777777" w:rsidR="00733207" w:rsidRDefault="00912BAE">
      <w:pPr>
        <w:spacing w:after="0" w:line="240" w:lineRule="auto"/>
        <w:jc w:val="both"/>
        <w:rPr>
          <w:rFonts w:ascii="Rockwell" w:hAnsi="Rockwell" w:cs="Times New Roman"/>
          <w:b/>
          <w:sz w:val="16"/>
          <w:szCs w:val="16"/>
        </w:rPr>
      </w:pPr>
      <w:r>
        <w:rPr>
          <w:rFonts w:ascii="Rockwell" w:hAnsi="Rockwell" w:cs="Times New Roman"/>
          <w:b/>
          <w:sz w:val="16"/>
          <w:szCs w:val="16"/>
        </w:rPr>
        <w:t xml:space="preserve">                                                                             </w:t>
      </w:r>
      <w:r>
        <w:rPr>
          <w:rFonts w:ascii="Rockwell" w:hAnsi="Rockwell"/>
          <w:noProof/>
          <w:sz w:val="16"/>
          <w:szCs w:val="16"/>
          <w:lang w:eastAsia="fr-FR"/>
        </w:rPr>
        <w:drawing>
          <wp:inline distT="0" distB="0" distL="0" distR="0" wp14:anchorId="4D111828" wp14:editId="23D89159">
            <wp:extent cx="1550035" cy="1557020"/>
            <wp:effectExtent l="0" t="0" r="0" b="508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35"/>
                    <pic:cNvPicPr>
                      <a:picLocks noChangeAspect="1"/>
                    </pic:cNvPicPr>
                  </pic:nvPicPr>
                  <pic:blipFill>
                    <a:blip r:embed="rId15" cstate="print">
                      <a:extLst>
                        <a:ext uri="{28A0092B-C50C-407E-A947-70E740481C1C}">
                          <a14:useLocalDpi xmlns:a14="http://schemas.microsoft.com/office/drawing/2010/main" val="0"/>
                        </a:ext>
                      </a:extLst>
                    </a:blip>
                    <a:srcRect l="17298" t="6932" r="33056" b="18250"/>
                    <a:stretch>
                      <a:fillRect/>
                    </a:stretch>
                  </pic:blipFill>
                  <pic:spPr>
                    <a:xfrm>
                      <a:off x="0" y="0"/>
                      <a:ext cx="1567926" cy="1575255"/>
                    </a:xfrm>
                    <a:prstGeom prst="rect">
                      <a:avLst/>
                    </a:prstGeom>
                    <a:ln>
                      <a:noFill/>
                    </a:ln>
                  </pic:spPr>
                </pic:pic>
              </a:graphicData>
            </a:graphic>
          </wp:inline>
        </w:drawing>
      </w:r>
    </w:p>
    <w:p w14:paraId="5B97B456" w14:textId="77777777" w:rsidR="00733207" w:rsidRDefault="00912BAE">
      <w:pPr>
        <w:pStyle w:val="Paragraphedeliste"/>
        <w:spacing w:after="0" w:line="240" w:lineRule="auto"/>
        <w:ind w:left="-709"/>
        <w:jc w:val="both"/>
        <w:rPr>
          <w:rFonts w:ascii="Rockwell" w:hAnsi="Rockwell" w:cs="Times New Roman"/>
          <w:b/>
          <w:sz w:val="16"/>
          <w:szCs w:val="16"/>
        </w:rPr>
      </w:pPr>
      <w:r>
        <w:rPr>
          <w:rFonts w:ascii="Rockwell" w:hAnsi="Rockwell" w:cs="Times New Roman"/>
          <w:b/>
          <w:sz w:val="16"/>
          <w:szCs w:val="16"/>
        </w:rPr>
        <w:t xml:space="preserve">  </w:t>
      </w:r>
      <w:r>
        <w:rPr>
          <w:rFonts w:ascii="Rockwell" w:hAnsi="Rockwell" w:cs="Times New Roman"/>
          <w:b/>
          <w:sz w:val="16"/>
          <w:szCs w:val="16"/>
        </w:rPr>
        <w:tab/>
      </w:r>
      <w:r>
        <w:rPr>
          <w:rFonts w:ascii="Rockwell" w:hAnsi="Rockwell" w:cs="Times New Roman"/>
          <w:b/>
          <w:sz w:val="16"/>
          <w:szCs w:val="16"/>
        </w:rPr>
        <w:tab/>
      </w:r>
      <w:r>
        <w:rPr>
          <w:rFonts w:ascii="Rockwell" w:hAnsi="Rockwell" w:cs="Times New Roman"/>
          <w:b/>
          <w:sz w:val="16"/>
          <w:szCs w:val="16"/>
        </w:rPr>
        <w:tab/>
      </w:r>
      <w:r>
        <w:rPr>
          <w:rFonts w:ascii="Rockwell" w:hAnsi="Rockwell" w:cs="Times New Roman"/>
          <w:b/>
          <w:sz w:val="16"/>
          <w:szCs w:val="16"/>
        </w:rPr>
        <w:tab/>
      </w:r>
      <w:r>
        <w:rPr>
          <w:rFonts w:ascii="Rockwell" w:hAnsi="Rockwell" w:cs="Times New Roman"/>
          <w:b/>
          <w:sz w:val="16"/>
          <w:szCs w:val="16"/>
        </w:rPr>
        <w:tab/>
      </w:r>
    </w:p>
    <w:p w14:paraId="2571CA14" w14:textId="77777777" w:rsidR="00733207" w:rsidRDefault="00912BAE">
      <w:pPr>
        <w:pStyle w:val="Paragraphedeliste"/>
        <w:spacing w:after="0" w:line="240" w:lineRule="auto"/>
        <w:ind w:left="-709" w:firstLineChars="150" w:firstLine="241"/>
        <w:jc w:val="both"/>
        <w:rPr>
          <w:rFonts w:ascii="Rockwell" w:hAnsi="Rockwell" w:cs="Times New Roman"/>
          <w:b/>
          <w:sz w:val="16"/>
          <w:szCs w:val="16"/>
        </w:rPr>
      </w:pPr>
      <w:r>
        <w:rPr>
          <w:rFonts w:ascii="Rockwell" w:hAnsi="Rockwell" w:cs="Times New Roman"/>
          <w:b/>
          <w:sz w:val="16"/>
          <w:szCs w:val="16"/>
        </w:rPr>
        <w:t xml:space="preserve">Mme S. Eugénie Séraphine YAMEOGO/                                                              </w:t>
      </w:r>
      <w:r>
        <w:rPr>
          <w:rFonts w:ascii="Rockwell" w:hAnsi="Rockwell" w:cs="Times New Roman"/>
          <w:sz w:val="16"/>
          <w:szCs w:val="16"/>
        </w:rPr>
        <w:t xml:space="preserve">                        </w:t>
      </w:r>
      <w:r>
        <w:rPr>
          <w:rFonts w:ascii="Rockwell" w:hAnsi="Rockwell" w:cs="Times New Roman"/>
          <w:b/>
          <w:sz w:val="16"/>
          <w:szCs w:val="16"/>
        </w:rPr>
        <w:t>Mme Jeanne COULIBALY,</w:t>
      </w:r>
      <w:r>
        <w:rPr>
          <w:rFonts w:ascii="Rockwell" w:hAnsi="Rockwell" w:cs="Times New Roman"/>
          <w:sz w:val="16"/>
          <w:szCs w:val="16"/>
        </w:rPr>
        <w:t xml:space="preserve"> Vice-</w:t>
      </w:r>
    </w:p>
    <w:p w14:paraId="19623710" w14:textId="77777777" w:rsidR="00733207" w:rsidRDefault="00912BAE">
      <w:pPr>
        <w:pStyle w:val="Paragraphedeliste"/>
        <w:spacing w:after="0" w:line="240" w:lineRule="auto"/>
        <w:ind w:left="-709" w:firstLineChars="300" w:firstLine="482"/>
        <w:jc w:val="both"/>
        <w:rPr>
          <w:rFonts w:ascii="Rockwell" w:hAnsi="Rockwell" w:cs="Times New Roman"/>
          <w:sz w:val="16"/>
          <w:szCs w:val="16"/>
        </w:rPr>
      </w:pPr>
      <w:r>
        <w:rPr>
          <w:rFonts w:ascii="Rockwell" w:hAnsi="Rockwell" w:cs="Times New Roman"/>
          <w:b/>
          <w:sz w:val="16"/>
          <w:szCs w:val="16"/>
        </w:rPr>
        <w:t>OUATTARA</w:t>
      </w:r>
      <w:r>
        <w:rPr>
          <w:rFonts w:ascii="Rockwell" w:hAnsi="Rockwell" w:cs="Times New Roman"/>
          <w:sz w:val="16"/>
          <w:szCs w:val="16"/>
        </w:rPr>
        <w:t>, Vice-présidente                                                                                                         présidente de la Commission</w:t>
      </w:r>
    </w:p>
    <w:p w14:paraId="67E71376" w14:textId="77777777" w:rsidR="00733207" w:rsidRDefault="00912BAE">
      <w:pPr>
        <w:spacing w:after="0" w:line="240" w:lineRule="auto"/>
        <w:ind w:left="5664" w:right="-426" w:firstLine="3"/>
        <w:jc w:val="both"/>
        <w:rPr>
          <w:rFonts w:ascii="Rockwell" w:hAnsi="Rockwell" w:cs="Times New Roman"/>
          <w:sz w:val="16"/>
          <w:szCs w:val="16"/>
        </w:rPr>
      </w:pPr>
      <w:r>
        <w:rPr>
          <w:rFonts w:ascii="Rockwell" w:hAnsi="Rockwell" w:cs="Times New Roman"/>
          <w:sz w:val="16"/>
          <w:szCs w:val="16"/>
        </w:rPr>
        <w:t xml:space="preserve">        </w:t>
      </w:r>
      <w:proofErr w:type="gramStart"/>
      <w:r>
        <w:rPr>
          <w:rFonts w:ascii="Rockwell" w:hAnsi="Rockwell" w:cs="Times New Roman"/>
          <w:sz w:val="16"/>
          <w:szCs w:val="16"/>
        </w:rPr>
        <w:t>chargée</w:t>
      </w:r>
      <w:proofErr w:type="gramEnd"/>
      <w:r>
        <w:rPr>
          <w:rFonts w:ascii="Rockwell" w:hAnsi="Rockwell" w:cs="Times New Roman"/>
          <w:sz w:val="16"/>
          <w:szCs w:val="16"/>
        </w:rPr>
        <w:t xml:space="preserve"> de la Liberté de la presse,</w:t>
      </w:r>
    </w:p>
    <w:p w14:paraId="26E28DFB" w14:textId="77777777" w:rsidR="00733207" w:rsidRDefault="00912BAE">
      <w:pPr>
        <w:spacing w:after="0" w:line="240" w:lineRule="auto"/>
        <w:ind w:left="5664" w:firstLine="3"/>
        <w:jc w:val="both"/>
        <w:rPr>
          <w:rFonts w:ascii="Rockwell" w:hAnsi="Rockwell" w:cs="Times New Roman"/>
          <w:sz w:val="16"/>
          <w:szCs w:val="16"/>
        </w:rPr>
      </w:pPr>
      <w:r>
        <w:rPr>
          <w:rFonts w:ascii="Rockwell" w:hAnsi="Rockwell" w:cs="Times New Roman"/>
          <w:sz w:val="16"/>
          <w:szCs w:val="16"/>
        </w:rPr>
        <w:t xml:space="preserve">        </w:t>
      </w:r>
      <w:proofErr w:type="gramStart"/>
      <w:r>
        <w:rPr>
          <w:rFonts w:ascii="Rockwell" w:hAnsi="Rockwell" w:cs="Times New Roman"/>
          <w:sz w:val="16"/>
          <w:szCs w:val="16"/>
        </w:rPr>
        <w:t>du</w:t>
      </w:r>
      <w:proofErr w:type="gramEnd"/>
      <w:r>
        <w:rPr>
          <w:rFonts w:ascii="Rockwell" w:hAnsi="Rockwell" w:cs="Times New Roman"/>
          <w:sz w:val="16"/>
          <w:szCs w:val="16"/>
        </w:rPr>
        <w:t xml:space="preserve"> Pluralisme, de l’Ethique</w:t>
      </w:r>
    </w:p>
    <w:p w14:paraId="5C6D902D" w14:textId="77777777" w:rsidR="00733207" w:rsidRDefault="00912BAE">
      <w:pPr>
        <w:spacing w:after="0" w:line="240" w:lineRule="auto"/>
        <w:ind w:left="5664" w:firstLine="3"/>
        <w:jc w:val="both"/>
        <w:rPr>
          <w:rFonts w:ascii="Rockwell" w:hAnsi="Rockwell" w:cs="Times New Roman"/>
          <w:sz w:val="16"/>
          <w:szCs w:val="16"/>
        </w:rPr>
      </w:pPr>
      <w:r>
        <w:rPr>
          <w:rFonts w:ascii="Rockwell" w:hAnsi="Rockwell" w:cs="Times New Roman"/>
          <w:sz w:val="16"/>
          <w:szCs w:val="16"/>
        </w:rPr>
        <w:t xml:space="preserve">                </w:t>
      </w:r>
      <w:proofErr w:type="gramStart"/>
      <w:r>
        <w:rPr>
          <w:rFonts w:ascii="Rockwell" w:hAnsi="Rockwell" w:cs="Times New Roman"/>
          <w:sz w:val="16"/>
          <w:szCs w:val="16"/>
        </w:rPr>
        <w:t>et</w:t>
      </w:r>
      <w:proofErr w:type="gramEnd"/>
      <w:r>
        <w:rPr>
          <w:rFonts w:ascii="Rockwell" w:hAnsi="Rockwell" w:cs="Times New Roman"/>
          <w:sz w:val="16"/>
          <w:szCs w:val="16"/>
        </w:rPr>
        <w:t xml:space="preserve"> de la Déontologie</w:t>
      </w:r>
    </w:p>
    <w:p w14:paraId="7240FED0" w14:textId="77777777" w:rsidR="00733207" w:rsidRDefault="00733207">
      <w:pPr>
        <w:spacing w:after="0" w:line="240" w:lineRule="auto"/>
        <w:ind w:left="5664" w:firstLine="3"/>
        <w:jc w:val="both"/>
        <w:rPr>
          <w:rFonts w:ascii="Rockwell" w:hAnsi="Rockwell" w:cs="Times New Roman"/>
          <w:sz w:val="18"/>
          <w:szCs w:val="18"/>
        </w:rPr>
      </w:pPr>
    </w:p>
    <w:p w14:paraId="427C640E" w14:textId="77777777" w:rsidR="00733207" w:rsidRDefault="00912BAE">
      <w:pPr>
        <w:spacing w:after="0" w:line="240" w:lineRule="auto"/>
        <w:ind w:right="-567"/>
        <w:jc w:val="both"/>
        <w:rPr>
          <w:rFonts w:ascii="Rockwell" w:hAnsi="Rockwell"/>
          <w:sz w:val="10"/>
          <w:szCs w:val="10"/>
        </w:rPr>
      </w:pPr>
      <w:r>
        <w:rPr>
          <w:rFonts w:ascii="Rockwell" w:hAnsi="Rockwell"/>
          <w:noProof/>
          <w:sz w:val="26"/>
          <w:szCs w:val="26"/>
          <w:lang w:eastAsia="fr-FR"/>
        </w:rPr>
        <w:drawing>
          <wp:inline distT="0" distB="0" distL="0" distR="0" wp14:anchorId="464CBC81" wp14:editId="08E86B0C">
            <wp:extent cx="1325880" cy="1768475"/>
            <wp:effectExtent l="0" t="0" r="7620" b="3175"/>
            <wp:docPr id="16" name="Image 16" descr="C:\Users\HP\Desktop\illustrations rapport public 2023\3. Conseiller KAMB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6" descr="C:\Users\HP\Desktop\illustrations rapport public 2023\3. Conseiller KAMBIR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1361155" cy="1815618"/>
                    </a:xfrm>
                    <a:prstGeom prst="rect">
                      <a:avLst/>
                    </a:prstGeom>
                    <a:noFill/>
                    <a:ln>
                      <a:noFill/>
                    </a:ln>
                  </pic:spPr>
                </pic:pic>
              </a:graphicData>
            </a:graphic>
          </wp:inline>
        </w:drawing>
      </w:r>
      <w:r>
        <w:rPr>
          <w:rFonts w:ascii="Rockwell" w:hAnsi="Rockwell"/>
          <w:sz w:val="26"/>
          <w:szCs w:val="26"/>
        </w:rPr>
        <w:tab/>
      </w:r>
      <w:r>
        <w:rPr>
          <w:rFonts w:ascii="Rockwell" w:hAnsi="Rockwell"/>
          <w:sz w:val="26"/>
          <w:szCs w:val="26"/>
        </w:rPr>
        <w:tab/>
      </w:r>
      <w:r>
        <w:rPr>
          <w:rFonts w:ascii="Rockwell" w:hAnsi="Rockwell"/>
          <w:sz w:val="26"/>
          <w:szCs w:val="26"/>
        </w:rPr>
        <w:tab/>
      </w:r>
      <w:r>
        <w:rPr>
          <w:rFonts w:ascii="Rockwell" w:hAnsi="Rockwell"/>
          <w:sz w:val="26"/>
          <w:szCs w:val="26"/>
        </w:rPr>
        <w:tab/>
        <w:t xml:space="preserve">       </w:t>
      </w:r>
      <w:r>
        <w:rPr>
          <w:rFonts w:ascii="Rockwell" w:hAnsi="Rockwell"/>
          <w:sz w:val="26"/>
          <w:szCs w:val="26"/>
        </w:rPr>
        <w:tab/>
      </w:r>
      <w:r>
        <w:rPr>
          <w:rFonts w:ascii="Rockwell" w:hAnsi="Rockwell"/>
          <w:sz w:val="26"/>
          <w:szCs w:val="26"/>
        </w:rPr>
        <w:tab/>
        <w:t xml:space="preserve">            </w:t>
      </w:r>
      <w:r>
        <w:rPr>
          <w:rFonts w:ascii="Rockwell" w:hAnsi="Rockwell"/>
          <w:noProof/>
          <w:sz w:val="26"/>
          <w:szCs w:val="26"/>
          <w:lang w:eastAsia="fr-FR"/>
        </w:rPr>
        <w:drawing>
          <wp:inline distT="0" distB="0" distL="0" distR="0" wp14:anchorId="575F5817" wp14:editId="7FC3550D">
            <wp:extent cx="1380490" cy="1840230"/>
            <wp:effectExtent l="0" t="0" r="10160" b="7620"/>
            <wp:docPr id="68" name="Image 68" descr="C:\Users\HP\Desktop\illustrations rapport public 2023\4. Conseillère BONKOUNGO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 68" descr="C:\Users\HP\Desktop\illustrations rapport public 2023\4. Conseillère BONKOUNGOU.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1413409" cy="1884238"/>
                    </a:xfrm>
                    <a:prstGeom prst="rect">
                      <a:avLst/>
                    </a:prstGeom>
                    <a:noFill/>
                    <a:ln>
                      <a:noFill/>
                    </a:ln>
                  </pic:spPr>
                </pic:pic>
              </a:graphicData>
            </a:graphic>
          </wp:inline>
        </w:drawing>
      </w:r>
      <w:r>
        <w:rPr>
          <w:rFonts w:ascii="Rockwell" w:hAnsi="Rockwell"/>
          <w:sz w:val="26"/>
          <w:szCs w:val="26"/>
        </w:rPr>
        <w:t xml:space="preserve">      </w:t>
      </w:r>
    </w:p>
    <w:p w14:paraId="3917358B" w14:textId="77777777" w:rsidR="00733207" w:rsidRDefault="00912BAE">
      <w:pPr>
        <w:spacing w:after="0" w:line="240" w:lineRule="auto"/>
        <w:ind w:right="-851"/>
        <w:jc w:val="both"/>
        <w:rPr>
          <w:rFonts w:ascii="Rockwell" w:hAnsi="Rockwell" w:cs="Times New Roman"/>
          <w:sz w:val="16"/>
          <w:szCs w:val="16"/>
        </w:rPr>
      </w:pPr>
      <w:r>
        <w:rPr>
          <w:rFonts w:ascii="Rockwell" w:hAnsi="Rockwell" w:cs="Times New Roman"/>
          <w:b/>
          <w:sz w:val="16"/>
          <w:szCs w:val="16"/>
        </w:rPr>
        <w:t xml:space="preserve">M. </w:t>
      </w:r>
      <w:proofErr w:type="spellStart"/>
      <w:r>
        <w:rPr>
          <w:rFonts w:ascii="Rockwell" w:hAnsi="Rockwell" w:cs="Times New Roman"/>
          <w:b/>
          <w:sz w:val="16"/>
          <w:szCs w:val="16"/>
        </w:rPr>
        <w:t>Bobar</w:t>
      </w:r>
      <w:proofErr w:type="spellEnd"/>
      <w:r>
        <w:rPr>
          <w:rFonts w:ascii="Rockwell" w:hAnsi="Rockwell" w:cs="Times New Roman"/>
          <w:b/>
          <w:sz w:val="16"/>
          <w:szCs w:val="16"/>
        </w:rPr>
        <w:t xml:space="preserve"> Félix KAMBIRE</w:t>
      </w:r>
      <w:r>
        <w:rPr>
          <w:rFonts w:ascii="Rockwell" w:hAnsi="Rockwell" w:cs="Times New Roman"/>
          <w:sz w:val="16"/>
          <w:szCs w:val="16"/>
        </w:rPr>
        <w:t>, Président de la Commission</w:t>
      </w:r>
      <w:r>
        <w:rPr>
          <w:rFonts w:ascii="Rockwell" w:hAnsi="Rockwell" w:cs="Times New Roman"/>
          <w:b/>
          <w:sz w:val="16"/>
          <w:szCs w:val="16"/>
        </w:rPr>
        <w:t xml:space="preserve"> </w:t>
      </w:r>
      <w:r>
        <w:rPr>
          <w:rFonts w:ascii="Rockwell" w:hAnsi="Rockwell" w:cs="Times New Roman"/>
          <w:b/>
          <w:sz w:val="16"/>
          <w:szCs w:val="16"/>
        </w:rPr>
        <w:tab/>
      </w:r>
      <w:r>
        <w:rPr>
          <w:rFonts w:ascii="Rockwell" w:hAnsi="Rockwell" w:cs="Times New Roman"/>
          <w:b/>
          <w:sz w:val="16"/>
          <w:szCs w:val="16"/>
        </w:rPr>
        <w:tab/>
        <w:t xml:space="preserve">    </w:t>
      </w:r>
      <w:r>
        <w:rPr>
          <w:rFonts w:ascii="Rockwell" w:hAnsi="Rockwell" w:cs="Times New Roman"/>
          <w:b/>
          <w:sz w:val="16"/>
          <w:szCs w:val="16"/>
        </w:rPr>
        <w:tab/>
        <w:t xml:space="preserve">          Mme Valérie BONKOUNGOU/SAOUADOGO</w:t>
      </w:r>
      <w:r>
        <w:rPr>
          <w:rFonts w:ascii="Rockwell" w:hAnsi="Rockwell" w:cs="Times New Roman"/>
          <w:sz w:val="16"/>
          <w:szCs w:val="16"/>
        </w:rPr>
        <w:t xml:space="preserve"> </w:t>
      </w:r>
    </w:p>
    <w:p w14:paraId="4A6DE1C6" w14:textId="77777777" w:rsidR="00733207" w:rsidRDefault="00912BAE">
      <w:pPr>
        <w:tabs>
          <w:tab w:val="left" w:pos="5808"/>
        </w:tabs>
        <w:spacing w:after="0" w:line="240" w:lineRule="auto"/>
        <w:ind w:left="5808" w:right="-851" w:hanging="5808"/>
        <w:jc w:val="both"/>
        <w:rPr>
          <w:rFonts w:ascii="Rockwell" w:hAnsi="Rockwell" w:cs="Times New Roman"/>
          <w:sz w:val="16"/>
          <w:szCs w:val="16"/>
        </w:rPr>
      </w:pPr>
      <w:proofErr w:type="gramStart"/>
      <w:r>
        <w:rPr>
          <w:rFonts w:ascii="Rockwell" w:hAnsi="Rockwell" w:cs="Times New Roman"/>
          <w:sz w:val="16"/>
          <w:szCs w:val="16"/>
        </w:rPr>
        <w:t>de</w:t>
      </w:r>
      <w:proofErr w:type="gramEnd"/>
      <w:r>
        <w:rPr>
          <w:rFonts w:ascii="Rockwell" w:hAnsi="Rockwell" w:cs="Times New Roman"/>
          <w:sz w:val="16"/>
          <w:szCs w:val="16"/>
        </w:rPr>
        <w:t xml:space="preserve"> la Liberté de la presse, du Pluralisme, de l’Ethique et de la</w:t>
      </w:r>
      <w:r>
        <w:rPr>
          <w:rFonts w:ascii="Rockwell" w:hAnsi="Rockwell" w:cs="Times New Roman"/>
          <w:sz w:val="16"/>
          <w:szCs w:val="16"/>
        </w:rPr>
        <w:tab/>
        <w:t xml:space="preserve">        Présidente de la commission chargée des      </w:t>
      </w:r>
    </w:p>
    <w:p w14:paraId="747B3F52" w14:textId="77777777" w:rsidR="00733207" w:rsidRDefault="00912BAE">
      <w:pPr>
        <w:tabs>
          <w:tab w:val="left" w:pos="5808"/>
        </w:tabs>
        <w:spacing w:after="0" w:line="240" w:lineRule="auto"/>
        <w:ind w:left="5808" w:right="-851" w:hanging="5808"/>
        <w:jc w:val="both"/>
        <w:rPr>
          <w:rFonts w:ascii="Rockwell" w:hAnsi="Rockwell" w:cs="Times New Roman"/>
          <w:sz w:val="16"/>
          <w:szCs w:val="16"/>
        </w:rPr>
      </w:pPr>
      <w:r>
        <w:rPr>
          <w:rFonts w:ascii="Rockwell" w:hAnsi="Rockwell" w:cs="Times New Roman"/>
          <w:sz w:val="16"/>
          <w:szCs w:val="16"/>
        </w:rPr>
        <w:t xml:space="preserve">         </w:t>
      </w:r>
      <w:r>
        <w:rPr>
          <w:rFonts w:ascii="Rockwell" w:hAnsi="Rockwell" w:cs="Times New Roman"/>
          <w:sz w:val="10"/>
          <w:szCs w:val="10"/>
        </w:rPr>
        <w:t xml:space="preserve">     </w:t>
      </w:r>
      <w:r>
        <w:rPr>
          <w:rFonts w:ascii="Rockwell" w:hAnsi="Rockwell" w:cs="Times New Roman"/>
          <w:sz w:val="16"/>
          <w:szCs w:val="16"/>
        </w:rPr>
        <w:t xml:space="preserve">                                                                                                                                             Autorisations, de la Réglementation</w:t>
      </w:r>
    </w:p>
    <w:p w14:paraId="37391730" w14:textId="77777777" w:rsidR="00733207" w:rsidRDefault="00912BAE">
      <w:pPr>
        <w:spacing w:after="0" w:line="240" w:lineRule="auto"/>
        <w:ind w:right="-851"/>
        <w:jc w:val="both"/>
        <w:rPr>
          <w:rFonts w:ascii="Rockwell" w:hAnsi="Rockwell" w:cs="Times New Roman"/>
          <w:sz w:val="16"/>
          <w:szCs w:val="16"/>
        </w:rPr>
      </w:pPr>
      <w:r>
        <w:rPr>
          <w:rFonts w:ascii="Rockwell" w:hAnsi="Rockwell" w:cs="Times New Roman"/>
          <w:sz w:val="16"/>
          <w:szCs w:val="16"/>
        </w:rPr>
        <w:t>Déontologie                                                                                                                                   et du Contentieux</w:t>
      </w:r>
    </w:p>
    <w:p w14:paraId="243B6395" w14:textId="77777777" w:rsidR="00733207" w:rsidRDefault="00912BAE">
      <w:pPr>
        <w:pStyle w:val="Paragraphedeliste"/>
        <w:spacing w:after="0" w:line="240" w:lineRule="auto"/>
        <w:ind w:left="0"/>
        <w:jc w:val="both"/>
        <w:rPr>
          <w:rFonts w:ascii="Rockwell" w:hAnsi="Rockwell" w:cs="Times New Roman"/>
          <w:sz w:val="26"/>
          <w:szCs w:val="26"/>
        </w:rPr>
      </w:pPr>
      <w:r>
        <w:rPr>
          <w:rFonts w:ascii="Rockwell" w:hAnsi="Rockwell" w:cs="Times New Roman"/>
          <w:sz w:val="26"/>
          <w:szCs w:val="26"/>
        </w:rPr>
        <w:lastRenderedPageBreak/>
        <w:t xml:space="preserve">                                                   </w:t>
      </w:r>
      <w:r>
        <w:rPr>
          <w:rFonts w:ascii="Rockwell" w:hAnsi="Rockwell"/>
          <w:noProof/>
          <w:sz w:val="26"/>
          <w:szCs w:val="26"/>
          <w:lang w:eastAsia="fr-FR"/>
        </w:rPr>
        <w:drawing>
          <wp:inline distT="0" distB="0" distL="0" distR="0" wp14:anchorId="03A2C6BE" wp14:editId="16AF139C">
            <wp:extent cx="1542415" cy="2057400"/>
            <wp:effectExtent l="0" t="0" r="635" b="0"/>
            <wp:docPr id="38" name="Image 38" descr="C:\Users\HP\Desktop\illustrations rapport public 2023\8. Conseillère COMPA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38" descr="C:\Users\HP\Desktop\illustrations rapport public 2023\8. Conseillère COMPAOR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548440" cy="2065436"/>
                    </a:xfrm>
                    <a:prstGeom prst="rect">
                      <a:avLst/>
                    </a:prstGeom>
                    <a:noFill/>
                    <a:ln>
                      <a:noFill/>
                    </a:ln>
                  </pic:spPr>
                </pic:pic>
              </a:graphicData>
            </a:graphic>
          </wp:inline>
        </w:drawing>
      </w:r>
      <w:r>
        <w:rPr>
          <w:rFonts w:ascii="Rockwell" w:hAnsi="Rockwell" w:cs="Times New Roman"/>
          <w:noProof/>
          <w:sz w:val="26"/>
          <w:szCs w:val="26"/>
          <w:lang w:eastAsia="fr-FR"/>
        </w:rPr>
        <w:drawing>
          <wp:anchor distT="0" distB="0" distL="114300" distR="114300" simplePos="0" relativeHeight="251661312" behindDoc="0" locked="0" layoutInCell="1" allowOverlap="1" wp14:anchorId="558FFE12" wp14:editId="1012CD70">
            <wp:simplePos x="0" y="0"/>
            <wp:positionH relativeFrom="column">
              <wp:align>left</wp:align>
            </wp:positionH>
            <wp:positionV relativeFrom="paragraph">
              <wp:align>top</wp:align>
            </wp:positionV>
            <wp:extent cx="1866265" cy="1554480"/>
            <wp:effectExtent l="3493" t="0" r="4127" b="4128"/>
            <wp:wrapSquare wrapText="bothSides"/>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 36"/>
                    <pic:cNvPicPr>
                      <a:picLocks noChangeAspect="1"/>
                    </pic:cNvPicPr>
                  </pic:nvPicPr>
                  <pic:blipFill>
                    <a:blip r:embed="rId19" cstate="print">
                      <a:extLst>
                        <a:ext uri="{28A0092B-C50C-407E-A947-70E740481C1C}">
                          <a14:useLocalDpi xmlns:a14="http://schemas.microsoft.com/office/drawing/2010/main" val="0"/>
                        </a:ext>
                      </a:extLst>
                    </a:blip>
                    <a:srcRect l="50339" t="25024" r="6356" b="20855"/>
                    <a:stretch>
                      <a:fillRect/>
                    </a:stretch>
                  </pic:blipFill>
                  <pic:spPr>
                    <a:xfrm rot="16200000">
                      <a:off x="0" y="0"/>
                      <a:ext cx="1866265" cy="1554480"/>
                    </a:xfrm>
                    <a:prstGeom prst="rect">
                      <a:avLst/>
                    </a:prstGeom>
                    <a:ln>
                      <a:noFill/>
                    </a:ln>
                  </pic:spPr>
                </pic:pic>
              </a:graphicData>
            </a:graphic>
          </wp:anchor>
        </w:drawing>
      </w:r>
    </w:p>
    <w:p w14:paraId="15680820" w14:textId="77777777" w:rsidR="00733207" w:rsidRDefault="00912BAE">
      <w:pPr>
        <w:spacing w:after="0" w:line="240" w:lineRule="auto"/>
        <w:ind w:left="-426" w:firstLine="426"/>
        <w:jc w:val="both"/>
        <w:rPr>
          <w:rFonts w:ascii="Rockwell" w:hAnsi="Rockwell" w:cs="Times New Roman"/>
          <w:sz w:val="16"/>
          <w:szCs w:val="16"/>
        </w:rPr>
      </w:pPr>
      <w:r>
        <w:rPr>
          <w:rFonts w:ascii="Rockwell" w:hAnsi="Rockwell" w:cs="Times New Roman"/>
          <w:b/>
          <w:sz w:val="16"/>
          <w:szCs w:val="16"/>
        </w:rPr>
        <w:t xml:space="preserve">M. </w:t>
      </w:r>
      <w:proofErr w:type="spellStart"/>
      <w:r>
        <w:rPr>
          <w:rFonts w:ascii="Rockwell" w:hAnsi="Rockwell" w:cs="Times New Roman"/>
          <w:b/>
          <w:sz w:val="16"/>
          <w:szCs w:val="16"/>
        </w:rPr>
        <w:t>Séni</w:t>
      </w:r>
      <w:proofErr w:type="spellEnd"/>
      <w:r>
        <w:rPr>
          <w:rFonts w:ascii="Rockwell" w:hAnsi="Rockwell" w:cs="Times New Roman"/>
          <w:b/>
          <w:sz w:val="16"/>
          <w:szCs w:val="16"/>
        </w:rPr>
        <w:t xml:space="preserve"> DABO</w:t>
      </w:r>
      <w:r>
        <w:rPr>
          <w:rFonts w:ascii="Rockwell" w:hAnsi="Rockwell" w:cs="Times New Roman"/>
          <w:sz w:val="16"/>
          <w:szCs w:val="16"/>
        </w:rPr>
        <w:t> : Conseiller rapporteur</w:t>
      </w:r>
      <w:r>
        <w:rPr>
          <w:rFonts w:ascii="Rockwell" w:hAnsi="Rockwell" w:cs="Times New Roman"/>
          <w:b/>
          <w:sz w:val="16"/>
          <w:szCs w:val="16"/>
        </w:rPr>
        <w:t xml:space="preserve"> </w:t>
      </w:r>
      <w:r>
        <w:rPr>
          <w:rFonts w:ascii="Rockwell" w:hAnsi="Rockwell" w:cs="Times New Roman"/>
          <w:b/>
          <w:sz w:val="16"/>
          <w:szCs w:val="16"/>
        </w:rPr>
        <w:tab/>
      </w:r>
      <w:r>
        <w:rPr>
          <w:rFonts w:ascii="Rockwell" w:hAnsi="Rockwell" w:cs="Times New Roman"/>
          <w:b/>
          <w:sz w:val="16"/>
          <w:szCs w:val="16"/>
        </w:rPr>
        <w:tab/>
      </w:r>
      <w:r>
        <w:rPr>
          <w:rFonts w:ascii="Rockwell" w:hAnsi="Rockwell" w:cs="Times New Roman"/>
          <w:b/>
          <w:sz w:val="16"/>
          <w:szCs w:val="16"/>
        </w:rPr>
        <w:tab/>
      </w:r>
      <w:r>
        <w:rPr>
          <w:rFonts w:ascii="Rockwell" w:hAnsi="Rockwell" w:cs="Times New Roman"/>
          <w:b/>
          <w:sz w:val="16"/>
          <w:szCs w:val="16"/>
        </w:rPr>
        <w:tab/>
        <w:t xml:space="preserve">    M. Mamadou Ali COMPAORE</w:t>
      </w:r>
      <w:r>
        <w:rPr>
          <w:rFonts w:ascii="Rockwell" w:hAnsi="Rockwell" w:cs="Times New Roman"/>
          <w:sz w:val="16"/>
          <w:szCs w:val="16"/>
        </w:rPr>
        <w:t xml:space="preserve"> : Vice-</w:t>
      </w:r>
    </w:p>
    <w:p w14:paraId="530C618E" w14:textId="77777777" w:rsidR="00733207" w:rsidRDefault="00912BAE">
      <w:pPr>
        <w:spacing w:before="120" w:after="120" w:line="360" w:lineRule="auto"/>
        <w:ind w:left="5812"/>
        <w:jc w:val="both"/>
        <w:rPr>
          <w:rFonts w:ascii="Rockwell" w:hAnsi="Rockwell" w:cs="Times New Roman"/>
          <w:sz w:val="16"/>
          <w:szCs w:val="16"/>
        </w:rPr>
      </w:pPr>
      <w:proofErr w:type="gramStart"/>
      <w:r>
        <w:rPr>
          <w:rFonts w:ascii="Rockwell" w:hAnsi="Rockwell" w:cs="Times New Roman"/>
          <w:sz w:val="16"/>
          <w:szCs w:val="16"/>
        </w:rPr>
        <w:t>président</w:t>
      </w:r>
      <w:proofErr w:type="gramEnd"/>
      <w:r>
        <w:rPr>
          <w:rFonts w:ascii="Rockwell" w:hAnsi="Rockwell" w:cs="Times New Roman"/>
          <w:sz w:val="16"/>
          <w:szCs w:val="16"/>
        </w:rPr>
        <w:t xml:space="preserve"> de la commission chargée des  Autorisations, de la Réglementation et du Contentieux</w:t>
      </w:r>
    </w:p>
    <w:p w14:paraId="1D076BB1" w14:textId="77777777" w:rsidR="00733207" w:rsidRDefault="00733207">
      <w:pPr>
        <w:spacing w:before="120" w:after="120" w:line="360" w:lineRule="auto"/>
        <w:ind w:left="5812"/>
        <w:jc w:val="both"/>
        <w:rPr>
          <w:rFonts w:ascii="Rockwell" w:hAnsi="Rockwell" w:cs="Times New Roman"/>
          <w:sz w:val="10"/>
          <w:szCs w:val="10"/>
        </w:rPr>
      </w:pPr>
    </w:p>
    <w:p w14:paraId="40BB1661" w14:textId="77777777" w:rsidR="00733207" w:rsidRDefault="00912BAE">
      <w:pPr>
        <w:spacing w:after="0" w:line="240" w:lineRule="auto"/>
        <w:ind w:left="5664" w:firstLine="708"/>
        <w:jc w:val="both"/>
        <w:rPr>
          <w:rFonts w:ascii="Rockwell" w:hAnsi="Rockwell" w:cs="Times New Roman"/>
          <w:sz w:val="26"/>
          <w:szCs w:val="26"/>
        </w:rPr>
      </w:pPr>
      <w:r>
        <w:rPr>
          <w:rFonts w:ascii="Rockwell" w:hAnsi="Rockwell"/>
          <w:noProof/>
          <w:sz w:val="26"/>
          <w:szCs w:val="26"/>
          <w:lang w:eastAsia="fr-FR"/>
        </w:rPr>
        <w:drawing>
          <wp:anchor distT="0" distB="0" distL="114300" distR="114300" simplePos="0" relativeHeight="251660288" behindDoc="0" locked="0" layoutInCell="1" allowOverlap="1" wp14:anchorId="3C5FED72" wp14:editId="47250B40">
            <wp:simplePos x="0" y="0"/>
            <wp:positionH relativeFrom="column">
              <wp:posOffset>0</wp:posOffset>
            </wp:positionH>
            <wp:positionV relativeFrom="paragraph">
              <wp:posOffset>27305</wp:posOffset>
            </wp:positionV>
            <wp:extent cx="1515110" cy="2120265"/>
            <wp:effectExtent l="0" t="0" r="8890" b="0"/>
            <wp:wrapSquare wrapText="bothSides"/>
            <wp:docPr id="78" name="Imag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 78"/>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15110" cy="2120265"/>
                    </a:xfrm>
                    <a:prstGeom prst="rect">
                      <a:avLst/>
                    </a:prstGeom>
                  </pic:spPr>
                </pic:pic>
              </a:graphicData>
            </a:graphic>
          </wp:anchor>
        </w:drawing>
      </w:r>
      <w:r>
        <w:rPr>
          <w:rFonts w:ascii="Rockwell" w:hAnsi="Rockwell"/>
          <w:sz w:val="26"/>
          <w:szCs w:val="26"/>
          <w:lang w:val="en-US" w:eastAsia="fr-FR"/>
        </w:rPr>
        <w:t xml:space="preserve">                                              </w:t>
      </w:r>
      <w:r>
        <w:rPr>
          <w:rFonts w:ascii="Rockwell" w:hAnsi="Rockwell"/>
          <w:noProof/>
          <w:sz w:val="26"/>
          <w:szCs w:val="26"/>
          <w:lang w:eastAsia="fr-FR"/>
        </w:rPr>
        <w:drawing>
          <wp:inline distT="0" distB="0" distL="0" distR="0" wp14:anchorId="732D721C" wp14:editId="317F9089">
            <wp:extent cx="2341245" cy="1560830"/>
            <wp:effectExtent l="9208" t="0" r="0" b="0"/>
            <wp:docPr id="39" name="Image 39" descr="C:\Users\HP\Desktop\illustrations rapport public 2023\5. Conseiller NIGN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 39" descr="C:\Users\HP\Desktop\illustrations rapport public 2023\5. Conseiller NIGNAN.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rot="16200000">
                      <a:off x="0" y="0"/>
                      <a:ext cx="2359039" cy="1572692"/>
                    </a:xfrm>
                    <a:prstGeom prst="rect">
                      <a:avLst/>
                    </a:prstGeom>
                    <a:noFill/>
                    <a:ln>
                      <a:noFill/>
                    </a:ln>
                  </pic:spPr>
                </pic:pic>
              </a:graphicData>
            </a:graphic>
          </wp:inline>
        </w:drawing>
      </w:r>
    </w:p>
    <w:p w14:paraId="6456601A" w14:textId="77777777" w:rsidR="00733207" w:rsidRDefault="00912BAE">
      <w:pPr>
        <w:pStyle w:val="Paragraphedeliste"/>
        <w:spacing w:after="0" w:line="240" w:lineRule="auto"/>
        <w:ind w:left="6372" w:hanging="6656"/>
        <w:jc w:val="both"/>
        <w:rPr>
          <w:rFonts w:ascii="Rockwell" w:hAnsi="Rockwell" w:cs="Times New Roman"/>
          <w:sz w:val="16"/>
          <w:szCs w:val="16"/>
        </w:rPr>
      </w:pPr>
      <w:r>
        <w:rPr>
          <w:rFonts w:ascii="Rockwell" w:hAnsi="Rockwell" w:cs="Times New Roman"/>
          <w:b/>
          <w:sz w:val="16"/>
          <w:szCs w:val="16"/>
        </w:rPr>
        <w:t>Mme Marie Danielle BOUGAIRE</w:t>
      </w:r>
      <w:r>
        <w:rPr>
          <w:rFonts w:ascii="Rockwell" w:hAnsi="Rockwell" w:cs="Times New Roman"/>
          <w:sz w:val="16"/>
          <w:szCs w:val="16"/>
        </w:rPr>
        <w:t>/</w:t>
      </w:r>
      <w:r>
        <w:rPr>
          <w:rFonts w:ascii="Rockwell" w:hAnsi="Rockwell" w:cs="Times New Roman"/>
          <w:b/>
          <w:sz w:val="16"/>
          <w:szCs w:val="16"/>
        </w:rPr>
        <w:t>ZANGREYANOGHO</w:t>
      </w:r>
      <w:r>
        <w:rPr>
          <w:rFonts w:ascii="Rockwell" w:hAnsi="Rockwell" w:cs="Times New Roman"/>
          <w:sz w:val="16"/>
          <w:szCs w:val="16"/>
        </w:rPr>
        <w:t>,</w:t>
      </w:r>
      <w:r>
        <w:rPr>
          <w:rFonts w:ascii="Rockwell" w:hAnsi="Rockwell" w:cs="Times New Roman"/>
          <w:b/>
          <w:sz w:val="16"/>
          <w:szCs w:val="16"/>
        </w:rPr>
        <w:t xml:space="preserve"> </w:t>
      </w:r>
      <w:r>
        <w:rPr>
          <w:rFonts w:ascii="Rockwell" w:hAnsi="Rockwell" w:cs="Times New Roman"/>
          <w:b/>
          <w:sz w:val="16"/>
          <w:szCs w:val="16"/>
        </w:rPr>
        <w:tab/>
        <w:t>M. Ismaël NIGNAN</w:t>
      </w:r>
      <w:r>
        <w:rPr>
          <w:rFonts w:ascii="Rockwell" w:hAnsi="Rockwell" w:cs="Times New Roman"/>
          <w:sz w:val="16"/>
          <w:szCs w:val="16"/>
        </w:rPr>
        <w:t xml:space="preserve">, Président </w:t>
      </w:r>
    </w:p>
    <w:p w14:paraId="60B1AF9E" w14:textId="77777777" w:rsidR="00733207" w:rsidRDefault="00912BAE">
      <w:pPr>
        <w:pStyle w:val="Paragraphedeliste"/>
        <w:spacing w:after="0" w:line="240" w:lineRule="auto"/>
        <w:ind w:left="6372" w:hanging="6656"/>
        <w:jc w:val="both"/>
        <w:rPr>
          <w:rFonts w:ascii="Rockwell" w:hAnsi="Rockwell" w:cs="Times New Roman"/>
          <w:sz w:val="16"/>
          <w:szCs w:val="16"/>
        </w:rPr>
      </w:pPr>
      <w:r>
        <w:rPr>
          <w:rFonts w:ascii="Rockwell" w:hAnsi="Rockwell" w:cs="Times New Roman"/>
          <w:sz w:val="16"/>
          <w:szCs w:val="16"/>
        </w:rPr>
        <w:t xml:space="preserve">Vice-président de la Commission chargée de la Publicité </w:t>
      </w:r>
    </w:p>
    <w:p w14:paraId="1BAB2900" w14:textId="77777777" w:rsidR="00733207" w:rsidRDefault="00912BAE">
      <w:pPr>
        <w:pStyle w:val="Paragraphedeliste"/>
        <w:spacing w:after="0" w:line="240" w:lineRule="auto"/>
        <w:ind w:left="6372" w:hanging="6656"/>
        <w:jc w:val="both"/>
        <w:rPr>
          <w:rFonts w:ascii="Rockwell" w:hAnsi="Rockwell" w:cs="Times New Roman"/>
          <w:sz w:val="16"/>
          <w:szCs w:val="16"/>
        </w:rPr>
      </w:pPr>
      <w:proofErr w:type="gramStart"/>
      <w:r>
        <w:rPr>
          <w:rFonts w:ascii="Rockwell" w:hAnsi="Rockwell" w:cs="Times New Roman"/>
          <w:sz w:val="16"/>
          <w:szCs w:val="16"/>
        </w:rPr>
        <w:t>et</w:t>
      </w:r>
      <w:proofErr w:type="gramEnd"/>
      <w:r>
        <w:rPr>
          <w:rFonts w:ascii="Rockwell" w:hAnsi="Rockwell" w:cs="Times New Roman"/>
          <w:sz w:val="16"/>
          <w:szCs w:val="16"/>
        </w:rPr>
        <w:t xml:space="preserve"> des Mutations technologiques </w:t>
      </w:r>
      <w:r>
        <w:rPr>
          <w:rFonts w:ascii="Rockwell" w:hAnsi="Rockwell" w:cs="Times New Roman"/>
          <w:sz w:val="16"/>
          <w:szCs w:val="16"/>
        </w:rPr>
        <w:tab/>
        <w:t xml:space="preserve">de la Commission chargée de la Publicité et des Mutations technologiques  </w:t>
      </w:r>
    </w:p>
    <w:p w14:paraId="1050AE5C" w14:textId="77777777" w:rsidR="00733207" w:rsidRDefault="00912BAE">
      <w:pPr>
        <w:pStyle w:val="Paragraphedeliste"/>
        <w:spacing w:after="0" w:line="240" w:lineRule="auto"/>
        <w:ind w:left="6372" w:hanging="6656"/>
        <w:jc w:val="both"/>
        <w:rPr>
          <w:rFonts w:ascii="Rockwell" w:hAnsi="Rockwell" w:cs="Times New Roman"/>
          <w:sz w:val="16"/>
          <w:szCs w:val="16"/>
        </w:rPr>
      </w:pPr>
      <w:r>
        <w:rPr>
          <w:rFonts w:ascii="Rockwell" w:hAnsi="Rockwell" w:cs="Times New Roman"/>
          <w:sz w:val="16"/>
          <w:szCs w:val="16"/>
        </w:rPr>
        <w:tab/>
        <w:t xml:space="preserve"> </w:t>
      </w:r>
    </w:p>
    <w:p w14:paraId="023DAC3C" w14:textId="77777777" w:rsidR="00733207" w:rsidRDefault="00733207">
      <w:pPr>
        <w:spacing w:after="0" w:line="240" w:lineRule="auto"/>
        <w:ind w:left="5954" w:right="-851" w:hanging="6656"/>
        <w:jc w:val="both"/>
        <w:rPr>
          <w:rFonts w:ascii="Rockwell" w:hAnsi="Rockwell" w:cs="Times New Roman"/>
          <w:sz w:val="16"/>
          <w:szCs w:val="16"/>
        </w:rPr>
      </w:pPr>
    </w:p>
    <w:p w14:paraId="13051EBD" w14:textId="77777777" w:rsidR="00733207" w:rsidRDefault="00733207">
      <w:pPr>
        <w:tabs>
          <w:tab w:val="left" w:pos="7329"/>
        </w:tabs>
        <w:spacing w:before="120" w:after="120" w:line="360" w:lineRule="auto"/>
        <w:ind w:left="-426"/>
        <w:jc w:val="both"/>
        <w:rPr>
          <w:rFonts w:ascii="Rockwell" w:hAnsi="Rockwell" w:cs="Times New Roman"/>
          <w:i/>
          <w:sz w:val="16"/>
          <w:szCs w:val="16"/>
        </w:rPr>
      </w:pPr>
    </w:p>
    <w:p w14:paraId="46790131" w14:textId="77777777" w:rsidR="00733207" w:rsidRDefault="00912BAE">
      <w:pPr>
        <w:pStyle w:val="Paragraphedeliste"/>
        <w:spacing w:before="120" w:after="120" w:line="360" w:lineRule="auto"/>
        <w:ind w:left="-425"/>
        <w:jc w:val="both"/>
        <w:rPr>
          <w:rFonts w:ascii="Rockwell" w:hAnsi="Rockwell" w:cs="Times New Roman"/>
          <w:i/>
          <w:sz w:val="18"/>
          <w:szCs w:val="18"/>
        </w:rPr>
      </w:pPr>
      <w:r>
        <w:rPr>
          <w:rFonts w:ascii="Rockwell" w:hAnsi="Rockwell" w:cs="Times New Roman"/>
          <w:i/>
          <w:sz w:val="18"/>
          <w:szCs w:val="18"/>
        </w:rPr>
        <w:t xml:space="preserve"> </w:t>
      </w:r>
    </w:p>
    <w:p w14:paraId="2B2F9F0D" w14:textId="77777777" w:rsidR="00733207" w:rsidRDefault="00733207">
      <w:pPr>
        <w:spacing w:before="120" w:after="120" w:line="360" w:lineRule="auto"/>
        <w:jc w:val="both"/>
        <w:rPr>
          <w:rFonts w:ascii="Rockwell" w:hAnsi="Rockwell"/>
          <w:sz w:val="18"/>
          <w:szCs w:val="18"/>
        </w:rPr>
      </w:pPr>
    </w:p>
    <w:p w14:paraId="5CF57EED" w14:textId="77777777" w:rsidR="00733207" w:rsidRDefault="00733207">
      <w:pPr>
        <w:spacing w:before="120" w:after="120" w:line="360" w:lineRule="auto"/>
        <w:jc w:val="both"/>
        <w:rPr>
          <w:rFonts w:ascii="Rockwell" w:hAnsi="Rockwell"/>
          <w:sz w:val="26"/>
          <w:szCs w:val="26"/>
        </w:rPr>
      </w:pPr>
    </w:p>
    <w:p w14:paraId="511335B2" w14:textId="77777777" w:rsidR="00733207" w:rsidRDefault="00733207">
      <w:pPr>
        <w:spacing w:before="120" w:after="120" w:line="360" w:lineRule="auto"/>
        <w:jc w:val="both"/>
        <w:rPr>
          <w:rFonts w:ascii="Rockwell" w:hAnsi="Rockwell"/>
          <w:sz w:val="26"/>
          <w:szCs w:val="26"/>
        </w:rPr>
      </w:pPr>
    </w:p>
    <w:p w14:paraId="68FFC135" w14:textId="77777777" w:rsidR="00733207" w:rsidRDefault="00733207">
      <w:pPr>
        <w:spacing w:before="120" w:after="120" w:line="360" w:lineRule="auto"/>
        <w:jc w:val="both"/>
        <w:rPr>
          <w:rFonts w:ascii="Rockwell" w:hAnsi="Rockwell"/>
          <w:sz w:val="26"/>
          <w:szCs w:val="26"/>
        </w:rPr>
      </w:pPr>
    </w:p>
    <w:p w14:paraId="36A3FC66" w14:textId="77777777" w:rsidR="00733207" w:rsidRDefault="00733207">
      <w:pPr>
        <w:spacing w:before="120" w:after="120" w:line="360" w:lineRule="auto"/>
        <w:jc w:val="both"/>
        <w:rPr>
          <w:rFonts w:ascii="Rockwell" w:hAnsi="Rockwell"/>
          <w:sz w:val="26"/>
          <w:szCs w:val="26"/>
        </w:rPr>
      </w:pPr>
    </w:p>
    <w:p w14:paraId="4C16AF58" w14:textId="77777777" w:rsidR="00733207" w:rsidRDefault="00912BAE">
      <w:pPr>
        <w:pStyle w:val="Titre1"/>
        <w:spacing w:after="240" w:line="360" w:lineRule="auto"/>
        <w:jc w:val="center"/>
        <w:rPr>
          <w:rFonts w:ascii="Rockwell" w:hAnsi="Rockwell"/>
          <w:b/>
          <w:color w:val="auto"/>
        </w:rPr>
      </w:pPr>
      <w:bookmarkStart w:id="29" w:name="_Toc170209315"/>
      <w:bookmarkStart w:id="30" w:name="_Toc169855086"/>
      <w:bookmarkStart w:id="31" w:name="_Toc169854355"/>
      <w:bookmarkStart w:id="32" w:name="_Toc175128425"/>
      <w:commentRangeStart w:id="33"/>
      <w:r>
        <w:rPr>
          <w:rFonts w:ascii="Rockwell" w:hAnsi="Rockwell"/>
          <w:b/>
          <w:color w:val="auto"/>
        </w:rPr>
        <w:lastRenderedPageBreak/>
        <w:t>INTRODUCTION</w:t>
      </w:r>
      <w:commentRangeEnd w:id="33"/>
      <w:r>
        <w:rPr>
          <w:rStyle w:val="Marquedecommentaire"/>
          <w:rFonts w:ascii="Calibri" w:eastAsia="Calibri" w:hAnsi="Calibri" w:cs="Times New Roman"/>
          <w:color w:val="auto"/>
          <w:lang w:eastAsia="fr-FR"/>
        </w:rPr>
        <w:commentReference w:id="33"/>
      </w:r>
      <w:bookmarkEnd w:id="29"/>
      <w:bookmarkEnd w:id="30"/>
      <w:bookmarkEnd w:id="31"/>
      <w:bookmarkEnd w:id="32"/>
    </w:p>
    <w:p w14:paraId="1D51981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La situation de léthargie qu’a traversé le </w:t>
      </w:r>
      <w:r>
        <w:rPr>
          <w:rFonts w:ascii="Rockwell" w:hAnsi="Rockwell"/>
          <w:color w:val="000000" w:themeColor="text1"/>
          <w:sz w:val="26"/>
          <w:szCs w:val="26"/>
        </w:rPr>
        <w:t>Conseil supérieur de la communication</w:t>
      </w:r>
      <w:r>
        <w:rPr>
          <w:rFonts w:ascii="Rockwell" w:hAnsi="Rockwell"/>
          <w:sz w:val="26"/>
          <w:szCs w:val="26"/>
        </w:rPr>
        <w:t xml:space="preserve">, de mai 2022 à décembre 2022, a connu un dénouement heureux en fin d’année et l’institution a pu se remettre en selle. </w:t>
      </w:r>
    </w:p>
    <w:p w14:paraId="5E446B0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Dans un contexte de crise sécuritaire préoccupante du pays qui s’est complexifié avec la multiplication des actions de désinformation et la prolifération des discours de haine sur les réseaux sociaux numériques et dans les émissions d’expression directe, l’institution était très attendue. </w:t>
      </w:r>
    </w:p>
    <w:p w14:paraId="01CA6F4B" w14:textId="0FD1357C"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Ayant pris la pleine mesure de la partition qu’il est appelé à jouer dans la préservation de la paix et du climat social, le CSC a fait de la lutte contre les fake-news, les discours de haine, l’intolérance dans les médias classiques et sur les plateformes numériques, un champ d’actions prioritaires. C’est ainsi que tout au long de l’année 2023, à côté de la régulation courante, de nombreuses initiatives, soutenues par une vision ambitieuse, ont été conduites pour sensibiliser, aussi bien les acteurs des médias que les citoyens, sur leur responsabilité sociale dans le contexte de fragilité politique et de défi sécuritaire que vit le Burkina Faso.    </w:t>
      </w:r>
    </w:p>
    <w:p w14:paraId="4E1C46DE" w14:textId="2FE35C9C"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Parmi les acquis majeurs de 2023, l’on pourrait, d’une part, citer la campagne de sensibilisation sur les comportements à adopter sur les réseaux sociaux </w:t>
      </w:r>
      <w:r w:rsidR="009729B7">
        <w:rPr>
          <w:rFonts w:ascii="Rockwell" w:hAnsi="Rockwell"/>
          <w:sz w:val="26"/>
          <w:szCs w:val="26"/>
        </w:rPr>
        <w:t>numériques et</w:t>
      </w:r>
      <w:r>
        <w:rPr>
          <w:rFonts w:ascii="Rockwell" w:hAnsi="Rockwell"/>
          <w:sz w:val="26"/>
          <w:szCs w:val="26"/>
        </w:rPr>
        <w:t xml:space="preserve"> dans les émissions d’expression directe et, d’autre part, la relecture de la loi organique</w:t>
      </w:r>
      <w:r>
        <w:rPr>
          <w:rStyle w:val="Appelnotedebasdep"/>
          <w:rFonts w:ascii="Rockwell" w:hAnsi="Rockwell"/>
          <w:sz w:val="26"/>
          <w:szCs w:val="26"/>
        </w:rPr>
        <w:footnoteReference w:id="1"/>
      </w:r>
      <w:r>
        <w:rPr>
          <w:rFonts w:ascii="Rockwell" w:hAnsi="Rockwell"/>
          <w:sz w:val="26"/>
          <w:szCs w:val="26"/>
        </w:rPr>
        <w:t xml:space="preserve"> pour aboutir à une nouvelle loi adoptée le 21 novembre 2023</w:t>
      </w:r>
      <w:r>
        <w:rPr>
          <w:rStyle w:val="Appelnotedebasdep"/>
          <w:rFonts w:ascii="Rockwell" w:hAnsi="Rockwell"/>
          <w:sz w:val="26"/>
          <w:szCs w:val="26"/>
        </w:rPr>
        <w:footnoteReference w:id="2"/>
      </w:r>
      <w:r>
        <w:rPr>
          <w:rFonts w:ascii="Rockwell" w:hAnsi="Rockwell"/>
          <w:sz w:val="26"/>
          <w:szCs w:val="26"/>
        </w:rPr>
        <w:t xml:space="preserve"> par le législateur et qui consacre l’élargissement du champ de compétence de l’institution.</w:t>
      </w:r>
    </w:p>
    <w:p w14:paraId="2DD79C73"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En dépit de la modicité des moyens, l’instance de régulation a pu également organiser des formations au profit de son personnel et de ses partenaires du secteur de l’information et de la communication, et prendre part à des </w:t>
      </w:r>
      <w:r>
        <w:rPr>
          <w:rFonts w:ascii="Rockwell" w:hAnsi="Rockwell"/>
          <w:sz w:val="26"/>
          <w:szCs w:val="26"/>
        </w:rPr>
        <w:lastRenderedPageBreak/>
        <w:t xml:space="preserve">rencontres importantes tant au niveau national qu’international dans le cadre des différents réseaux de régulateurs des médias. </w:t>
      </w:r>
    </w:p>
    <w:p w14:paraId="654FC44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présent rapport public, conformément à la loi, rend compte au Chef de l’Etat des activités de régulation menées par le CSC tout au long de l’année 2023, ainsi que de sa gestion et de son fonctionnement. Il est structuré en cinq (05) parties :</w:t>
      </w:r>
    </w:p>
    <w:p w14:paraId="54FB8C26"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-régulation de la communication dans un contexte de </w:t>
      </w:r>
      <w:commentRangeStart w:id="34"/>
      <w:r>
        <w:rPr>
          <w:rFonts w:ascii="Rockwell" w:hAnsi="Rockwell"/>
          <w:sz w:val="26"/>
          <w:szCs w:val="26"/>
        </w:rPr>
        <w:t>crise</w:t>
      </w:r>
      <w:commentRangeEnd w:id="34"/>
      <w:r>
        <w:rPr>
          <w:rStyle w:val="Marquedecommentaire"/>
          <w:rFonts w:ascii="Calibri" w:eastAsia="Calibri" w:hAnsi="Calibri" w:cs="Times New Roman"/>
          <w:lang w:eastAsia="fr-FR"/>
        </w:rPr>
        <w:commentReference w:id="34"/>
      </w:r>
      <w:r>
        <w:rPr>
          <w:rFonts w:ascii="Rockwell" w:hAnsi="Rockwell"/>
          <w:sz w:val="26"/>
          <w:szCs w:val="26"/>
        </w:rPr>
        <w:t xml:space="preserve"> ; </w:t>
      </w:r>
    </w:p>
    <w:p w14:paraId="441B118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-activités de régulation courante des médias ;</w:t>
      </w:r>
    </w:p>
    <w:p w14:paraId="1165216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-rencontres, coopération et partenariats ; </w:t>
      </w:r>
    </w:p>
    <w:p w14:paraId="4205190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-gestion des ressources humaines, financières et des matières ;</w:t>
      </w:r>
    </w:p>
    <w:p w14:paraId="4399C48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-acquis, perspectives et recommandations. </w:t>
      </w:r>
    </w:p>
    <w:p w14:paraId="7D15B706" w14:textId="77777777" w:rsidR="00733207" w:rsidRDefault="00733207">
      <w:pPr>
        <w:spacing w:before="120" w:after="120" w:line="360" w:lineRule="auto"/>
        <w:jc w:val="both"/>
        <w:rPr>
          <w:rFonts w:ascii="Rockwell" w:hAnsi="Rockwell"/>
          <w:sz w:val="26"/>
          <w:szCs w:val="26"/>
        </w:rPr>
      </w:pPr>
    </w:p>
    <w:p w14:paraId="451B59AA" w14:textId="77777777" w:rsidR="00733207" w:rsidRDefault="00733207">
      <w:pPr>
        <w:spacing w:before="120" w:after="120" w:line="360" w:lineRule="auto"/>
        <w:jc w:val="both"/>
        <w:rPr>
          <w:rFonts w:ascii="Rockwell" w:hAnsi="Rockwell"/>
          <w:sz w:val="26"/>
          <w:szCs w:val="26"/>
        </w:rPr>
      </w:pPr>
    </w:p>
    <w:p w14:paraId="454BAB98" w14:textId="77777777" w:rsidR="00733207" w:rsidRDefault="00733207">
      <w:pPr>
        <w:spacing w:before="120" w:after="120" w:line="360" w:lineRule="auto"/>
        <w:jc w:val="both"/>
        <w:rPr>
          <w:rFonts w:ascii="Rockwell" w:hAnsi="Rockwell"/>
          <w:sz w:val="26"/>
          <w:szCs w:val="26"/>
        </w:rPr>
      </w:pPr>
    </w:p>
    <w:p w14:paraId="0302C216" w14:textId="77777777" w:rsidR="00733207" w:rsidRDefault="00733207">
      <w:pPr>
        <w:spacing w:before="120" w:after="120" w:line="360" w:lineRule="auto"/>
        <w:jc w:val="both"/>
        <w:rPr>
          <w:rFonts w:ascii="Rockwell" w:hAnsi="Rockwell"/>
          <w:sz w:val="26"/>
          <w:szCs w:val="26"/>
        </w:rPr>
      </w:pPr>
    </w:p>
    <w:p w14:paraId="1BDC6DA2" w14:textId="77777777" w:rsidR="00733207" w:rsidRDefault="00733207">
      <w:pPr>
        <w:spacing w:before="120" w:after="120" w:line="360" w:lineRule="auto"/>
        <w:jc w:val="both"/>
        <w:rPr>
          <w:rFonts w:ascii="Rockwell" w:hAnsi="Rockwell"/>
          <w:sz w:val="26"/>
          <w:szCs w:val="26"/>
        </w:rPr>
      </w:pPr>
    </w:p>
    <w:p w14:paraId="726696B3" w14:textId="77777777" w:rsidR="00733207" w:rsidRDefault="00733207">
      <w:pPr>
        <w:spacing w:before="120" w:after="120" w:line="360" w:lineRule="auto"/>
        <w:jc w:val="both"/>
        <w:rPr>
          <w:rFonts w:ascii="Rockwell" w:hAnsi="Rockwell"/>
          <w:sz w:val="26"/>
          <w:szCs w:val="26"/>
        </w:rPr>
      </w:pPr>
    </w:p>
    <w:p w14:paraId="64B0405E" w14:textId="77777777" w:rsidR="00733207" w:rsidRDefault="00733207">
      <w:pPr>
        <w:spacing w:before="120" w:after="120" w:line="360" w:lineRule="auto"/>
        <w:jc w:val="both"/>
        <w:rPr>
          <w:rFonts w:ascii="Rockwell" w:hAnsi="Rockwell"/>
          <w:sz w:val="26"/>
          <w:szCs w:val="26"/>
        </w:rPr>
      </w:pPr>
    </w:p>
    <w:p w14:paraId="58A2535A" w14:textId="77777777" w:rsidR="00733207" w:rsidRDefault="00733207">
      <w:pPr>
        <w:spacing w:before="120" w:after="120" w:line="360" w:lineRule="auto"/>
        <w:jc w:val="both"/>
        <w:rPr>
          <w:rFonts w:ascii="Rockwell" w:hAnsi="Rockwell"/>
          <w:sz w:val="26"/>
          <w:szCs w:val="26"/>
        </w:rPr>
      </w:pPr>
    </w:p>
    <w:p w14:paraId="6664918A" w14:textId="77777777" w:rsidR="00733207" w:rsidRDefault="00733207">
      <w:pPr>
        <w:spacing w:before="120" w:after="120" w:line="360" w:lineRule="auto"/>
        <w:jc w:val="both"/>
        <w:rPr>
          <w:rFonts w:ascii="Rockwell" w:hAnsi="Rockwell"/>
          <w:sz w:val="26"/>
          <w:szCs w:val="26"/>
        </w:rPr>
      </w:pPr>
    </w:p>
    <w:p w14:paraId="3B303FE9" w14:textId="77777777" w:rsidR="00733207" w:rsidRDefault="00733207">
      <w:pPr>
        <w:spacing w:before="120" w:after="120" w:line="360" w:lineRule="auto"/>
        <w:jc w:val="both"/>
        <w:rPr>
          <w:rFonts w:ascii="Rockwell" w:hAnsi="Rockwell"/>
          <w:sz w:val="26"/>
          <w:szCs w:val="26"/>
        </w:rPr>
      </w:pPr>
    </w:p>
    <w:p w14:paraId="4510B33F" w14:textId="77777777" w:rsidR="00733207" w:rsidRDefault="00733207">
      <w:pPr>
        <w:spacing w:before="120" w:after="120" w:line="360" w:lineRule="auto"/>
        <w:jc w:val="both"/>
        <w:rPr>
          <w:rFonts w:ascii="Rockwell" w:hAnsi="Rockwell"/>
          <w:sz w:val="26"/>
          <w:szCs w:val="26"/>
        </w:rPr>
      </w:pPr>
    </w:p>
    <w:p w14:paraId="2CB95D6B" w14:textId="77777777" w:rsidR="00733207" w:rsidRDefault="00733207">
      <w:pPr>
        <w:spacing w:before="120" w:after="120" w:line="360" w:lineRule="auto"/>
        <w:jc w:val="both"/>
        <w:rPr>
          <w:rFonts w:ascii="Rockwell" w:hAnsi="Rockwell"/>
          <w:sz w:val="26"/>
          <w:szCs w:val="26"/>
        </w:rPr>
      </w:pPr>
    </w:p>
    <w:p w14:paraId="5E418A11" w14:textId="77777777" w:rsidR="00733207" w:rsidRDefault="00733207">
      <w:pPr>
        <w:spacing w:before="120" w:after="120" w:line="360" w:lineRule="auto"/>
        <w:jc w:val="both"/>
        <w:rPr>
          <w:rFonts w:ascii="Rockwell" w:hAnsi="Rockwell"/>
          <w:sz w:val="26"/>
          <w:szCs w:val="26"/>
        </w:rPr>
      </w:pPr>
    </w:p>
    <w:p w14:paraId="135A90DC" w14:textId="77777777" w:rsidR="00733207" w:rsidRDefault="00733207">
      <w:pPr>
        <w:spacing w:before="120" w:after="120" w:line="360" w:lineRule="auto"/>
        <w:jc w:val="both"/>
        <w:rPr>
          <w:rFonts w:ascii="Rockwell" w:hAnsi="Rockwell"/>
          <w:sz w:val="26"/>
          <w:szCs w:val="26"/>
        </w:rPr>
      </w:pPr>
    </w:p>
    <w:p w14:paraId="147403DE" w14:textId="77777777" w:rsidR="00733207" w:rsidRDefault="00733207">
      <w:pPr>
        <w:spacing w:before="120" w:after="120" w:line="360" w:lineRule="auto"/>
        <w:jc w:val="both"/>
        <w:rPr>
          <w:rFonts w:ascii="Rockwell" w:hAnsi="Rockwell"/>
          <w:sz w:val="26"/>
          <w:szCs w:val="26"/>
        </w:rPr>
      </w:pPr>
    </w:p>
    <w:p w14:paraId="41C51B1D" w14:textId="77777777" w:rsidR="00733207" w:rsidRDefault="00733207">
      <w:pPr>
        <w:spacing w:before="120" w:after="120" w:line="360" w:lineRule="auto"/>
        <w:jc w:val="both"/>
        <w:rPr>
          <w:rFonts w:ascii="Rockwell" w:hAnsi="Rockwell"/>
          <w:sz w:val="26"/>
          <w:szCs w:val="26"/>
        </w:rPr>
      </w:pPr>
    </w:p>
    <w:p w14:paraId="41ADFB9B" w14:textId="77777777" w:rsidR="00733207" w:rsidRDefault="00733207">
      <w:pPr>
        <w:spacing w:before="120" w:after="120" w:line="360" w:lineRule="auto"/>
        <w:jc w:val="both"/>
        <w:rPr>
          <w:rFonts w:ascii="Rockwell" w:hAnsi="Rockwell"/>
          <w:sz w:val="26"/>
          <w:szCs w:val="26"/>
        </w:rPr>
      </w:pPr>
    </w:p>
    <w:p w14:paraId="4A9A3B81" w14:textId="77777777" w:rsidR="00733207" w:rsidRDefault="00733207">
      <w:pPr>
        <w:spacing w:before="120" w:after="120" w:line="360" w:lineRule="auto"/>
        <w:jc w:val="both"/>
        <w:rPr>
          <w:rFonts w:ascii="Rockwell" w:hAnsi="Rockwell"/>
          <w:sz w:val="26"/>
          <w:szCs w:val="26"/>
        </w:rPr>
      </w:pPr>
    </w:p>
    <w:p w14:paraId="19E9A7AC" w14:textId="77777777" w:rsidR="00733207" w:rsidRDefault="00733207">
      <w:pPr>
        <w:spacing w:before="120" w:after="120" w:line="360" w:lineRule="auto"/>
        <w:jc w:val="both"/>
        <w:rPr>
          <w:rFonts w:ascii="Rockwell" w:hAnsi="Rockwell"/>
          <w:sz w:val="26"/>
          <w:szCs w:val="26"/>
        </w:rPr>
      </w:pPr>
    </w:p>
    <w:p w14:paraId="13D8E7D6" w14:textId="77777777" w:rsidR="00733207" w:rsidRDefault="00733207">
      <w:pPr>
        <w:spacing w:before="120" w:after="120" w:line="360" w:lineRule="auto"/>
        <w:jc w:val="both"/>
        <w:rPr>
          <w:rFonts w:ascii="Rockwell" w:hAnsi="Rockwell"/>
          <w:sz w:val="26"/>
          <w:szCs w:val="26"/>
        </w:rPr>
      </w:pPr>
    </w:p>
    <w:p w14:paraId="33D222DD" w14:textId="77777777" w:rsidR="00733207" w:rsidRDefault="00733207">
      <w:pPr>
        <w:spacing w:before="120" w:after="120" w:line="360" w:lineRule="auto"/>
        <w:jc w:val="both"/>
        <w:rPr>
          <w:rFonts w:ascii="Rockwell" w:hAnsi="Rockwell"/>
          <w:sz w:val="26"/>
          <w:szCs w:val="26"/>
        </w:rPr>
      </w:pPr>
    </w:p>
    <w:p w14:paraId="1F9046AA" w14:textId="40648D7C" w:rsidR="00733207" w:rsidRDefault="00912BAE">
      <w:pPr>
        <w:pStyle w:val="Titre1"/>
        <w:spacing w:before="120" w:after="120" w:line="360" w:lineRule="auto"/>
        <w:jc w:val="center"/>
        <w:rPr>
          <w:rFonts w:ascii="Rockwell" w:hAnsi="Rockwell"/>
          <w:b/>
          <w:color w:val="auto"/>
        </w:rPr>
      </w:pPr>
      <w:bookmarkStart w:id="35" w:name="_Toc175128426"/>
      <w:bookmarkStart w:id="36" w:name="_Toc169855087"/>
      <w:bookmarkStart w:id="37" w:name="_Toc169854356"/>
      <w:bookmarkStart w:id="38" w:name="_Toc170209316"/>
      <w:r>
        <w:rPr>
          <w:rFonts w:ascii="Rockwell" w:hAnsi="Rockwell"/>
          <w:b/>
          <w:color w:val="auto"/>
        </w:rPr>
        <w:t>PREMIERE PARTIE :</w:t>
      </w:r>
      <w:bookmarkStart w:id="39" w:name="_Toc141088425"/>
      <w:bookmarkStart w:id="40" w:name="_Toc141088486"/>
      <w:r>
        <w:rPr>
          <w:rFonts w:ascii="Rockwell" w:hAnsi="Rockwell"/>
          <w:b/>
          <w:color w:val="auto"/>
        </w:rPr>
        <w:t xml:space="preserve"> REGULATION DE LA COMMUNICATION DANS UN CONTEXTE DE CRISE</w:t>
      </w:r>
      <w:bookmarkEnd w:id="35"/>
      <w:r>
        <w:rPr>
          <w:rFonts w:ascii="Rockwell" w:hAnsi="Rockwell"/>
          <w:b/>
          <w:color w:val="auto"/>
        </w:rPr>
        <w:t xml:space="preserve"> </w:t>
      </w:r>
      <w:bookmarkEnd w:id="36"/>
      <w:bookmarkEnd w:id="37"/>
      <w:bookmarkEnd w:id="38"/>
    </w:p>
    <w:p w14:paraId="7CF39B15" w14:textId="77777777" w:rsidR="00733207" w:rsidRDefault="00733207">
      <w:pPr>
        <w:jc w:val="both"/>
        <w:rPr>
          <w:rFonts w:ascii="Rockwell" w:hAnsi="Rockwell"/>
        </w:rPr>
      </w:pPr>
    </w:p>
    <w:p w14:paraId="28915EBB" w14:textId="77777777" w:rsidR="00733207" w:rsidRDefault="00733207">
      <w:pPr>
        <w:spacing w:before="120" w:after="120" w:line="360" w:lineRule="auto"/>
        <w:jc w:val="both"/>
        <w:rPr>
          <w:rFonts w:ascii="Rockwell" w:hAnsi="Rockwell"/>
          <w:sz w:val="26"/>
          <w:szCs w:val="26"/>
        </w:rPr>
      </w:pPr>
    </w:p>
    <w:p w14:paraId="6BEBE733" w14:textId="77777777" w:rsidR="00733207" w:rsidRDefault="00733207">
      <w:pPr>
        <w:spacing w:before="120" w:after="120" w:line="360" w:lineRule="auto"/>
        <w:jc w:val="both"/>
        <w:rPr>
          <w:rFonts w:ascii="Rockwell" w:hAnsi="Rockwell"/>
          <w:sz w:val="26"/>
          <w:szCs w:val="26"/>
        </w:rPr>
      </w:pPr>
    </w:p>
    <w:p w14:paraId="5411835E" w14:textId="77777777" w:rsidR="00733207" w:rsidRDefault="00733207">
      <w:pPr>
        <w:spacing w:before="120" w:after="120" w:line="360" w:lineRule="auto"/>
        <w:jc w:val="both"/>
        <w:rPr>
          <w:rFonts w:ascii="Rockwell" w:hAnsi="Rockwell"/>
          <w:sz w:val="26"/>
          <w:szCs w:val="26"/>
        </w:rPr>
      </w:pPr>
    </w:p>
    <w:p w14:paraId="3EE98018" w14:textId="77777777" w:rsidR="00733207" w:rsidRDefault="00733207">
      <w:pPr>
        <w:jc w:val="both"/>
        <w:rPr>
          <w:rFonts w:ascii="Rockwell" w:hAnsi="Rockwell"/>
        </w:rPr>
      </w:pPr>
    </w:p>
    <w:p w14:paraId="1EE3F57B" w14:textId="77777777" w:rsidR="00733207" w:rsidRDefault="00733207">
      <w:pPr>
        <w:spacing w:before="120" w:after="120" w:line="360" w:lineRule="auto"/>
        <w:jc w:val="both"/>
        <w:rPr>
          <w:rFonts w:ascii="Rockwell" w:hAnsi="Rockwell"/>
          <w:sz w:val="26"/>
          <w:szCs w:val="26"/>
        </w:rPr>
      </w:pPr>
    </w:p>
    <w:p w14:paraId="2A4D4494" w14:textId="77777777" w:rsidR="00733207" w:rsidRDefault="00733207">
      <w:pPr>
        <w:spacing w:before="120" w:after="120" w:line="360" w:lineRule="auto"/>
        <w:jc w:val="both"/>
        <w:rPr>
          <w:rFonts w:ascii="Rockwell" w:hAnsi="Rockwell"/>
          <w:sz w:val="26"/>
          <w:szCs w:val="26"/>
        </w:rPr>
      </w:pPr>
    </w:p>
    <w:p w14:paraId="714CB3E2" w14:textId="77777777" w:rsidR="00733207" w:rsidRDefault="00733207">
      <w:pPr>
        <w:spacing w:before="120" w:after="120" w:line="360" w:lineRule="auto"/>
        <w:jc w:val="both"/>
        <w:rPr>
          <w:rFonts w:ascii="Rockwell" w:hAnsi="Rockwell"/>
          <w:sz w:val="26"/>
          <w:szCs w:val="26"/>
        </w:rPr>
      </w:pPr>
    </w:p>
    <w:p w14:paraId="269DE84E" w14:textId="77777777" w:rsidR="00733207" w:rsidRDefault="00733207">
      <w:pPr>
        <w:spacing w:before="120" w:after="120" w:line="360" w:lineRule="auto"/>
        <w:jc w:val="both"/>
        <w:rPr>
          <w:rFonts w:ascii="Rockwell" w:hAnsi="Rockwell"/>
          <w:sz w:val="26"/>
          <w:szCs w:val="26"/>
        </w:rPr>
      </w:pPr>
    </w:p>
    <w:p w14:paraId="12E5ADEA" w14:textId="77777777" w:rsidR="00733207" w:rsidRDefault="00733207">
      <w:pPr>
        <w:spacing w:before="120" w:after="120" w:line="360" w:lineRule="auto"/>
        <w:jc w:val="both"/>
        <w:rPr>
          <w:rFonts w:ascii="Rockwell" w:hAnsi="Rockwell"/>
          <w:sz w:val="26"/>
          <w:szCs w:val="26"/>
        </w:rPr>
      </w:pPr>
    </w:p>
    <w:p w14:paraId="542CEDD0" w14:textId="77777777" w:rsidR="00733207" w:rsidRDefault="00733207">
      <w:pPr>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p>
    <w:p w14:paraId="0BE49821" w14:textId="77777777" w:rsidR="00733207" w:rsidRDefault="00912BAE">
      <w:pPr>
        <w:pStyle w:val="Titre2"/>
        <w:spacing w:before="240" w:after="240" w:line="360" w:lineRule="auto"/>
        <w:jc w:val="center"/>
        <w:rPr>
          <w:rFonts w:ascii="Rockwell" w:hAnsi="Rockwell"/>
          <w:b/>
          <w:color w:val="auto"/>
          <w:sz w:val="30"/>
          <w:szCs w:val="30"/>
        </w:rPr>
      </w:pPr>
      <w:bookmarkStart w:id="41" w:name="_Toc175128427"/>
      <w:bookmarkStart w:id="42" w:name="_Toc170209317"/>
      <w:bookmarkStart w:id="43" w:name="_Toc169854357"/>
      <w:bookmarkStart w:id="44" w:name="_Toc169855088"/>
      <w:r>
        <w:rPr>
          <w:rFonts w:ascii="Rockwell" w:hAnsi="Rockwell"/>
          <w:b/>
          <w:color w:val="auto"/>
          <w:sz w:val="30"/>
          <w:szCs w:val="30"/>
        </w:rPr>
        <w:lastRenderedPageBreak/>
        <w:t>CHAPITRE I : RELANCE DES ACTIVITES DU CONSEIL SUPERIEUR DE LA COMMUNICATION</w:t>
      </w:r>
      <w:bookmarkEnd w:id="39"/>
      <w:bookmarkEnd w:id="40"/>
      <w:bookmarkEnd w:id="41"/>
      <w:bookmarkEnd w:id="42"/>
      <w:bookmarkEnd w:id="43"/>
      <w:bookmarkEnd w:id="44"/>
    </w:p>
    <w:p w14:paraId="5BACDC57" w14:textId="77777777" w:rsidR="00733207" w:rsidRDefault="00912BAE">
      <w:pPr>
        <w:spacing w:before="120" w:after="120" w:line="360" w:lineRule="auto"/>
        <w:jc w:val="both"/>
        <w:rPr>
          <w:rFonts w:ascii="Rockwell" w:hAnsi="Rockwell" w:cs="Times New Roman"/>
          <w:sz w:val="26"/>
          <w:szCs w:val="26"/>
        </w:rPr>
      </w:pPr>
      <w:bookmarkStart w:id="45" w:name="_Toc141088426"/>
      <w:bookmarkStart w:id="46" w:name="_Toc141088487"/>
      <w:r>
        <w:rPr>
          <w:rFonts w:ascii="Rockwell" w:hAnsi="Rockwell" w:cs="Times New Roman"/>
          <w:sz w:val="26"/>
          <w:szCs w:val="26"/>
        </w:rPr>
        <w:t xml:space="preserve">L’élection du Président du CSC, après la nomination de quatre (04) nouveaux Conseillers qui ont prêté serment le 27 mai 2022, a fait, par la suite, l’objet de contestation à travers une plainte au Tribunal administratif de Ouagadougou. Cette situation a replongé l’institution dans une crise durant plusieurs mois. Fort heureusement, une issue est trouvée avec l’avènement du MPSR II. </w:t>
      </w:r>
    </w:p>
    <w:p w14:paraId="118DD1D8" w14:textId="77777777" w:rsidR="00733207" w:rsidRDefault="00733207">
      <w:pPr>
        <w:spacing w:before="120" w:after="120" w:line="360" w:lineRule="auto"/>
        <w:jc w:val="both"/>
        <w:rPr>
          <w:rFonts w:ascii="Rockwell" w:hAnsi="Rockwell" w:cs="Times New Roman"/>
          <w:sz w:val="26"/>
          <w:szCs w:val="26"/>
        </w:rPr>
      </w:pPr>
    </w:p>
    <w:p w14:paraId="08B815F4" w14:textId="77777777" w:rsidR="00733207" w:rsidRPr="009729B7" w:rsidRDefault="00912BAE">
      <w:pPr>
        <w:pStyle w:val="Titre3"/>
        <w:spacing w:before="240" w:after="240" w:line="360" w:lineRule="auto"/>
        <w:jc w:val="center"/>
        <w:rPr>
          <w:rFonts w:ascii="Rockwell" w:hAnsi="Rockwell"/>
          <w:b/>
          <w:i/>
          <w:color w:val="auto"/>
          <w:sz w:val="28"/>
          <w:szCs w:val="28"/>
        </w:rPr>
      </w:pPr>
      <w:bookmarkStart w:id="47" w:name="_Toc175128428"/>
      <w:bookmarkStart w:id="48" w:name="_Toc169854358"/>
      <w:bookmarkStart w:id="49" w:name="_Toc169855089"/>
      <w:bookmarkStart w:id="50" w:name="_Toc170209318"/>
      <w:r w:rsidRPr="009729B7">
        <w:rPr>
          <w:rFonts w:ascii="Rockwell" w:hAnsi="Rockwell"/>
          <w:b/>
          <w:i/>
          <w:color w:val="auto"/>
          <w:sz w:val="28"/>
          <w:szCs w:val="28"/>
        </w:rPr>
        <w:t xml:space="preserve">SECTION 1 : </w:t>
      </w:r>
      <w:bookmarkEnd w:id="45"/>
      <w:bookmarkEnd w:id="46"/>
      <w:r w:rsidRPr="009729B7">
        <w:rPr>
          <w:rFonts w:ascii="Rockwell" w:hAnsi="Rockwell"/>
          <w:b/>
          <w:i/>
          <w:color w:val="auto"/>
          <w:sz w:val="28"/>
          <w:szCs w:val="28"/>
        </w:rPr>
        <w:t>ELECTION ET PRISE DE FONCTION DU PRESIDENT ABDOULAZIZE BAMOGO</w:t>
      </w:r>
      <w:bookmarkEnd w:id="47"/>
      <w:bookmarkEnd w:id="48"/>
      <w:bookmarkEnd w:id="49"/>
      <w:bookmarkEnd w:id="50"/>
    </w:p>
    <w:p w14:paraId="192ED3E3" w14:textId="77777777" w:rsidR="00733207" w:rsidRDefault="00733207">
      <w:pPr>
        <w:spacing w:before="120" w:after="120" w:line="360" w:lineRule="auto"/>
        <w:jc w:val="both"/>
        <w:rPr>
          <w:rFonts w:ascii="Rockwell" w:hAnsi="Rockwell"/>
          <w:sz w:val="10"/>
          <w:szCs w:val="10"/>
        </w:rPr>
      </w:pPr>
    </w:p>
    <w:p w14:paraId="34835F51" w14:textId="77777777" w:rsidR="00733207" w:rsidRDefault="00912BAE">
      <w:pPr>
        <w:pStyle w:val="Titre4"/>
        <w:spacing w:before="240" w:after="240"/>
        <w:jc w:val="center"/>
        <w:rPr>
          <w:rFonts w:ascii="Rockwell" w:hAnsi="Rockwell"/>
          <w:b/>
          <w:i w:val="0"/>
          <w:color w:val="auto"/>
          <w:sz w:val="28"/>
          <w:szCs w:val="28"/>
        </w:rPr>
      </w:pPr>
      <w:bookmarkStart w:id="51" w:name="_Toc141088488"/>
      <w:bookmarkStart w:id="52" w:name="_Toc169855090"/>
      <w:bookmarkStart w:id="53" w:name="_Toc175128429"/>
      <w:r>
        <w:rPr>
          <w:rFonts w:ascii="Rockwell" w:hAnsi="Rockwell"/>
          <w:b/>
          <w:i w:val="0"/>
          <w:color w:val="auto"/>
          <w:sz w:val="28"/>
          <w:szCs w:val="28"/>
        </w:rPr>
        <w:t xml:space="preserve">Paragraphe 1 : </w:t>
      </w:r>
      <w:bookmarkEnd w:id="51"/>
      <w:r>
        <w:rPr>
          <w:rFonts w:ascii="Rockwell" w:hAnsi="Rockwell"/>
          <w:b/>
          <w:i w:val="0"/>
          <w:color w:val="auto"/>
          <w:sz w:val="28"/>
          <w:szCs w:val="28"/>
        </w:rPr>
        <w:t>une élection pour achever un mandat</w:t>
      </w:r>
      <w:bookmarkEnd w:id="52"/>
      <w:bookmarkEnd w:id="53"/>
    </w:p>
    <w:p w14:paraId="2EEC7494" w14:textId="77777777" w:rsidR="00733207" w:rsidRDefault="00733207">
      <w:pPr>
        <w:spacing w:before="240" w:after="240"/>
        <w:jc w:val="both"/>
        <w:rPr>
          <w:rFonts w:ascii="Rockwell" w:hAnsi="Rockwell"/>
          <w:sz w:val="10"/>
          <w:szCs w:val="10"/>
        </w:rPr>
      </w:pPr>
    </w:p>
    <w:p w14:paraId="4041168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Depuis 2018, l’équipe conduite par le Président TANKOANO s’est investie à refonder l’institution en vue d’assainir le climat social et de restaurer le CSC qui était dans une situation de blocage institutionnel et dont l’image était rudement écornée. Fort heureusement, la crise a pu être jugulée et le travail quotidien de régulation a repris dans une dynamique de reconquête des lettres de noblesse de l’institution. </w:t>
      </w:r>
    </w:p>
    <w:p w14:paraId="1C0AEF5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Chemin faisant, l’histoire du Conseil supérieur de la communication va, de nouveau, connaître un autre tournant, avec d’une part, la démission du Président S. Mathias TANKOANO et, d’autre part, l’avènement du MPSR 1. </w:t>
      </w:r>
    </w:p>
    <w:p w14:paraId="6A8BFD4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En effet, il fallait procéder au remplacement de Me S. Mathias TANKOANO et de trois autres conseillers, à savoir M. Zoumana WONOGO, décédé le 27 mars 2021, M. Victor SANOU, appelé à d’autres fonctions et M. Alexis KONKOBO, ayant démissionné pour convenances personnelles. </w:t>
      </w:r>
    </w:p>
    <w:p w14:paraId="178124A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lastRenderedPageBreak/>
        <w:t xml:space="preserve">Quatre (04) nouveaux Conseillers seront désignés puis nommés et ils prêteront serment le 27 mai 2022. </w:t>
      </w:r>
    </w:p>
    <w:p w14:paraId="7C96D5F3" w14:textId="694E2E61"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L’élection du Président BAMOGO par le nouveau Collège des conseillers pour achever le mandat sera contestée, et pendant près de huit (08) mois, le Conseil supérieur de la communication fonctionnera </w:t>
      </w:r>
      <w:proofErr w:type="gramStart"/>
      <w:r>
        <w:rPr>
          <w:rFonts w:ascii="Rockwell" w:hAnsi="Rockwell" w:cs="Times New Roman"/>
          <w:sz w:val="26"/>
          <w:szCs w:val="26"/>
        </w:rPr>
        <w:t>a</w:t>
      </w:r>
      <w:proofErr w:type="gramEnd"/>
      <w:r>
        <w:rPr>
          <w:rFonts w:ascii="Rockwell" w:hAnsi="Rockwell" w:cs="Times New Roman"/>
          <w:sz w:val="26"/>
          <w:szCs w:val="26"/>
        </w:rPr>
        <w:t xml:space="preserve"> minima.</w:t>
      </w:r>
    </w:p>
    <w:p w14:paraId="5067DE8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 Il a fallu donc attendre début décembre 2022 pour voir l’horizon s’éclaircir progressivement.  </w:t>
      </w:r>
    </w:p>
    <w:p w14:paraId="3BD1B6CB" w14:textId="77777777" w:rsidR="00733207" w:rsidRDefault="00733207">
      <w:pPr>
        <w:spacing w:before="120" w:after="120" w:line="360" w:lineRule="auto"/>
        <w:jc w:val="both"/>
        <w:rPr>
          <w:rFonts w:ascii="Rockwell" w:hAnsi="Rockwell" w:cs="Times New Roman"/>
          <w:sz w:val="10"/>
          <w:szCs w:val="10"/>
        </w:rPr>
      </w:pPr>
    </w:p>
    <w:p w14:paraId="775E4EFA" w14:textId="77777777" w:rsidR="00733207" w:rsidRDefault="00912BAE">
      <w:pPr>
        <w:pStyle w:val="Titre4"/>
        <w:jc w:val="center"/>
        <w:rPr>
          <w:rFonts w:ascii="Rockwell" w:hAnsi="Rockwell"/>
          <w:b/>
          <w:i w:val="0"/>
          <w:color w:val="auto"/>
          <w:sz w:val="28"/>
          <w:szCs w:val="28"/>
        </w:rPr>
      </w:pPr>
      <w:bookmarkStart w:id="54" w:name="_Toc175128430"/>
      <w:bookmarkStart w:id="55" w:name="_Toc169855091"/>
      <w:r>
        <w:rPr>
          <w:rFonts w:ascii="Rockwell" w:hAnsi="Rockwell"/>
          <w:b/>
          <w:i w:val="0"/>
          <w:color w:val="auto"/>
          <w:sz w:val="28"/>
          <w:szCs w:val="28"/>
        </w:rPr>
        <w:t>Paragraphe 2 : prise de fonction</w:t>
      </w:r>
      <w:bookmarkEnd w:id="54"/>
      <w:bookmarkEnd w:id="55"/>
    </w:p>
    <w:p w14:paraId="7808C6BA" w14:textId="77777777" w:rsidR="00733207" w:rsidRDefault="00733207">
      <w:pPr>
        <w:jc w:val="both"/>
        <w:rPr>
          <w:rFonts w:ascii="Rockwell" w:hAnsi="Rockwell"/>
          <w:sz w:val="10"/>
          <w:szCs w:val="10"/>
        </w:rPr>
      </w:pPr>
    </w:p>
    <w:p w14:paraId="03BCBBC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Nommé</w:t>
      </w:r>
      <w:r>
        <w:rPr>
          <w:rFonts w:ascii="Rockwell" w:hAnsi="Rockwell" w:cs="Times New Roman"/>
          <w:sz w:val="26"/>
          <w:szCs w:val="26"/>
          <w:shd w:val="clear" w:color="auto" w:fill="FFFFFF"/>
        </w:rPr>
        <w:t xml:space="preserve"> par décret le 06 décembre 2022</w:t>
      </w:r>
      <w:r>
        <w:rPr>
          <w:rFonts w:ascii="Rockwell" w:hAnsi="Rockwell" w:cs="Times New Roman"/>
          <w:color w:val="2C2F34"/>
          <w:sz w:val="26"/>
          <w:szCs w:val="26"/>
          <w:shd w:val="clear" w:color="auto" w:fill="FFFFFF"/>
        </w:rPr>
        <w:t xml:space="preserve">, </w:t>
      </w:r>
      <w:r>
        <w:rPr>
          <w:rFonts w:ascii="Rockwell" w:hAnsi="Rockwell" w:cs="Times New Roman"/>
          <w:sz w:val="26"/>
          <w:szCs w:val="26"/>
        </w:rPr>
        <w:t xml:space="preserve">M. </w:t>
      </w:r>
      <w:proofErr w:type="spellStart"/>
      <w:r>
        <w:rPr>
          <w:rFonts w:ascii="Rockwell" w:hAnsi="Rockwell" w:cs="Times New Roman"/>
          <w:sz w:val="26"/>
          <w:szCs w:val="26"/>
        </w:rPr>
        <w:t>Abdoulazize</w:t>
      </w:r>
      <w:proofErr w:type="spellEnd"/>
      <w:r>
        <w:rPr>
          <w:rFonts w:ascii="Rockwell" w:hAnsi="Rockwell" w:cs="Times New Roman"/>
          <w:sz w:val="26"/>
          <w:szCs w:val="26"/>
        </w:rPr>
        <w:t xml:space="preserve"> BAMOGO a pris officiellement fonction à la tête du Conseil supérieur de la communication le 23 décembre 2022, en présence du Chef du Gouvernement burkinabè, d’autorités administratives, politiques et religieuses du pays, ainsi que de nombreux acteurs du secteur de l’information et de la communication.  </w:t>
      </w:r>
    </w:p>
    <w:p w14:paraId="3DF9AAF4" w14:textId="77777777" w:rsidR="00733207" w:rsidRDefault="00912BAE">
      <w:pPr>
        <w:spacing w:before="120" w:after="120" w:line="360" w:lineRule="auto"/>
        <w:jc w:val="both"/>
        <w:rPr>
          <w:rFonts w:ascii="Rockwell" w:hAnsi="Rockwell" w:cs="Times New Roman"/>
          <w:sz w:val="26"/>
          <w:szCs w:val="26"/>
        </w:rPr>
        <w:sectPr w:rsidR="00733207">
          <w:pgSz w:w="11906" w:h="16838"/>
          <w:pgMar w:top="1417" w:right="1417" w:bottom="1417" w:left="1417" w:header="708" w:footer="708" w:gutter="0"/>
          <w:cols w:space="708"/>
          <w:docGrid w:linePitch="360"/>
        </w:sectPr>
      </w:pPr>
      <w:r>
        <w:rPr>
          <w:rFonts w:ascii="Rockwell" w:hAnsi="Rockwell" w:cs="Times New Roman"/>
          <w:sz w:val="26"/>
          <w:szCs w:val="26"/>
        </w:rPr>
        <w:t xml:space="preserve">Après avoir pris la pleine mesure de la mission que l’institution est appelée à accomplir dans le contexte de crise dans laquelle se trouve le pays, M. BAMOGO s’est engagé à relever, sous son mandat, deux défis majeurs : mettre la responsabilité sociale au cœur de l’activité des médias burkinabè et développer une presse professionnelle, forte, capable de contrebalancer les opérations de désinformation et les discours de haine sur les plateformes numériques. Sous sa conduite, le CSC fera de la lutte contre la désinformation et les discours de haine, un champ d’action prioritaire. </w:t>
      </w:r>
    </w:p>
    <w:p w14:paraId="2BB6E573" w14:textId="77777777" w:rsidR="00733207" w:rsidRPr="000403A8" w:rsidRDefault="00912BAE">
      <w:pPr>
        <w:pStyle w:val="Titre3"/>
        <w:spacing w:before="240" w:after="240" w:line="360" w:lineRule="auto"/>
        <w:jc w:val="center"/>
        <w:rPr>
          <w:rFonts w:ascii="Rockwell" w:hAnsi="Rockwell"/>
          <w:b/>
          <w:color w:val="auto"/>
          <w:sz w:val="28"/>
          <w:szCs w:val="28"/>
        </w:rPr>
      </w:pPr>
      <w:bookmarkStart w:id="56" w:name="_Toc141088491"/>
      <w:bookmarkStart w:id="57" w:name="_Toc141088427"/>
      <w:bookmarkStart w:id="58" w:name="_Toc175128431"/>
      <w:bookmarkStart w:id="59" w:name="_Toc169855092"/>
      <w:bookmarkStart w:id="60" w:name="_Toc169854359"/>
      <w:bookmarkStart w:id="61" w:name="_Toc170209319"/>
      <w:r w:rsidRPr="000403A8">
        <w:rPr>
          <w:rFonts w:ascii="Rockwell" w:hAnsi="Rockwell"/>
          <w:b/>
          <w:color w:val="auto"/>
          <w:sz w:val="28"/>
          <w:szCs w:val="28"/>
        </w:rPr>
        <w:lastRenderedPageBreak/>
        <w:t xml:space="preserve">SECTION 2 : UNE NOUVELLE VISION </w:t>
      </w:r>
      <w:bookmarkEnd w:id="56"/>
      <w:bookmarkEnd w:id="57"/>
      <w:r w:rsidRPr="000403A8">
        <w:rPr>
          <w:rFonts w:ascii="Rockwell" w:hAnsi="Rockwell"/>
          <w:b/>
          <w:color w:val="auto"/>
          <w:sz w:val="28"/>
          <w:szCs w:val="28"/>
        </w:rPr>
        <w:t>POUR REPONDRE AUX DEFIS</w:t>
      </w:r>
      <w:bookmarkEnd w:id="58"/>
      <w:bookmarkEnd w:id="59"/>
      <w:bookmarkEnd w:id="60"/>
      <w:bookmarkEnd w:id="61"/>
    </w:p>
    <w:p w14:paraId="228D29D9" w14:textId="77777777" w:rsidR="00733207" w:rsidRDefault="00733207">
      <w:pPr>
        <w:spacing w:before="120" w:after="120" w:line="360" w:lineRule="auto"/>
        <w:jc w:val="both"/>
        <w:rPr>
          <w:rFonts w:ascii="Rockwell" w:hAnsi="Rockwell"/>
          <w:sz w:val="26"/>
          <w:szCs w:val="26"/>
        </w:rPr>
      </w:pPr>
    </w:p>
    <w:p w14:paraId="1C8B1EBC" w14:textId="77777777" w:rsidR="00733207" w:rsidRDefault="00912BAE">
      <w:pPr>
        <w:pStyle w:val="Titre4"/>
        <w:spacing w:before="240" w:after="240" w:line="360" w:lineRule="auto"/>
        <w:jc w:val="center"/>
        <w:rPr>
          <w:rFonts w:ascii="Rockwell" w:hAnsi="Rockwell"/>
          <w:b/>
          <w:i w:val="0"/>
          <w:color w:val="auto"/>
          <w:sz w:val="28"/>
          <w:szCs w:val="28"/>
        </w:rPr>
      </w:pPr>
      <w:bookmarkStart w:id="62" w:name="_Toc141088492"/>
      <w:bookmarkStart w:id="63" w:name="_Toc175128432"/>
      <w:bookmarkStart w:id="64" w:name="_Toc169855093"/>
      <w:r>
        <w:rPr>
          <w:rFonts w:ascii="Rockwell" w:hAnsi="Rockwell"/>
          <w:b/>
          <w:i w:val="0"/>
          <w:color w:val="auto"/>
          <w:sz w:val="28"/>
          <w:szCs w:val="28"/>
        </w:rPr>
        <w:t>Paragraphe 1 :</w:t>
      </w:r>
      <w:bookmarkStart w:id="65" w:name="_Toc141088493"/>
      <w:bookmarkEnd w:id="62"/>
      <w:r>
        <w:rPr>
          <w:rFonts w:ascii="Rockwell" w:hAnsi="Rockwell"/>
          <w:b/>
          <w:i w:val="0"/>
          <w:color w:val="auto"/>
          <w:sz w:val="28"/>
          <w:szCs w:val="28"/>
        </w:rPr>
        <w:t xml:space="preserve"> la vision</w:t>
      </w:r>
      <w:bookmarkEnd w:id="63"/>
      <w:bookmarkEnd w:id="64"/>
      <w:bookmarkEnd w:id="65"/>
    </w:p>
    <w:p w14:paraId="2026CEEB" w14:textId="77777777" w:rsidR="00733207" w:rsidRDefault="00733207">
      <w:pPr>
        <w:jc w:val="both"/>
        <w:rPr>
          <w:rFonts w:ascii="Rockwell" w:hAnsi="Rockwell"/>
          <w:sz w:val="10"/>
          <w:szCs w:val="10"/>
        </w:rPr>
      </w:pPr>
    </w:p>
    <w:p w14:paraId="0BDCBED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Pour les premiers responsables du CSC, le contexte de fragilité politique et de défi sécuritaire du pays commande que l’on envisage d’autres paradigmes notamment dans la mise en œuvre de la responsabilité sociale des médias. Et convaincus que les professionnels des médias ont une meilleure posture à adapter à cette situation, ils ont souhaité engager les journalistes et les communicateurs à mettre leur responsabilité sociale au cœur de leurs pratiques quotidiennes pour un Burkina Faso de paix, de sécurité et de cohésion sociale.</w:t>
      </w:r>
    </w:p>
    <w:p w14:paraId="49D14A4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Au regard du contexte national difficile et du rôle capital que doit jouer le CSC sur le front de la régulation, des actions à mener sur deux volets prioritaires ont été définies :</w:t>
      </w:r>
    </w:p>
    <w:p w14:paraId="3E9662B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 -l’utilisation des réseaux sociaux et un exercice responsable de la liberté d’expression dans l’espace public, par les citoyens, cela, à travers la lutte contre les discours de haine, l’éducation aux médias et à l’information et la promotion de la cohésion sociale et de la paix ;</w:t>
      </w:r>
    </w:p>
    <w:p w14:paraId="2E9179FF"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-la promotion d’une presse professionnelle forte et responsable.</w:t>
      </w:r>
    </w:p>
    <w:p w14:paraId="1E020135"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Pour ce faire, il fallait agir avec les professionnels de l’information pour renforcer la disponibilité de la saine information sur les réseaux sociaux et pour déconstruire les </w:t>
      </w:r>
      <w:r>
        <w:rPr>
          <w:rFonts w:ascii="Rockwell" w:hAnsi="Rockwell" w:cs="Times New Roman"/>
          <w:i/>
          <w:sz w:val="26"/>
          <w:szCs w:val="26"/>
        </w:rPr>
        <w:t>fake-news</w:t>
      </w:r>
      <w:r>
        <w:rPr>
          <w:rFonts w:ascii="Rockwell" w:hAnsi="Rockwell" w:cs="Times New Roman"/>
          <w:sz w:val="26"/>
          <w:szCs w:val="26"/>
        </w:rPr>
        <w:t>. Il fallait, en outre, initier des campagnes de sensibilisation pour les appeler à se ressaisir et éviter les messages qui divisent ou qui empêchent l’efficacité des actions sécuritaires.</w:t>
      </w:r>
    </w:p>
    <w:p w14:paraId="4DF5125D" w14:textId="24CC3AB8"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lastRenderedPageBreak/>
        <w:t xml:space="preserve">Ainsi, aucun effort ne devra être ménagé pour la mise en œuvre des deux défis majeurs du mandat, et cela s’est traduit concrètement </w:t>
      </w:r>
      <w:r w:rsidR="000403A8">
        <w:rPr>
          <w:rFonts w:ascii="Rockwell" w:hAnsi="Rockwell" w:cs="Times New Roman"/>
          <w:sz w:val="26"/>
          <w:szCs w:val="26"/>
        </w:rPr>
        <w:t>par l’organisation</w:t>
      </w:r>
      <w:r>
        <w:rPr>
          <w:rFonts w:ascii="Rockwell" w:hAnsi="Rockwell" w:cs="Times New Roman"/>
          <w:sz w:val="26"/>
          <w:szCs w:val="26"/>
        </w:rPr>
        <w:t xml:space="preserve"> de rencontres de concertation et de sensibilisation avec les différents acteurs du secteur de l’information et de la communication, les partenaires institutionnels du CSC et toutes les composantes de la société burkinabè.</w:t>
      </w:r>
    </w:p>
    <w:p w14:paraId="4DCE57E5" w14:textId="77777777" w:rsidR="00733207" w:rsidRDefault="00733207">
      <w:pPr>
        <w:spacing w:before="120" w:after="120" w:line="360" w:lineRule="auto"/>
        <w:jc w:val="both"/>
        <w:rPr>
          <w:rFonts w:ascii="Rockwell" w:hAnsi="Rockwell" w:cs="Times New Roman"/>
          <w:sz w:val="26"/>
          <w:szCs w:val="26"/>
        </w:rPr>
      </w:pPr>
    </w:p>
    <w:p w14:paraId="000ECB6E" w14:textId="64446AB8" w:rsidR="00733207" w:rsidRDefault="00912BAE">
      <w:pPr>
        <w:pStyle w:val="Titre4"/>
        <w:spacing w:before="240" w:after="240" w:line="360" w:lineRule="auto"/>
        <w:jc w:val="center"/>
        <w:rPr>
          <w:rFonts w:ascii="Rockwell" w:hAnsi="Rockwell"/>
          <w:b/>
          <w:i w:val="0"/>
          <w:color w:val="auto"/>
          <w:sz w:val="28"/>
          <w:szCs w:val="28"/>
        </w:rPr>
      </w:pPr>
      <w:bookmarkStart w:id="66" w:name="_Toc141088494"/>
      <w:bookmarkStart w:id="67" w:name="_Toc175128433"/>
      <w:bookmarkStart w:id="68" w:name="_Toc169855094"/>
      <w:r>
        <w:rPr>
          <w:rFonts w:ascii="Rockwell" w:hAnsi="Rockwell"/>
          <w:b/>
          <w:i w:val="0"/>
          <w:color w:val="auto"/>
          <w:sz w:val="28"/>
          <w:szCs w:val="28"/>
        </w:rPr>
        <w:t xml:space="preserve">Paragraphe 2 : </w:t>
      </w:r>
      <w:bookmarkEnd w:id="66"/>
      <w:r w:rsidR="000403A8">
        <w:rPr>
          <w:rFonts w:ascii="Rockwell" w:hAnsi="Rockwell"/>
          <w:b/>
          <w:i w:val="0"/>
          <w:color w:val="auto"/>
          <w:sz w:val="28"/>
          <w:szCs w:val="28"/>
        </w:rPr>
        <w:t xml:space="preserve">Partage </w:t>
      </w:r>
      <w:r>
        <w:rPr>
          <w:rFonts w:ascii="Rockwell" w:hAnsi="Rockwell"/>
          <w:b/>
          <w:i w:val="0"/>
          <w:color w:val="auto"/>
          <w:sz w:val="28"/>
          <w:szCs w:val="28"/>
        </w:rPr>
        <w:t>de la vision</w:t>
      </w:r>
      <w:bookmarkEnd w:id="67"/>
      <w:bookmarkEnd w:id="68"/>
    </w:p>
    <w:p w14:paraId="529EE944" w14:textId="77777777" w:rsidR="00733207" w:rsidRDefault="00733207">
      <w:pPr>
        <w:jc w:val="both"/>
        <w:rPr>
          <w:rFonts w:ascii="Rockwell" w:hAnsi="Rockwell"/>
          <w:sz w:val="10"/>
          <w:szCs w:val="10"/>
        </w:rPr>
      </w:pPr>
    </w:p>
    <w:p w14:paraId="3567B949"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Des échanges à l’interne avec le personnel administratif pour lui faire part de la vision ont été organisés. Le Collège des conseillers et l’ensemble des travailleurs de l’institution ont ainsi été engagés à être « </w:t>
      </w:r>
      <w:r>
        <w:rPr>
          <w:rFonts w:ascii="Rockwell" w:hAnsi="Rockwell" w:cs="Times New Roman"/>
          <w:i/>
          <w:sz w:val="26"/>
          <w:szCs w:val="26"/>
        </w:rPr>
        <w:t>FOORT ENSEMBLE</w:t>
      </w:r>
      <w:r>
        <w:rPr>
          <w:rFonts w:ascii="Rockwell" w:hAnsi="Rockwell" w:cs="Times New Roman"/>
          <w:sz w:val="26"/>
          <w:szCs w:val="26"/>
        </w:rPr>
        <w:t xml:space="preserve"> », à travailler dans un esprit de grande Fraternité, avec un Optimisme inébranlable, en s’appuyant sur une Organisation solide dans laquelle tous sont Responsables ensemble, et exploitent de façon optimale les Technologies numériques. </w:t>
      </w:r>
    </w:p>
    <w:p w14:paraId="673BF5FE"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noProof/>
          <w:sz w:val="26"/>
          <w:szCs w:val="26"/>
          <w:lang w:eastAsia="fr-FR"/>
        </w:rPr>
        <w:drawing>
          <wp:inline distT="0" distB="0" distL="0" distR="0" wp14:anchorId="05D8B50F" wp14:editId="65A6B965">
            <wp:extent cx="5760720" cy="3840480"/>
            <wp:effectExtent l="0" t="0" r="0" b="762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 42"/>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0258EE43" w14:textId="77777777" w:rsidR="00733207" w:rsidRDefault="00912BAE">
      <w:pPr>
        <w:spacing w:before="120" w:after="120" w:line="360" w:lineRule="auto"/>
        <w:jc w:val="center"/>
        <w:rPr>
          <w:rFonts w:ascii="Rockwell" w:hAnsi="Rockwell" w:cs="Times New Roman"/>
          <w:i/>
          <w:sz w:val="18"/>
          <w:szCs w:val="18"/>
        </w:rPr>
      </w:pPr>
      <w:r>
        <w:rPr>
          <w:rFonts w:ascii="Rockwell" w:hAnsi="Rockwell" w:cs="Times New Roman"/>
          <w:i/>
          <w:sz w:val="18"/>
          <w:szCs w:val="18"/>
        </w:rPr>
        <w:t>Le Président BAMOGO partageant sa vision pour un CSC fort et une paix sociale retrouvée</w:t>
      </w:r>
    </w:p>
    <w:p w14:paraId="28B943C7" w14:textId="77777777" w:rsidR="00733207" w:rsidRDefault="00733207">
      <w:pPr>
        <w:spacing w:before="120" w:after="120" w:line="360" w:lineRule="auto"/>
        <w:jc w:val="center"/>
        <w:rPr>
          <w:rFonts w:ascii="Rockwell" w:hAnsi="Rockwell" w:cs="Times New Roman"/>
          <w:sz w:val="26"/>
          <w:szCs w:val="26"/>
        </w:rPr>
      </w:pPr>
    </w:p>
    <w:p w14:paraId="6669EF0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Dans la même optique, des concertations avec l’ensemble des organisations professionnelles des médias et de la publicité ont été initiées. Elles seront suivies d’une série de rencontres de travail avec chaque organisation. Ces séances ont permis d’échanger sur des sujets d’intérêt commun, mais également de discuter de questions spécifiques.</w:t>
      </w:r>
    </w:p>
    <w:p w14:paraId="0904BAB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On retiendra trois grandes actions. Premièrement, l’intensification de la saine information des citoyens sur les réseaux sociaux, où l’information est souvent manipulée, à travers une plus grande présence des professionnels, c’est-à-dire des médias traditionnels. </w:t>
      </w:r>
    </w:p>
    <w:p w14:paraId="157ABA2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Deuxièmement, la déconstruction des fausses nouvelles, des </w:t>
      </w:r>
      <w:r>
        <w:rPr>
          <w:rFonts w:ascii="Rockwell" w:hAnsi="Rockwell" w:cs="Times New Roman"/>
          <w:i/>
          <w:sz w:val="26"/>
          <w:szCs w:val="26"/>
        </w:rPr>
        <w:t>fake-news</w:t>
      </w:r>
      <w:r>
        <w:rPr>
          <w:rFonts w:ascii="Rockwell" w:hAnsi="Rockwell" w:cs="Times New Roman"/>
          <w:sz w:val="26"/>
          <w:szCs w:val="26"/>
        </w:rPr>
        <w:t xml:space="preserve">. Cela a consisté à renforcer les capacités techniques des journalistes et des médias à investir le champ du </w:t>
      </w:r>
      <w:proofErr w:type="spellStart"/>
      <w:r>
        <w:rPr>
          <w:rFonts w:ascii="Rockwell" w:hAnsi="Rockwell" w:cs="Times New Roman"/>
          <w:i/>
          <w:sz w:val="26"/>
          <w:szCs w:val="26"/>
        </w:rPr>
        <w:t>fact</w:t>
      </w:r>
      <w:proofErr w:type="spellEnd"/>
      <w:r>
        <w:rPr>
          <w:rFonts w:ascii="Rockwell" w:hAnsi="Rockwell" w:cs="Times New Roman"/>
          <w:i/>
          <w:sz w:val="26"/>
          <w:szCs w:val="26"/>
        </w:rPr>
        <w:t>-checking,</w:t>
      </w:r>
      <w:r>
        <w:rPr>
          <w:rFonts w:ascii="Rockwell" w:hAnsi="Rockwell" w:cs="Times New Roman"/>
          <w:sz w:val="26"/>
          <w:szCs w:val="26"/>
        </w:rPr>
        <w:t xml:space="preserve"> c’est-à-dire de la vérification des faits et de la diffusion des informations vérifiées. Dans ce sens, les médias professionnels doivent se donner pour mission la lutte contre les </w:t>
      </w:r>
      <w:r>
        <w:rPr>
          <w:rFonts w:ascii="Rockwell" w:hAnsi="Rockwell" w:cs="Times New Roman"/>
          <w:i/>
          <w:sz w:val="26"/>
          <w:szCs w:val="26"/>
        </w:rPr>
        <w:t>fake-news</w:t>
      </w:r>
      <w:r>
        <w:rPr>
          <w:rFonts w:ascii="Rockwell" w:hAnsi="Rockwell" w:cs="Times New Roman"/>
          <w:color w:val="00B050"/>
          <w:sz w:val="26"/>
          <w:szCs w:val="26"/>
        </w:rPr>
        <w:t>.</w:t>
      </w:r>
      <w:r>
        <w:rPr>
          <w:rFonts w:ascii="Rockwell" w:hAnsi="Rockwell" w:cs="Times New Roman"/>
          <w:sz w:val="26"/>
          <w:szCs w:val="26"/>
        </w:rPr>
        <w:t xml:space="preserve"> </w:t>
      </w:r>
    </w:p>
    <w:p w14:paraId="2044E15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Enfin, la troisième grande action a été de mettre un accent particulier sur la promotion de la responsabilité sociale des médias. La situation particulière et difficile du moment éprouve fortement la façon de travailler des journalistes, d’où la nécessité de développer des initiatives en vue de relever le défi sécuritaire et œuvrer à ce que le travail du journaliste ne le mette en danger ni n’expose son organe de presse.</w:t>
      </w:r>
    </w:p>
    <w:p w14:paraId="0D8642D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 outre, le CSC a décidé d’investir les chantiers de l’éducation aux médias, de la sensibilisation des populations à bannir les discours de haine et travailler à la promotion de la cohésion sociale.</w:t>
      </w:r>
    </w:p>
    <w:p w14:paraId="72BE0ED5"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Par ailleurs, les capacités du personnel du CSC dans l’exploitation optimale des plateformes numériques et l’adoption de comportements-modèles dans leur utilisation ont été renforcées. Une série de formations ont été organisées au profit des membres du Collège des conseillers, des chargés de mission, </w:t>
      </w:r>
      <w:r>
        <w:rPr>
          <w:rFonts w:ascii="Rockwell" w:eastAsia="Calibri" w:hAnsi="Rockwell" w:cs="Times New Roman"/>
          <w:sz w:val="26"/>
          <w:szCs w:val="26"/>
        </w:rPr>
        <w:lastRenderedPageBreak/>
        <w:t xml:space="preserve">des chargés d’études, des directeurs et de l’ensemble du personnel de l’institution. </w:t>
      </w:r>
    </w:p>
    <w:p w14:paraId="004C0974"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noProof/>
          <w:sz w:val="26"/>
          <w:szCs w:val="26"/>
          <w:lang w:eastAsia="fr-FR"/>
        </w:rPr>
        <w:drawing>
          <wp:inline distT="0" distB="0" distL="0" distR="0" wp14:anchorId="48233354" wp14:editId="0974FCFA">
            <wp:extent cx="5760720" cy="3840480"/>
            <wp:effectExtent l="0" t="0" r="0" b="7620"/>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 4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0013553A" w14:textId="77777777" w:rsidR="00733207" w:rsidRDefault="00912BAE">
      <w:pPr>
        <w:spacing w:before="120" w:after="120" w:line="360" w:lineRule="auto"/>
        <w:jc w:val="center"/>
        <w:rPr>
          <w:rFonts w:ascii="Rockwell" w:eastAsia="Calibri" w:hAnsi="Rockwell" w:cs="Times New Roman"/>
          <w:i/>
          <w:sz w:val="20"/>
          <w:szCs w:val="20"/>
        </w:rPr>
      </w:pPr>
      <w:r>
        <w:rPr>
          <w:rFonts w:ascii="Rockwell" w:eastAsia="Calibri" w:hAnsi="Rockwell" w:cs="Times New Roman"/>
          <w:i/>
          <w:sz w:val="20"/>
          <w:szCs w:val="20"/>
        </w:rPr>
        <w:t>Le personnel a marqué son adhésion à la nouvelle vision</w:t>
      </w:r>
    </w:p>
    <w:p w14:paraId="00B93A63" w14:textId="77777777" w:rsidR="00733207" w:rsidRDefault="00733207">
      <w:pPr>
        <w:spacing w:before="120" w:after="120" w:line="360" w:lineRule="auto"/>
        <w:jc w:val="both"/>
        <w:rPr>
          <w:rFonts w:ascii="Rockwell" w:eastAsia="Calibri" w:hAnsi="Rockwell" w:cs="Times New Roman"/>
          <w:sz w:val="26"/>
          <w:szCs w:val="26"/>
        </w:rPr>
      </w:pPr>
    </w:p>
    <w:p w14:paraId="5D019F2C" w14:textId="77777777" w:rsidR="00733207" w:rsidRDefault="00912BAE">
      <w:pPr>
        <w:spacing w:before="120" w:after="120" w:line="360" w:lineRule="auto"/>
        <w:jc w:val="both"/>
        <w:rPr>
          <w:rFonts w:ascii="Rockwell" w:hAnsi="Rockwell" w:cs="Times New Roman"/>
          <w:sz w:val="26"/>
          <w:szCs w:val="26"/>
        </w:rPr>
      </w:pPr>
      <w:r>
        <w:rPr>
          <w:rFonts w:ascii="Rockwell" w:eastAsia="Calibri" w:hAnsi="Rockwell" w:cs="Times New Roman"/>
          <w:sz w:val="26"/>
          <w:szCs w:val="26"/>
        </w:rPr>
        <w:t xml:space="preserve">Ce fut ensuite le tour des </w:t>
      </w:r>
      <w:r>
        <w:rPr>
          <w:rFonts w:ascii="Rockwell" w:hAnsi="Rockwell" w:cs="Times New Roman"/>
          <w:sz w:val="26"/>
          <w:szCs w:val="26"/>
        </w:rPr>
        <w:t xml:space="preserve">organisations professionnelles des médias et de la communication. Il s’agit de l’Observatoire burkinabè des médias (OBM), de l’Association des Editeurs et Publicateurs de Journaux en Langues nationales (AEPJLN), de l’Union nationale de l’audiovisuel libre du Faso (UNALFA), de l’Union burkinabè des éditeurs privés de services de télévision (UBESTV), de la Société des éditeurs de la presse privée (SEP), de « Publicitaires Associés », de l’Association des Retraités de la communication et de l’information (ARCI), de l’Association des Professionnelles africaines de la communication (APAC), du Comité technique de la carte de presse, de l’Association des Editeurs et Professionnels des médias en ligne (AEPML), de « Reporters du Faso », de la Ligue des Directeurs, Conseillers, Chargés de la Communication et du Marketing (LIDICOM), de l’Union catholique </w:t>
      </w:r>
      <w:r>
        <w:rPr>
          <w:rFonts w:ascii="Rockwell" w:hAnsi="Rockwell" w:cs="Times New Roman"/>
          <w:sz w:val="26"/>
          <w:szCs w:val="26"/>
        </w:rPr>
        <w:lastRenderedPageBreak/>
        <w:t>africaine de la presse, section du Burkina (UCAP-B), de l’Union des Journalistes et Communicateurs évangéliques du Burkina (UJCEB), du Réseau des Journalistes et Communicateurs Musulmans du Burkina Faso (REJCOM-BF), de l’Association des journalistes du Burkina (AJB), de l’Association des blogueurs du Burkina (ABB), du Syndicat autonome des travailleurs de l’information et de la culture (SYNATIC) et du Réseau Africain des Journalistes pour l’Intégrité et la Transparence (RAJIT).</w:t>
      </w:r>
    </w:p>
    <w:p w14:paraId="31B69E7A"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Au cours des différentes rencontres, elles se sont réjouies de la normalisation du fonctionnement du CSC et ont félicité l’ensemble du Collège. Par ailleurs, elles ont été unanimes à reconnaître l’importance des actions annoncées et la nécessité de prendre à bras-le-corps la problématique des </w:t>
      </w:r>
      <w:r>
        <w:rPr>
          <w:rFonts w:ascii="Rockwell" w:hAnsi="Rockwell" w:cs="Times New Roman"/>
          <w:i/>
          <w:sz w:val="26"/>
          <w:szCs w:val="26"/>
        </w:rPr>
        <w:t>fake news</w:t>
      </w:r>
      <w:r>
        <w:rPr>
          <w:rFonts w:ascii="Rockwell" w:hAnsi="Rockwell" w:cs="Times New Roman"/>
          <w:sz w:val="26"/>
          <w:szCs w:val="26"/>
        </w:rPr>
        <w:t xml:space="preserve">. Elles ont souligné leur détermination à jouer pleinement leur rôle et rassuré le CSC de leur engagement à ses côtés. </w:t>
      </w:r>
    </w:p>
    <w:p w14:paraId="45EA85D6"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Des échanges ont aussi été organisés avec les correspondants de la presse étrangère accrédités au Burkina Faso sur la nouvelle vision, les attentes des uns et des autres, et pour s’accorder sur un </w:t>
      </w:r>
      <w:r>
        <w:rPr>
          <w:rFonts w:ascii="Rockwell" w:hAnsi="Rockwell" w:cs="Times New Roman"/>
          <w:i/>
          <w:sz w:val="26"/>
          <w:szCs w:val="26"/>
        </w:rPr>
        <w:t>modus vivendi</w:t>
      </w:r>
      <w:r>
        <w:rPr>
          <w:rFonts w:ascii="Rockwell" w:hAnsi="Rockwell" w:cs="Times New Roman"/>
          <w:sz w:val="26"/>
          <w:szCs w:val="26"/>
        </w:rPr>
        <w:t xml:space="preserve"> afin que chaque acteur, dans un partenariat dynamique, puisse bien accomplir son travail. </w:t>
      </w:r>
    </w:p>
    <w:p w14:paraId="511D429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Les correspondants de la presse étrangère ont salué cette initiative et soulevé quelques difficultés dans l’exercice de leur métier, notamment la problématique de l’accès aux sources officielles d’information et l’absence d’interlocuteurs de haut niveau.  L’instance de régulation, chargée de la promotion et de l’enracinement des espaces de liberté, s’était à l’occasion engagée à ne ménager aucun effort dans le plaidoyer pour aplanir les difficultés afin que chaque acteur accomplisse au mieux sa mission. </w:t>
      </w:r>
    </w:p>
    <w:p w14:paraId="6A8FE774"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Les composantes de la société burkinabè particulièrement affectées par la désinformation et la propagation de discours de haine n’ont pas été en reste. Des échanges ont été organisés avec les représentants des départements ministériels en charge de la Sécurité, de la Défense, des Finances et de la Santé, des autorités religieuses, de mouvements des droits humains, </w:t>
      </w:r>
      <w:r>
        <w:rPr>
          <w:rFonts w:ascii="Rockwell" w:eastAsia="Calibri" w:hAnsi="Rockwell" w:cs="Times New Roman"/>
          <w:sz w:val="26"/>
          <w:szCs w:val="26"/>
        </w:rPr>
        <w:lastRenderedPageBreak/>
        <w:t>d’associations des consommateurs, de syndicats des transporteurs, et régulateurs de la communication au public sur le phénomène de la diffusion des fausses nouvelles dans notre pays. Plusieurs propositions ont été faites à l’occasion et chaque entité s’était engagée à développer des initiatives et à mener des actions pour gagner ensemble le pari.</w:t>
      </w:r>
    </w:p>
    <w:p w14:paraId="2DAF361E"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La vision a également été partagée avec les plus hautes autorités politiques du pays, notamment le Président du Faso, </w:t>
      </w:r>
      <w:r>
        <w:rPr>
          <w:rFonts w:ascii="Rockwell" w:eastAsia="Calibri" w:hAnsi="Rockwell" w:cs="Times New Roman"/>
          <w:sz w:val="26"/>
          <w:szCs w:val="26"/>
        </w:rPr>
        <w:t>le Capitaine Ibrahim Traoré</w:t>
      </w:r>
      <w:r>
        <w:rPr>
          <w:rFonts w:ascii="Rockwell" w:hAnsi="Rockwell" w:cs="Times New Roman"/>
          <w:sz w:val="26"/>
          <w:szCs w:val="26"/>
        </w:rPr>
        <w:t xml:space="preserve"> et le Premier ministre, </w:t>
      </w:r>
      <w:r>
        <w:rPr>
          <w:rFonts w:ascii="Rockwell" w:eastAsia="Calibri" w:hAnsi="Rockwell" w:cs="Times New Roman"/>
          <w:sz w:val="26"/>
          <w:szCs w:val="26"/>
        </w:rPr>
        <w:t xml:space="preserve">Maître Apollinaire </w:t>
      </w:r>
      <w:proofErr w:type="spellStart"/>
      <w:r>
        <w:rPr>
          <w:rFonts w:ascii="Rockwell" w:eastAsia="Calibri" w:hAnsi="Rockwell" w:cs="Times New Roman"/>
          <w:sz w:val="26"/>
          <w:szCs w:val="26"/>
        </w:rPr>
        <w:t>Joachimson</w:t>
      </w:r>
      <w:proofErr w:type="spellEnd"/>
      <w:r>
        <w:rPr>
          <w:rFonts w:ascii="Rockwell" w:eastAsia="Calibri" w:hAnsi="Rockwell" w:cs="Times New Roman"/>
          <w:sz w:val="26"/>
          <w:szCs w:val="26"/>
        </w:rPr>
        <w:t xml:space="preserve"> KYELEM de </w:t>
      </w:r>
      <w:proofErr w:type="spellStart"/>
      <w:r>
        <w:rPr>
          <w:rFonts w:ascii="Rockwell" w:eastAsia="Calibri" w:hAnsi="Rockwell" w:cs="Times New Roman"/>
          <w:sz w:val="26"/>
          <w:szCs w:val="26"/>
        </w:rPr>
        <w:t>Tambèla</w:t>
      </w:r>
      <w:proofErr w:type="spellEnd"/>
      <w:r>
        <w:rPr>
          <w:rFonts w:ascii="Rockwell" w:eastAsia="Calibri" w:hAnsi="Rockwell" w:cs="Times New Roman"/>
          <w:sz w:val="26"/>
          <w:szCs w:val="26"/>
        </w:rPr>
        <w:t>,</w:t>
      </w:r>
      <w:r>
        <w:rPr>
          <w:rFonts w:ascii="Rockwell" w:hAnsi="Rockwell" w:cs="Times New Roman"/>
          <w:sz w:val="26"/>
          <w:szCs w:val="26"/>
        </w:rPr>
        <w:t xml:space="preserve"> les Présidents des autres institutions républicaines, les autorités coutumières, religieuses et les personnes de ressources des différentes régions du pays.</w:t>
      </w:r>
    </w:p>
    <w:p w14:paraId="35BBE2B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noProof/>
          <w:sz w:val="26"/>
          <w:szCs w:val="26"/>
          <w:lang w:eastAsia="fr-FR"/>
        </w:rPr>
        <w:drawing>
          <wp:inline distT="0" distB="0" distL="0" distR="0" wp14:anchorId="6819C607" wp14:editId="3FCEF820">
            <wp:extent cx="5760720" cy="3840480"/>
            <wp:effectExtent l="0" t="0" r="0" b="7620"/>
            <wp:docPr id="50"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50"/>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03F604DE" w14:textId="77777777" w:rsidR="00733207" w:rsidRDefault="00912BAE">
      <w:pPr>
        <w:spacing w:before="120" w:after="120" w:line="360" w:lineRule="auto"/>
        <w:jc w:val="center"/>
        <w:rPr>
          <w:rFonts w:ascii="Rockwell" w:hAnsi="Rockwell" w:cs="Times New Roman"/>
          <w:i/>
          <w:sz w:val="18"/>
          <w:szCs w:val="18"/>
        </w:rPr>
      </w:pPr>
      <w:r>
        <w:rPr>
          <w:rFonts w:ascii="Rockwell" w:hAnsi="Rockwell" w:cs="Times New Roman"/>
          <w:i/>
          <w:sz w:val="18"/>
          <w:szCs w:val="18"/>
        </w:rPr>
        <w:t xml:space="preserve">Ici, avec Sa Majesté le Chef des Bobo </w:t>
      </w:r>
      <w:proofErr w:type="spellStart"/>
      <w:r>
        <w:rPr>
          <w:rFonts w:ascii="Rockwell" w:hAnsi="Rockwell" w:cs="Times New Roman"/>
          <w:i/>
          <w:sz w:val="18"/>
          <w:szCs w:val="18"/>
        </w:rPr>
        <w:t>Mandarès</w:t>
      </w:r>
      <w:proofErr w:type="spellEnd"/>
    </w:p>
    <w:p w14:paraId="10255F77" w14:textId="77777777" w:rsidR="00733207" w:rsidRDefault="00733207">
      <w:pPr>
        <w:spacing w:before="120" w:after="120" w:line="360" w:lineRule="auto"/>
        <w:jc w:val="both"/>
        <w:rPr>
          <w:rFonts w:ascii="Rockwell" w:hAnsi="Rockwell" w:cs="Times New Roman"/>
          <w:i/>
          <w:sz w:val="26"/>
          <w:szCs w:val="26"/>
        </w:rPr>
      </w:pPr>
    </w:p>
    <w:p w14:paraId="04CC0F28"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Cardinal Philippe OUEDRAOGO, Archevêque de Ouagadougou, le </w:t>
      </w:r>
      <w:r>
        <w:rPr>
          <w:rFonts w:ascii="Rockwell" w:eastAsia="Calibri" w:hAnsi="Rockwell" w:cs="Times New Roman"/>
          <w:sz w:val="26"/>
          <w:szCs w:val="26"/>
        </w:rPr>
        <w:t xml:space="preserve">Pasteur Mamadou Philippe KARAMBIRI, le </w:t>
      </w:r>
      <w:proofErr w:type="spellStart"/>
      <w:r>
        <w:rPr>
          <w:rFonts w:ascii="Rockwell" w:eastAsia="Calibri" w:hAnsi="Rockwell" w:cs="Times New Roman"/>
          <w:sz w:val="26"/>
          <w:szCs w:val="26"/>
        </w:rPr>
        <w:t>Mogho</w:t>
      </w:r>
      <w:proofErr w:type="spellEnd"/>
      <w:r>
        <w:rPr>
          <w:rFonts w:ascii="Rockwell" w:eastAsia="Calibri" w:hAnsi="Rockwell" w:cs="Times New Roman"/>
          <w:sz w:val="26"/>
          <w:szCs w:val="26"/>
        </w:rPr>
        <w:t xml:space="preserve"> Naaba </w:t>
      </w:r>
      <w:proofErr w:type="spellStart"/>
      <w:r>
        <w:rPr>
          <w:rFonts w:ascii="Rockwell" w:eastAsia="Calibri" w:hAnsi="Rockwell" w:cs="Times New Roman"/>
          <w:sz w:val="26"/>
          <w:szCs w:val="26"/>
        </w:rPr>
        <w:t>Bâongho</w:t>
      </w:r>
      <w:proofErr w:type="spellEnd"/>
      <w:r>
        <w:rPr>
          <w:rFonts w:ascii="Rockwell" w:eastAsia="Calibri" w:hAnsi="Rockwell" w:cs="Times New Roman"/>
          <w:sz w:val="26"/>
          <w:szCs w:val="26"/>
        </w:rPr>
        <w:t xml:space="preserve">, le Cheick Aboubacar DOUKOURE, le Pasteur Henri YE ont, quant à eux, </w:t>
      </w:r>
      <w:r>
        <w:rPr>
          <w:rFonts w:ascii="Rockwell" w:hAnsi="Rockwell" w:cs="Times New Roman"/>
          <w:sz w:val="26"/>
          <w:szCs w:val="26"/>
        </w:rPr>
        <w:t xml:space="preserve">assuré de leur </w:t>
      </w:r>
      <w:r>
        <w:rPr>
          <w:rFonts w:ascii="Rockwell" w:hAnsi="Rockwell" w:cs="Times New Roman"/>
          <w:sz w:val="26"/>
          <w:szCs w:val="26"/>
        </w:rPr>
        <w:lastRenderedPageBreak/>
        <w:t xml:space="preserve">disponibilité à accompagner le CSC dans toute action visant le bien-être des communautés. </w:t>
      </w:r>
    </w:p>
    <w:p w14:paraId="236E2A7B" w14:textId="77777777" w:rsidR="00733207" w:rsidRDefault="00733207">
      <w:pPr>
        <w:spacing w:before="120" w:after="120" w:line="360" w:lineRule="auto"/>
        <w:jc w:val="both"/>
        <w:rPr>
          <w:rFonts w:ascii="Rockwell" w:hAnsi="Rockwell" w:cs="Times New Roman"/>
          <w:sz w:val="10"/>
          <w:szCs w:val="10"/>
        </w:rPr>
      </w:pPr>
    </w:p>
    <w:p w14:paraId="546065F5" w14:textId="52B82AC7" w:rsidR="00733207" w:rsidRDefault="00912BAE">
      <w:pPr>
        <w:pStyle w:val="Titre4"/>
        <w:spacing w:before="120" w:after="120" w:line="360" w:lineRule="auto"/>
        <w:jc w:val="center"/>
        <w:rPr>
          <w:rFonts w:ascii="Rockwell" w:hAnsi="Rockwell"/>
          <w:b/>
          <w:i w:val="0"/>
          <w:color w:val="auto"/>
          <w:sz w:val="28"/>
          <w:szCs w:val="28"/>
        </w:rPr>
      </w:pPr>
      <w:bookmarkStart w:id="69" w:name="_Toc169855095"/>
      <w:bookmarkStart w:id="70" w:name="_Toc175128434"/>
      <w:r>
        <w:rPr>
          <w:rFonts w:ascii="Rockwell" w:hAnsi="Rockwell"/>
          <w:b/>
          <w:i w:val="0"/>
          <w:color w:val="auto"/>
          <w:sz w:val="28"/>
          <w:szCs w:val="28"/>
        </w:rPr>
        <w:t xml:space="preserve">Paragraphe 3 : </w:t>
      </w:r>
      <w:r w:rsidR="00FD681A">
        <w:rPr>
          <w:rFonts w:ascii="Rockwell" w:hAnsi="Rockwell"/>
          <w:b/>
          <w:i w:val="0"/>
          <w:color w:val="auto"/>
          <w:sz w:val="28"/>
          <w:szCs w:val="28"/>
        </w:rPr>
        <w:t xml:space="preserve">Mise </w:t>
      </w:r>
      <w:r>
        <w:rPr>
          <w:rFonts w:ascii="Rockwell" w:hAnsi="Rockwell"/>
          <w:b/>
          <w:i w:val="0"/>
          <w:color w:val="auto"/>
          <w:sz w:val="28"/>
          <w:szCs w:val="28"/>
        </w:rPr>
        <w:t>en œuvre de la vision</w:t>
      </w:r>
      <w:bookmarkEnd w:id="69"/>
      <w:bookmarkEnd w:id="70"/>
    </w:p>
    <w:p w14:paraId="11344777" w14:textId="77777777" w:rsidR="00733207" w:rsidRDefault="00733207">
      <w:pPr>
        <w:jc w:val="both"/>
        <w:rPr>
          <w:rFonts w:ascii="Rockwell" w:hAnsi="Rockwell"/>
          <w:sz w:val="10"/>
          <w:szCs w:val="10"/>
        </w:rPr>
      </w:pPr>
    </w:p>
    <w:p w14:paraId="1DA66372" w14:textId="77777777" w:rsidR="00733207" w:rsidRDefault="00912BAE">
      <w:pPr>
        <w:pStyle w:val="Titre5"/>
        <w:spacing w:before="120" w:after="120" w:line="360" w:lineRule="auto"/>
        <w:jc w:val="center"/>
        <w:rPr>
          <w:rFonts w:ascii="Rockwell" w:hAnsi="Rockwell"/>
          <w:i w:val="0"/>
          <w:color w:val="auto"/>
          <w:sz w:val="26"/>
          <w:szCs w:val="26"/>
        </w:rPr>
      </w:pPr>
      <w:bookmarkStart w:id="71" w:name="_Toc169855096"/>
      <w:bookmarkStart w:id="72" w:name="_Toc175128435"/>
      <w:r>
        <w:rPr>
          <w:rFonts w:ascii="Rockwell" w:hAnsi="Rockwell"/>
          <w:i w:val="0"/>
          <w:color w:val="auto"/>
          <w:sz w:val="26"/>
          <w:szCs w:val="26"/>
        </w:rPr>
        <w:t>3.1</w:t>
      </w:r>
      <w:r>
        <w:rPr>
          <w:rFonts w:ascii="Rockwell" w:hAnsi="Rockwell"/>
          <w:color w:val="auto"/>
          <w:sz w:val="26"/>
          <w:szCs w:val="26"/>
        </w:rPr>
        <w:t xml:space="preserve">. </w:t>
      </w:r>
      <w:r>
        <w:rPr>
          <w:rFonts w:ascii="Rockwell" w:hAnsi="Rockwell"/>
          <w:i w:val="0"/>
          <w:color w:val="auto"/>
          <w:sz w:val="26"/>
          <w:szCs w:val="26"/>
        </w:rPr>
        <w:t>Conception et adoption des quatre instruments</w:t>
      </w:r>
      <w:bookmarkStart w:id="73" w:name="_Toc141088558"/>
      <w:bookmarkEnd w:id="71"/>
      <w:bookmarkEnd w:id="72"/>
    </w:p>
    <w:p w14:paraId="1341BD45" w14:textId="77777777" w:rsidR="00733207" w:rsidRDefault="00733207">
      <w:pPr>
        <w:jc w:val="both"/>
        <w:rPr>
          <w:rFonts w:ascii="Rockwell" w:hAnsi="Rockwell"/>
          <w:sz w:val="6"/>
          <w:szCs w:val="6"/>
        </w:rPr>
      </w:pPr>
    </w:p>
    <w:p w14:paraId="5C06C406"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Les actions de sensibilisation des acteurs médiatiques et des citoyens se sont faites à travers la conception et la vulgarisation de quatre instruments. Il s’agit :</w:t>
      </w:r>
    </w:p>
    <w:p w14:paraId="0A9B10B8" w14:textId="77777777" w:rsidR="00733207" w:rsidRDefault="00912BAE">
      <w:pPr>
        <w:pStyle w:val="Paragraphedeliste"/>
        <w:numPr>
          <w:ilvl w:val="0"/>
          <w:numId w:val="5"/>
        </w:numPr>
        <w:spacing w:before="120" w:after="120" w:line="360" w:lineRule="auto"/>
        <w:jc w:val="both"/>
        <w:rPr>
          <w:rFonts w:ascii="Rockwell" w:hAnsi="Rockwell" w:cs="Times New Roman"/>
          <w:sz w:val="26"/>
          <w:szCs w:val="26"/>
        </w:rPr>
      </w:pPr>
      <w:r>
        <w:rPr>
          <w:rFonts w:ascii="Rockwell" w:hAnsi="Rockwell" w:cs="Times New Roman"/>
          <w:sz w:val="26"/>
          <w:szCs w:val="26"/>
        </w:rPr>
        <w:t>« Des dix (10) conseils aux citoyens burkinabè pour des comportements responsables sur les réseaux sociaux et dans les émissions d’expression directe ;</w:t>
      </w:r>
    </w:p>
    <w:p w14:paraId="79DD23F4" w14:textId="77777777" w:rsidR="00733207" w:rsidRDefault="00912BAE">
      <w:pPr>
        <w:pStyle w:val="Paragraphedeliste"/>
        <w:numPr>
          <w:ilvl w:val="0"/>
          <w:numId w:val="5"/>
        </w:numPr>
        <w:spacing w:before="120" w:after="120" w:line="360" w:lineRule="auto"/>
        <w:jc w:val="both"/>
        <w:rPr>
          <w:rFonts w:ascii="Rockwell" w:hAnsi="Rockwell" w:cs="Times New Roman"/>
          <w:sz w:val="26"/>
          <w:szCs w:val="26"/>
        </w:rPr>
      </w:pPr>
      <w:r>
        <w:rPr>
          <w:rFonts w:ascii="Rockwell" w:hAnsi="Rockwell" w:cs="Times New Roman"/>
          <w:sz w:val="26"/>
          <w:szCs w:val="26"/>
        </w:rPr>
        <w:t>« Les sept (07) points d’attention à l’endroit des responsables des médias et des journalistes » ;</w:t>
      </w:r>
    </w:p>
    <w:p w14:paraId="33B941ED" w14:textId="77777777" w:rsidR="00733207" w:rsidRDefault="00912BAE">
      <w:pPr>
        <w:pStyle w:val="Paragraphedeliste"/>
        <w:numPr>
          <w:ilvl w:val="0"/>
          <w:numId w:val="5"/>
        </w:numPr>
        <w:spacing w:before="120" w:after="120" w:line="360" w:lineRule="auto"/>
        <w:jc w:val="both"/>
        <w:rPr>
          <w:rFonts w:ascii="Rockwell" w:hAnsi="Rockwell" w:cs="Times New Roman"/>
          <w:sz w:val="26"/>
          <w:szCs w:val="26"/>
        </w:rPr>
      </w:pPr>
      <w:r>
        <w:rPr>
          <w:rFonts w:ascii="Rockwell" w:hAnsi="Rockwell" w:cs="Times New Roman"/>
          <w:sz w:val="26"/>
          <w:szCs w:val="26"/>
        </w:rPr>
        <w:t>« Le Guide de gestion des émissions à caractère confessionnel dans les médias non confessionnels » ;</w:t>
      </w:r>
    </w:p>
    <w:p w14:paraId="6522E55B" w14:textId="77777777" w:rsidR="00733207" w:rsidRDefault="00912BAE">
      <w:pPr>
        <w:pStyle w:val="Paragraphedeliste"/>
        <w:numPr>
          <w:ilvl w:val="0"/>
          <w:numId w:val="5"/>
        </w:numPr>
        <w:spacing w:before="120" w:after="120" w:line="360" w:lineRule="auto"/>
        <w:jc w:val="both"/>
        <w:rPr>
          <w:rFonts w:ascii="Rockwell" w:hAnsi="Rockwell" w:cs="Times New Roman"/>
          <w:sz w:val="26"/>
          <w:szCs w:val="26"/>
        </w:rPr>
      </w:pPr>
      <w:r>
        <w:rPr>
          <w:rFonts w:ascii="Rockwell" w:hAnsi="Rockwell" w:cs="Times New Roman"/>
          <w:sz w:val="26"/>
          <w:szCs w:val="26"/>
        </w:rPr>
        <w:t>« La Charte de bonne conduite des médias confessionnels dans un contexte de crise sécuritaire et de tension sociale ».</w:t>
      </w:r>
    </w:p>
    <w:p w14:paraId="06C5C01C" w14:textId="77777777" w:rsidR="00733207" w:rsidRDefault="00733207">
      <w:pPr>
        <w:pStyle w:val="Paragraphedeliste"/>
        <w:spacing w:before="120" w:after="120" w:line="360" w:lineRule="auto"/>
        <w:jc w:val="both"/>
        <w:rPr>
          <w:rFonts w:ascii="Rockwell" w:hAnsi="Rockwell" w:cs="Times New Roman"/>
          <w:sz w:val="26"/>
          <w:szCs w:val="26"/>
        </w:rPr>
      </w:pPr>
    </w:p>
    <w:p w14:paraId="6B67A2CC" w14:textId="77777777" w:rsidR="00733207" w:rsidRDefault="00912BAE">
      <w:pPr>
        <w:pStyle w:val="Titre6"/>
        <w:spacing w:before="120" w:after="120" w:line="240" w:lineRule="auto"/>
        <w:jc w:val="center"/>
        <w:rPr>
          <w:rFonts w:ascii="Rockwell" w:hAnsi="Rockwell"/>
          <w:b/>
          <w:color w:val="auto"/>
          <w:sz w:val="26"/>
          <w:szCs w:val="26"/>
        </w:rPr>
      </w:pPr>
      <w:bookmarkStart w:id="74" w:name="_Toc169855097"/>
      <w:bookmarkStart w:id="75" w:name="_Toc175128436"/>
      <w:r>
        <w:rPr>
          <w:rFonts w:ascii="Rockwell" w:hAnsi="Rockwell"/>
          <w:b/>
          <w:i/>
          <w:color w:val="auto"/>
          <w:sz w:val="26"/>
          <w:szCs w:val="26"/>
        </w:rPr>
        <w:t>3.1.1</w:t>
      </w:r>
      <w:r>
        <w:rPr>
          <w:rFonts w:ascii="Rockwell" w:hAnsi="Rockwell"/>
          <w:b/>
          <w:sz w:val="26"/>
          <w:szCs w:val="26"/>
        </w:rPr>
        <w:t xml:space="preserve">.  </w:t>
      </w:r>
      <w:r>
        <w:rPr>
          <w:rFonts w:ascii="Rockwell" w:hAnsi="Rockwell"/>
          <w:b/>
          <w:i/>
          <w:color w:val="auto"/>
          <w:sz w:val="26"/>
          <w:szCs w:val="26"/>
        </w:rPr>
        <w:t>Adoption des dix (10) conseils pour des comportements responsables sur les réseaux sociaux et dans les émissions d’expression directe dans le contexte de crise sécuritaire et de tension sociale</w:t>
      </w:r>
      <w:bookmarkEnd w:id="73"/>
      <w:bookmarkEnd w:id="74"/>
      <w:bookmarkEnd w:id="75"/>
    </w:p>
    <w:p w14:paraId="01DD67E5" w14:textId="77777777" w:rsidR="00733207" w:rsidRDefault="00733207">
      <w:pPr>
        <w:spacing w:before="120" w:after="120" w:line="360" w:lineRule="auto"/>
        <w:jc w:val="both"/>
        <w:rPr>
          <w:rFonts w:ascii="Rockwell" w:hAnsi="Rockwell"/>
          <w:sz w:val="10"/>
          <w:szCs w:val="10"/>
        </w:rPr>
      </w:pPr>
    </w:p>
    <w:p w14:paraId="25E7725E"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Pendant que le paysage audiovisuel burkinabè s’est enrichi et diversifié ces dernières années, l’on a également assisté au développement vertigineux des médias sociaux, de plus en plus accessibles à un grand nombre de nos populations, rendant complexe le contrôle des flux d’informations. Si les réseaux sociaux présentent des avantages certains, on observe malheureusement aujourd’hui la diffusion et la propagation de fausses nouvelles, d’informations appelant à la haine, à la stigmatisation et de </w:t>
      </w:r>
      <w:r>
        <w:rPr>
          <w:rFonts w:ascii="Rockwell" w:hAnsi="Rockwell" w:cs="Times New Roman"/>
          <w:sz w:val="26"/>
          <w:szCs w:val="26"/>
        </w:rPr>
        <w:lastRenderedPageBreak/>
        <w:t xml:space="preserve">nouvelles susceptibles de saper les actions de l’autorité, dans le contexte difficile de notre pays. </w:t>
      </w:r>
    </w:p>
    <w:p w14:paraId="3B1B402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 réponse à cette préoccupation, le CSC a adopté et entrepris la vulgarisation des « dix (10) conseils pour des comportements responsables sur les réseaux sociaux et dans les émissions d’expression directe ».</w:t>
      </w:r>
    </w:p>
    <w:p w14:paraId="1F78743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noProof/>
          <w:sz w:val="26"/>
          <w:szCs w:val="26"/>
          <w:lang w:eastAsia="fr-FR"/>
        </w:rPr>
        <w:drawing>
          <wp:inline distT="0" distB="0" distL="0" distR="0" wp14:anchorId="0211A797" wp14:editId="7A56F5AA">
            <wp:extent cx="5760720" cy="3840480"/>
            <wp:effectExtent l="0" t="0" r="0" b="7620"/>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48"/>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r>
        <w:rPr>
          <w:rFonts w:ascii="Rockwell" w:hAnsi="Rockwell" w:cs="Times New Roman"/>
          <w:sz w:val="26"/>
          <w:szCs w:val="26"/>
        </w:rPr>
        <w:t xml:space="preserve"> </w:t>
      </w:r>
    </w:p>
    <w:p w14:paraId="6B0EC189" w14:textId="77777777" w:rsidR="00733207" w:rsidRDefault="00912BAE">
      <w:pPr>
        <w:spacing w:after="0" w:line="240" w:lineRule="auto"/>
        <w:jc w:val="center"/>
        <w:rPr>
          <w:rFonts w:ascii="Rockwell" w:hAnsi="Rockwell" w:cs="Times New Roman"/>
          <w:i/>
          <w:sz w:val="18"/>
          <w:szCs w:val="18"/>
        </w:rPr>
      </w:pPr>
      <w:r>
        <w:rPr>
          <w:rFonts w:ascii="Rockwell" w:hAnsi="Rockwell" w:cs="Times New Roman"/>
          <w:i/>
          <w:sz w:val="18"/>
          <w:szCs w:val="18"/>
        </w:rPr>
        <w:t>Le Président BAMOGO remettant un tableau contenant les 10 conseils à Madame</w:t>
      </w:r>
    </w:p>
    <w:p w14:paraId="30238C06" w14:textId="77777777" w:rsidR="00733207" w:rsidRDefault="00912BAE">
      <w:pPr>
        <w:spacing w:after="0" w:line="240" w:lineRule="auto"/>
        <w:jc w:val="center"/>
        <w:rPr>
          <w:rFonts w:ascii="Rockwell" w:hAnsi="Rockwell" w:cs="Times New Roman"/>
          <w:i/>
          <w:sz w:val="18"/>
          <w:szCs w:val="18"/>
        </w:rPr>
      </w:pPr>
      <w:proofErr w:type="gramStart"/>
      <w:r>
        <w:rPr>
          <w:rFonts w:ascii="Rockwell" w:hAnsi="Rockwell" w:cs="Times New Roman"/>
          <w:i/>
          <w:sz w:val="18"/>
          <w:szCs w:val="18"/>
        </w:rPr>
        <w:t>le</w:t>
      </w:r>
      <w:proofErr w:type="gramEnd"/>
      <w:r>
        <w:rPr>
          <w:rFonts w:ascii="Rockwell" w:hAnsi="Rockwell" w:cs="Times New Roman"/>
          <w:i/>
          <w:sz w:val="18"/>
          <w:szCs w:val="18"/>
        </w:rPr>
        <w:t xml:space="preserve"> Médiateur du Faso</w:t>
      </w:r>
    </w:p>
    <w:p w14:paraId="5EBF8158" w14:textId="77777777" w:rsidR="00733207" w:rsidRDefault="00733207">
      <w:pPr>
        <w:spacing w:before="120" w:after="120" w:line="360" w:lineRule="auto"/>
        <w:jc w:val="center"/>
        <w:rPr>
          <w:rFonts w:ascii="Rockwell" w:hAnsi="Rockwell" w:cs="Times New Roman"/>
          <w:i/>
          <w:sz w:val="18"/>
          <w:szCs w:val="18"/>
        </w:rPr>
      </w:pPr>
    </w:p>
    <w:p w14:paraId="73D1EB8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Les dix (10) conseils invitent, entre autres, les citoyens à s’exprimer toujours avec honnêteté, à faire preuve de bon sens et d’esprit critique, à ne pas relayer les messages de sources douteuses, à éviter les discriminations ou stigmatisations basées sur la race, l’ethnie, la région, la religion ou le sexe, à éviter les messages de haine ou de violence, à la vérification des informations, au respect de la loi, etc.</w:t>
      </w:r>
    </w:p>
    <w:p w14:paraId="57457CB9" w14:textId="77777777" w:rsidR="00733207" w:rsidRDefault="00733207">
      <w:pPr>
        <w:spacing w:before="120" w:after="120" w:line="360" w:lineRule="auto"/>
        <w:jc w:val="both"/>
        <w:rPr>
          <w:rFonts w:ascii="Rockwell" w:hAnsi="Rockwell" w:cs="Times New Roman"/>
          <w:sz w:val="26"/>
          <w:szCs w:val="26"/>
        </w:rPr>
      </w:pPr>
    </w:p>
    <w:p w14:paraId="1FCEA797" w14:textId="77777777" w:rsidR="00733207" w:rsidRDefault="00912BAE">
      <w:pPr>
        <w:pStyle w:val="Titre6"/>
        <w:spacing w:before="120" w:after="120" w:line="240" w:lineRule="auto"/>
        <w:jc w:val="center"/>
        <w:rPr>
          <w:rFonts w:ascii="Rockwell" w:hAnsi="Rockwell"/>
          <w:b/>
          <w:i/>
          <w:color w:val="auto"/>
          <w:sz w:val="26"/>
          <w:szCs w:val="26"/>
        </w:rPr>
      </w:pPr>
      <w:bookmarkStart w:id="76" w:name="_Toc141088559"/>
      <w:bookmarkStart w:id="77" w:name="_Toc175128437"/>
      <w:bookmarkStart w:id="78" w:name="_Toc169855098"/>
      <w:r>
        <w:rPr>
          <w:rStyle w:val="Titre4Car"/>
          <w:rFonts w:ascii="Rockwell" w:hAnsi="Rockwell"/>
          <w:b/>
          <w:i w:val="0"/>
          <w:iCs w:val="0"/>
          <w:color w:val="auto"/>
          <w:sz w:val="26"/>
          <w:szCs w:val="26"/>
        </w:rPr>
        <w:lastRenderedPageBreak/>
        <w:t xml:space="preserve">3.1.2. </w:t>
      </w:r>
      <w:r>
        <w:rPr>
          <w:rFonts w:ascii="Rockwell" w:hAnsi="Rockwell"/>
          <w:b/>
          <w:i/>
          <w:color w:val="auto"/>
          <w:sz w:val="26"/>
          <w:szCs w:val="26"/>
        </w:rPr>
        <w:t xml:space="preserve">Adoption des sept (07) points de vigilance des médias et des journalistes, dans le contexte de crise sécuritaire, de tensions sociales et de transition </w:t>
      </w:r>
      <w:bookmarkEnd w:id="76"/>
      <w:r>
        <w:rPr>
          <w:rFonts w:ascii="Rockwell" w:hAnsi="Rockwell"/>
          <w:b/>
          <w:i/>
          <w:color w:val="auto"/>
          <w:sz w:val="26"/>
          <w:szCs w:val="26"/>
        </w:rPr>
        <w:t>politique</w:t>
      </w:r>
      <w:bookmarkEnd w:id="77"/>
      <w:bookmarkEnd w:id="78"/>
    </w:p>
    <w:p w14:paraId="56001249" w14:textId="77777777" w:rsidR="00733207" w:rsidRDefault="00733207">
      <w:pPr>
        <w:spacing w:before="120" w:after="120" w:line="360" w:lineRule="auto"/>
        <w:jc w:val="both"/>
        <w:rPr>
          <w:rFonts w:ascii="Rockwell" w:hAnsi="Rockwell"/>
          <w:sz w:val="10"/>
          <w:szCs w:val="10"/>
        </w:rPr>
      </w:pPr>
    </w:p>
    <w:p w14:paraId="00576DF4" w14:textId="10E8C6AE"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Dans le contexte de crise sécuritaire, le CSC a </w:t>
      </w:r>
      <w:r w:rsidR="00FD681A">
        <w:rPr>
          <w:rFonts w:ascii="Rockwell" w:hAnsi="Rockwell" w:cs="Times New Roman"/>
          <w:sz w:val="26"/>
          <w:szCs w:val="26"/>
        </w:rPr>
        <w:t>identifié cinq</w:t>
      </w:r>
      <w:r>
        <w:rPr>
          <w:rFonts w:ascii="Rockwell" w:hAnsi="Rockwell" w:cs="Times New Roman"/>
          <w:sz w:val="26"/>
          <w:szCs w:val="26"/>
        </w:rPr>
        <w:t xml:space="preserve"> (05) enjeux majeurs :</w:t>
      </w:r>
    </w:p>
    <w:p w14:paraId="3521E390" w14:textId="77777777" w:rsidR="00733207" w:rsidRDefault="00912BAE">
      <w:pPr>
        <w:numPr>
          <w:ilvl w:val="0"/>
          <w:numId w:val="6"/>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favoriser</w:t>
      </w:r>
      <w:proofErr w:type="gramEnd"/>
      <w:r>
        <w:rPr>
          <w:rFonts w:ascii="Rockwell" w:hAnsi="Rockwell" w:cs="Times New Roman"/>
          <w:sz w:val="26"/>
          <w:szCs w:val="26"/>
        </w:rPr>
        <w:t xml:space="preserve"> la sortie rapide de crise ;</w:t>
      </w:r>
    </w:p>
    <w:p w14:paraId="7023CE72" w14:textId="77777777" w:rsidR="00733207" w:rsidRDefault="00912BAE">
      <w:pPr>
        <w:numPr>
          <w:ilvl w:val="0"/>
          <w:numId w:val="6"/>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éviter</w:t>
      </w:r>
      <w:proofErr w:type="gramEnd"/>
      <w:r>
        <w:rPr>
          <w:rFonts w:ascii="Rockwell" w:hAnsi="Rockwell" w:cs="Times New Roman"/>
          <w:sz w:val="26"/>
          <w:szCs w:val="26"/>
        </w:rPr>
        <w:t xml:space="preserve"> que l’activité des médias serve la cause des ennemis du Faso ;</w:t>
      </w:r>
    </w:p>
    <w:p w14:paraId="28B3F06A" w14:textId="77777777" w:rsidR="00733207" w:rsidRDefault="00912BAE">
      <w:pPr>
        <w:numPr>
          <w:ilvl w:val="0"/>
          <w:numId w:val="6"/>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se</w:t>
      </w:r>
      <w:proofErr w:type="gramEnd"/>
      <w:r>
        <w:rPr>
          <w:rFonts w:ascii="Rockwell" w:hAnsi="Rockwell" w:cs="Times New Roman"/>
          <w:sz w:val="26"/>
          <w:szCs w:val="26"/>
        </w:rPr>
        <w:t xml:space="preserve"> prémunir des accusations d’être de connivence avec les ennemis du Faso ; </w:t>
      </w:r>
    </w:p>
    <w:p w14:paraId="1A1AD5DF" w14:textId="77777777" w:rsidR="00733207" w:rsidRDefault="00912BAE">
      <w:pPr>
        <w:numPr>
          <w:ilvl w:val="0"/>
          <w:numId w:val="6"/>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sauvegarder</w:t>
      </w:r>
      <w:proofErr w:type="gramEnd"/>
      <w:r>
        <w:rPr>
          <w:rFonts w:ascii="Rockwell" w:hAnsi="Rockwell" w:cs="Times New Roman"/>
          <w:sz w:val="26"/>
          <w:szCs w:val="26"/>
        </w:rPr>
        <w:t xml:space="preserve"> la réputation des médias, en tant qu’acteurs impliqués dans la lutte contre le terrorisme ;</w:t>
      </w:r>
    </w:p>
    <w:p w14:paraId="128B8ACE" w14:textId="77777777" w:rsidR="00733207" w:rsidRDefault="00912BAE">
      <w:pPr>
        <w:numPr>
          <w:ilvl w:val="0"/>
          <w:numId w:val="6"/>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instaurer</w:t>
      </w:r>
      <w:proofErr w:type="gramEnd"/>
      <w:r>
        <w:rPr>
          <w:rFonts w:ascii="Rockwell" w:hAnsi="Rockwell" w:cs="Times New Roman"/>
          <w:sz w:val="26"/>
          <w:szCs w:val="26"/>
        </w:rPr>
        <w:t xml:space="preserve"> des rapports de confiance entre les acteurs médiatiques, l’Exécutif et l’opinion publique nationale.</w:t>
      </w:r>
    </w:p>
    <w:p w14:paraId="0E58BC8F"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C'est dans cette logique que le CSC a élaboré les sept (07) points d'attention destinés aux acteurs médiatiques pour une meilleure prise en compte de la responsabilité sociale des médias et des journalistes dans un contexte de crise sécuritaire et de tension sociale. L’objectif ultime étant </w:t>
      </w:r>
      <w:r>
        <w:rPr>
          <w:rFonts w:ascii="Rockwell" w:eastAsia="Times New Roman" w:hAnsi="Rockwell" w:cs="Times New Roman"/>
          <w:sz w:val="26"/>
          <w:szCs w:val="26"/>
          <w:lang w:eastAsia="fr-FR"/>
        </w:rPr>
        <w:t xml:space="preserve">de partager ou de rappeler de bons procédés, qui permettront de </w:t>
      </w:r>
      <w:r>
        <w:rPr>
          <w:rFonts w:ascii="Rockwell" w:hAnsi="Rockwell" w:cs="Times New Roman"/>
          <w:sz w:val="26"/>
          <w:szCs w:val="26"/>
        </w:rPr>
        <w:t xml:space="preserve">converger vers le but recherché, aussi bien par les autorités que par l’ensemble des populations : celui de gagner la guerre et de retrouver rapidement la paix. </w:t>
      </w:r>
    </w:p>
    <w:p w14:paraId="7D466481" w14:textId="77777777" w:rsidR="00733207" w:rsidRDefault="00912BAE">
      <w:pPr>
        <w:spacing w:before="120" w:after="120" w:line="360" w:lineRule="auto"/>
        <w:jc w:val="both"/>
        <w:rPr>
          <w:rFonts w:ascii="Rockwell" w:hAnsi="Rockwell" w:cs="Times New Roman"/>
          <w:bCs/>
          <w:sz w:val="26"/>
          <w:szCs w:val="26"/>
        </w:rPr>
      </w:pPr>
      <w:r>
        <w:rPr>
          <w:rFonts w:ascii="Rockwell" w:hAnsi="Rockwell" w:cs="Times New Roman"/>
          <w:sz w:val="26"/>
          <w:szCs w:val="26"/>
        </w:rPr>
        <w:t xml:space="preserve">Sur les sept (07) points de vigilance, quatre (04) sont adressés aux médias et les trois (03) autres aux journalistes. </w:t>
      </w:r>
      <w:r>
        <w:rPr>
          <w:rFonts w:ascii="Rockwell" w:hAnsi="Rockwell" w:cs="Times New Roman"/>
          <w:bCs/>
          <w:sz w:val="26"/>
          <w:szCs w:val="26"/>
        </w:rPr>
        <w:t xml:space="preserve">Le CSC exhorte les médias à contribuer au renforcement de l'unité de la nation, à la motivation des forces combattantes nationales, </w:t>
      </w:r>
      <w:r>
        <w:rPr>
          <w:rFonts w:ascii="Rockwell" w:hAnsi="Rockwell" w:cs="Times New Roman"/>
          <w:sz w:val="26"/>
          <w:szCs w:val="26"/>
        </w:rPr>
        <w:t>à la résilience du peuple burkinabè, et à m</w:t>
      </w:r>
      <w:r>
        <w:rPr>
          <w:rFonts w:ascii="Rockwell" w:hAnsi="Rockwell" w:cs="Times New Roman"/>
          <w:bCs/>
          <w:sz w:val="26"/>
          <w:szCs w:val="26"/>
        </w:rPr>
        <w:t xml:space="preserve">ettre en place des cadres formels de discussion et de validation des informations liées à la crise sécuritaire au sein de leur rédaction. </w:t>
      </w:r>
    </w:p>
    <w:p w14:paraId="108AAFAA"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bCs/>
          <w:sz w:val="26"/>
          <w:szCs w:val="26"/>
        </w:rPr>
        <w:t>A l’endroit des journalistes, l’instance de régulation les a invités à é</w:t>
      </w:r>
      <w:r>
        <w:rPr>
          <w:rFonts w:ascii="Rockwell" w:hAnsi="Rockwell" w:cs="Times New Roman"/>
          <w:sz w:val="26"/>
          <w:szCs w:val="26"/>
        </w:rPr>
        <w:t xml:space="preserve">viter la publication ou la diffusion d’informations de nature à nuire à l'intérêt général. </w:t>
      </w:r>
    </w:p>
    <w:p w14:paraId="3381B78B" w14:textId="77777777" w:rsidR="00733207" w:rsidRDefault="00733207">
      <w:pPr>
        <w:spacing w:before="120" w:after="120" w:line="360" w:lineRule="auto"/>
        <w:jc w:val="both"/>
        <w:rPr>
          <w:rFonts w:ascii="Rockwell" w:hAnsi="Rockwell" w:cs="Times New Roman"/>
          <w:sz w:val="26"/>
          <w:szCs w:val="26"/>
        </w:rPr>
      </w:pPr>
    </w:p>
    <w:p w14:paraId="126B1E79" w14:textId="77777777" w:rsidR="00733207" w:rsidRDefault="00912BAE">
      <w:pPr>
        <w:pStyle w:val="Titre6"/>
        <w:spacing w:before="120" w:after="120" w:line="240" w:lineRule="auto"/>
        <w:jc w:val="center"/>
        <w:rPr>
          <w:rFonts w:ascii="Rockwell" w:hAnsi="Rockwell"/>
          <w:b/>
          <w:i/>
          <w:color w:val="auto"/>
          <w:sz w:val="26"/>
          <w:szCs w:val="26"/>
        </w:rPr>
      </w:pPr>
      <w:bookmarkStart w:id="79" w:name="_Toc169855099"/>
      <w:bookmarkStart w:id="80" w:name="_Toc175128438"/>
      <w:bookmarkStart w:id="81" w:name="_Toc141088560"/>
      <w:r>
        <w:rPr>
          <w:rFonts w:ascii="Rockwell" w:hAnsi="Rockwell"/>
          <w:b/>
          <w:i/>
          <w:color w:val="auto"/>
          <w:sz w:val="26"/>
          <w:szCs w:val="26"/>
        </w:rPr>
        <w:t>3.1.3.  Adoption du Guide et de la Charte de gestion des émissions à caractère confessionnel dans le contexte de crise sécuritaire, de tension sociale et de transition politique</w:t>
      </w:r>
      <w:bookmarkEnd w:id="79"/>
      <w:bookmarkEnd w:id="80"/>
      <w:bookmarkEnd w:id="81"/>
    </w:p>
    <w:p w14:paraId="327CCCAB" w14:textId="77777777" w:rsidR="00733207" w:rsidRDefault="00733207">
      <w:pPr>
        <w:spacing w:before="120" w:after="120" w:line="360" w:lineRule="auto"/>
        <w:jc w:val="both"/>
        <w:rPr>
          <w:rFonts w:ascii="Rockwell" w:hAnsi="Rockwell"/>
          <w:sz w:val="10"/>
          <w:szCs w:val="10"/>
        </w:rPr>
      </w:pPr>
    </w:p>
    <w:p w14:paraId="78C4853F"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Les tensions induites par la crise sécuritaire menacent la cohésion sociale et le vivre-ensemble harmonieux des populations de notre pays. La crise a rendu délicate toute prise de parole dans l’espace public, surtout quand elle porte sur des questions sensibles comme celles liées à l’appartenance ethnique et à la religion. Le moindre dérapage pouvant être source de grands dommages, toute parole, dans ce contexte, doit être prudente, mesurée et responsable. </w:t>
      </w:r>
    </w:p>
    <w:p w14:paraId="2638CCE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C’est pourquoi, il est apparu judicieux pour le CSC, de réfléchir sur la place et le rôle du discours à caractère confessionnel dans l’espace médiatique, afin qu’il soit facteur de rapprochement, d’écoute, de dialogue, d’apaisement, de compréhension, d’entente, d’union, de construction d’une conscience nationale consolidée, de solidarité agissante et de capacité de notre pays à faire face à l’adversité.</w:t>
      </w:r>
    </w:p>
    <w:p w14:paraId="6C18AB7A"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Pour y parvenir, le CSC et l’Observatoire national des faits religieux (ONAFAR) ont mis en œuvre un projet portant sur la contribution des médias et des émissions confessionnelles à la cohésion sociale et à la paix dans le contexte de crise. Les concertations et discussions que les deux (02) structures ont menées avec les principales confessions religieuses et les premiers responsables des médias confessionnels ont abouti à la nécessité d’élaborer une charte et un guide. </w:t>
      </w:r>
    </w:p>
    <w:p w14:paraId="09775C1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Quatre (04) principaux objectifs étaient visés :</w:t>
      </w:r>
    </w:p>
    <w:p w14:paraId="4313854A" w14:textId="77777777" w:rsidR="00733207" w:rsidRDefault="00912BAE">
      <w:pPr>
        <w:pStyle w:val="Paragraphedeliste"/>
        <w:numPr>
          <w:ilvl w:val="0"/>
          <w:numId w:val="7"/>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renforcer</w:t>
      </w:r>
      <w:proofErr w:type="gramEnd"/>
      <w:r>
        <w:rPr>
          <w:rFonts w:ascii="Rockwell" w:hAnsi="Rockwell" w:cs="Times New Roman"/>
          <w:sz w:val="26"/>
          <w:szCs w:val="26"/>
        </w:rPr>
        <w:t xml:space="preserve"> la vigilance des acteurs impliqués dans les activités des médias confessionnels et des émissions à caractère confessionnel sur la sensibilité des contenus dont ils ont la charge ;</w:t>
      </w:r>
    </w:p>
    <w:p w14:paraId="5EED398E" w14:textId="77777777" w:rsidR="00733207" w:rsidRDefault="00912BAE">
      <w:pPr>
        <w:pStyle w:val="Paragraphedeliste"/>
        <w:numPr>
          <w:ilvl w:val="0"/>
          <w:numId w:val="7"/>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lastRenderedPageBreak/>
        <w:t>rappeler</w:t>
      </w:r>
      <w:proofErr w:type="gramEnd"/>
      <w:r>
        <w:rPr>
          <w:rFonts w:ascii="Rockwell" w:hAnsi="Rockwell" w:cs="Times New Roman"/>
          <w:sz w:val="26"/>
          <w:szCs w:val="26"/>
        </w:rPr>
        <w:t xml:space="preserve"> aux différents acteurs concernés qu’ils ont un rôle important à jouer  face à la situation difficile que traverse le pays ;</w:t>
      </w:r>
    </w:p>
    <w:p w14:paraId="4DC5D5FA" w14:textId="77777777" w:rsidR="00733207" w:rsidRDefault="00912BAE">
      <w:pPr>
        <w:pStyle w:val="Paragraphedeliste"/>
        <w:numPr>
          <w:ilvl w:val="0"/>
          <w:numId w:val="7"/>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attirer</w:t>
      </w:r>
      <w:proofErr w:type="gramEnd"/>
      <w:r>
        <w:rPr>
          <w:rFonts w:ascii="Rockwell" w:hAnsi="Rockwell" w:cs="Times New Roman"/>
          <w:sz w:val="26"/>
          <w:szCs w:val="26"/>
        </w:rPr>
        <w:t xml:space="preserve"> leur attention sur l’impérieuse nécessité de respecter les principes légaux, professionnels et mettre en œuvre leur responsabilité sociale ;</w:t>
      </w:r>
    </w:p>
    <w:p w14:paraId="39AEA60C" w14:textId="77777777" w:rsidR="00733207" w:rsidRDefault="00912BAE">
      <w:pPr>
        <w:pStyle w:val="Paragraphedeliste"/>
        <w:numPr>
          <w:ilvl w:val="0"/>
          <w:numId w:val="7"/>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engager</w:t>
      </w:r>
      <w:proofErr w:type="gramEnd"/>
      <w:r>
        <w:rPr>
          <w:rFonts w:ascii="Rockwell" w:hAnsi="Rockwell" w:cs="Times New Roman"/>
          <w:sz w:val="26"/>
          <w:szCs w:val="26"/>
        </w:rPr>
        <w:t xml:space="preserve"> avec eux des actions qui renforcent leur contribution à la cohésion sociale et à la paix. </w:t>
      </w:r>
    </w:p>
    <w:p w14:paraId="2E9CB28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guide de gestion des émissions à caractère confessionnel dans les médias non confessionnels énumère sept (07) règles à respecter par les médias non confessionnels. Ces règles visent à s’assurer que tout intervenant sur des questions religieuses est habilité à le faire. </w:t>
      </w:r>
    </w:p>
    <w:p w14:paraId="4C792C9F"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Elles recommandent que les contenus soient toujours préenregistrés, examinés par un comité et revêtus du sceau du responsable attitré du média ou du demandeur, avant diffusion ou publication, et enfin, elles appellent à un refus catégorique de diffusion ou de publication de tout contenu contraire à la loi ou de nature à compromettre la cohésion sociale et la paix. </w:t>
      </w:r>
    </w:p>
    <w:p w14:paraId="5FB1B23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Quant à la Charte de bonne conduite des médias confessionnels dans un contexte de crise sécuritaire et de tension sociale, elle comprend un préambule dans lequel les promoteurs de médias confessionnels et usagers des médias confessionnels du Burkina Faso décident de l’adopter, en toute responsabilité et en toute connaissance de cause. </w:t>
      </w:r>
    </w:p>
    <w:p w14:paraId="3F0EDBBF"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Ils s’obligent au respect de cinq (05) engagements, contenus dans un premier article et de trois (03) interdits énumérés dans un second.</w:t>
      </w:r>
    </w:p>
    <w:p w14:paraId="3810FA37" w14:textId="77777777" w:rsidR="00733207" w:rsidRDefault="00733207">
      <w:pPr>
        <w:spacing w:before="120" w:after="120" w:line="360" w:lineRule="auto"/>
        <w:jc w:val="both"/>
        <w:rPr>
          <w:rFonts w:ascii="Rockwell" w:hAnsi="Rockwell" w:cs="Times New Roman"/>
          <w:sz w:val="26"/>
          <w:szCs w:val="26"/>
        </w:rPr>
      </w:pPr>
    </w:p>
    <w:p w14:paraId="51E95992" w14:textId="77777777" w:rsidR="00733207" w:rsidRDefault="00733207">
      <w:pPr>
        <w:spacing w:before="120" w:after="120" w:line="360" w:lineRule="auto"/>
        <w:jc w:val="both"/>
        <w:rPr>
          <w:rFonts w:ascii="Rockwell" w:hAnsi="Rockwell" w:cs="Times New Roman"/>
          <w:sz w:val="26"/>
          <w:szCs w:val="26"/>
        </w:rPr>
      </w:pPr>
    </w:p>
    <w:p w14:paraId="3C2D38D3" w14:textId="77777777" w:rsidR="00733207" w:rsidRDefault="00733207">
      <w:pPr>
        <w:spacing w:before="120" w:after="120" w:line="360" w:lineRule="auto"/>
        <w:jc w:val="both"/>
        <w:rPr>
          <w:rFonts w:ascii="Rockwell" w:hAnsi="Rockwell" w:cs="Times New Roman"/>
          <w:sz w:val="26"/>
          <w:szCs w:val="26"/>
        </w:rPr>
      </w:pPr>
    </w:p>
    <w:p w14:paraId="2952DA38" w14:textId="77777777" w:rsidR="00733207" w:rsidRDefault="00733207">
      <w:pPr>
        <w:spacing w:before="120" w:after="120" w:line="360" w:lineRule="auto"/>
        <w:jc w:val="both"/>
        <w:rPr>
          <w:rFonts w:ascii="Rockwell" w:hAnsi="Rockwell" w:cs="Times New Roman"/>
          <w:sz w:val="26"/>
          <w:szCs w:val="26"/>
        </w:rPr>
      </w:pPr>
    </w:p>
    <w:p w14:paraId="7E5BE2EC" w14:textId="77777777" w:rsidR="00733207" w:rsidRPr="00FD681A" w:rsidRDefault="00912BAE">
      <w:pPr>
        <w:pStyle w:val="Titre5"/>
        <w:spacing w:before="120" w:after="120" w:line="240" w:lineRule="auto"/>
        <w:jc w:val="center"/>
        <w:rPr>
          <w:rFonts w:ascii="Rockwell" w:hAnsi="Rockwell"/>
          <w:b/>
          <w:color w:val="auto"/>
          <w:sz w:val="26"/>
          <w:szCs w:val="26"/>
        </w:rPr>
      </w:pPr>
      <w:bookmarkStart w:id="82" w:name="_Toc169855100"/>
      <w:bookmarkStart w:id="83" w:name="_Toc175128439"/>
      <w:r w:rsidRPr="00FD681A">
        <w:rPr>
          <w:rFonts w:ascii="Rockwell" w:hAnsi="Rockwell"/>
          <w:b/>
          <w:i w:val="0"/>
          <w:color w:val="auto"/>
          <w:sz w:val="26"/>
          <w:szCs w:val="26"/>
        </w:rPr>
        <w:lastRenderedPageBreak/>
        <w:t>3.2</w:t>
      </w:r>
      <w:r w:rsidRPr="00FD681A">
        <w:rPr>
          <w:rFonts w:ascii="Rockwell" w:hAnsi="Rockwell"/>
          <w:b/>
          <w:color w:val="auto"/>
          <w:sz w:val="26"/>
          <w:szCs w:val="26"/>
        </w:rPr>
        <w:t xml:space="preserve">. </w:t>
      </w:r>
      <w:r w:rsidRPr="00FD681A">
        <w:rPr>
          <w:rFonts w:ascii="Rockwell" w:hAnsi="Rockwell"/>
          <w:b/>
          <w:i w:val="0"/>
          <w:color w:val="auto"/>
          <w:sz w:val="26"/>
          <w:szCs w:val="26"/>
        </w:rPr>
        <w:t>Vulgarisation des quatre instruments pour une communication au service de la paix et de la cohésion sociale</w:t>
      </w:r>
      <w:bookmarkEnd w:id="82"/>
      <w:bookmarkEnd w:id="83"/>
    </w:p>
    <w:p w14:paraId="261D7ADC" w14:textId="77777777" w:rsidR="00733207" w:rsidRDefault="00733207">
      <w:pPr>
        <w:pStyle w:val="Paragraphedeliste"/>
        <w:spacing w:before="120" w:after="120" w:line="360" w:lineRule="auto"/>
        <w:ind w:left="360"/>
        <w:jc w:val="both"/>
        <w:rPr>
          <w:rFonts w:ascii="Rockwell" w:hAnsi="Rockwell"/>
          <w:sz w:val="26"/>
          <w:szCs w:val="26"/>
        </w:rPr>
      </w:pPr>
    </w:p>
    <w:p w14:paraId="53FF1EF7" w14:textId="2CA9E981" w:rsidR="00733207" w:rsidRDefault="00912BAE">
      <w:pPr>
        <w:pStyle w:val="Titre6"/>
        <w:spacing w:before="120" w:after="120" w:line="360" w:lineRule="auto"/>
        <w:jc w:val="center"/>
        <w:rPr>
          <w:rFonts w:ascii="Rockwell" w:hAnsi="Rockwell"/>
          <w:b/>
          <w:i/>
          <w:color w:val="auto"/>
          <w:sz w:val="26"/>
          <w:szCs w:val="26"/>
        </w:rPr>
      </w:pPr>
      <w:bookmarkStart w:id="84" w:name="_Toc175128440"/>
      <w:bookmarkStart w:id="85" w:name="_Toc169855101"/>
      <w:r>
        <w:rPr>
          <w:rFonts w:ascii="Rockwell" w:hAnsi="Rockwell"/>
          <w:b/>
          <w:i/>
          <w:color w:val="auto"/>
          <w:sz w:val="26"/>
          <w:szCs w:val="26"/>
        </w:rPr>
        <w:t>3.2.1. Tournées de remise des supports contenant les dix (10) conseils et rencontres de vulgarisation</w:t>
      </w:r>
      <w:bookmarkEnd w:id="84"/>
      <w:bookmarkEnd w:id="85"/>
    </w:p>
    <w:p w14:paraId="7D53C9C9" w14:textId="77777777" w:rsidR="00733207" w:rsidRDefault="00733207">
      <w:pPr>
        <w:jc w:val="both"/>
        <w:rPr>
          <w:rFonts w:ascii="Rockwell" w:hAnsi="Rockwell"/>
          <w:sz w:val="10"/>
          <w:szCs w:val="10"/>
        </w:rPr>
      </w:pPr>
    </w:p>
    <w:p w14:paraId="12711EF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Dans une première étape, le CSC a identifié des structures susceptibles de porter sa vision pour une communication au service de la paix et de la cohésion sociale. Il a effectué des tournées auprès des universités, des grandes écoles, des structures et personnalités dont les actions s’étendent à la jeunesse et à un large public dans le cadre de la promotion des dix (10) conseils aux citoyens burkinabè. Cette activité de vulgarisation s’est faite, à travers la remise de supports et l’organisation de formations. </w:t>
      </w:r>
    </w:p>
    <w:p w14:paraId="18BE3982"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C’est ainsi que les différentes équipes se sont rendues à la Commission de l’informatique et des libertés (CIL), à l’Ecole nationale des régies financières (ENAREF) et au Ministère de l’éducation nationale, de l’alphabétisation et de la promotion des langues nationales (MENAPLN).  </w:t>
      </w:r>
    </w:p>
    <w:p w14:paraId="54B0FE2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La tournée de vulgarisation des « 10 conseils » pour un comportement responsable sur les réseaux sociaux s’est poursuivie à la Brigade centrale de lutte contre la cybercriminalité (BCLCC) et à l’Université Thomas SANKARA (UTS) où les tableaux ont été officiellement remis aux premiers responsables des deux (02) structures, avant de solliciter leur accompagnement pour leur vulgarisation.</w:t>
      </w:r>
    </w:p>
    <w:p w14:paraId="2512F46A" w14:textId="4249F73E"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La</w:t>
      </w:r>
      <w:r w:rsidR="00125C9A">
        <w:rPr>
          <w:rFonts w:ascii="Rockwell" w:hAnsi="Rockwell" w:cs="Times New Roman"/>
          <w:sz w:val="26"/>
          <w:szCs w:val="26"/>
        </w:rPr>
        <w:t xml:space="preserve"> seconde</w:t>
      </w:r>
      <w:r>
        <w:rPr>
          <w:rFonts w:ascii="Rockwell" w:hAnsi="Rockwell" w:cs="Times New Roman"/>
          <w:sz w:val="26"/>
          <w:szCs w:val="26"/>
        </w:rPr>
        <w:t xml:space="preserve"> étape de la promotion des « 10 conseils » a conduit le CSC à l'Ecole nationale d'administration et de magistrature (ENAM), à l'Université Joseph KI-ZERBO et au ministère des Sports, de la Jeunesse et de l'Emploi. </w:t>
      </w:r>
    </w:p>
    <w:p w14:paraId="63373C9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 CSC a également rencontré le Conseil national de la jeunesse du Burkina et plusieurs réseaux et associations de jeunes qui ont entrepris la vulgarisation des dix conseils. Ils les ont même repris en mode vidéo.</w:t>
      </w:r>
    </w:p>
    <w:p w14:paraId="591CE5B1"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lastRenderedPageBreak/>
        <w:t xml:space="preserve">Dans la poursuite de la vulgarisation des « dix (10) conseils pour un usage responsable des réseaux sociaux et des émissions d’expression directe dans le contexte de crise sécuritaire et de tension sociale », le CSC a présenté le contenu de ces directives à deux (02) associations. </w:t>
      </w:r>
    </w:p>
    <w:p w14:paraId="44A499E8"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La première formation s’est déroulée, le</w:t>
      </w:r>
      <w:r>
        <w:rPr>
          <w:rFonts w:ascii="Rockwell" w:eastAsia="Times New Roman" w:hAnsi="Rockwell" w:cs="Times New Roman"/>
          <w:b/>
          <w:sz w:val="26"/>
          <w:szCs w:val="26"/>
          <w:lang w:eastAsia="fr-FR"/>
        </w:rPr>
        <w:t xml:space="preserve"> </w:t>
      </w:r>
      <w:r>
        <w:rPr>
          <w:rFonts w:ascii="Rockwell" w:eastAsia="Times New Roman" w:hAnsi="Rockwell" w:cs="Times New Roman"/>
          <w:sz w:val="26"/>
          <w:szCs w:val="26"/>
          <w:lang w:eastAsia="fr-FR"/>
        </w:rPr>
        <w:t xml:space="preserve">20 septembre 2023 à Ouagadougou, en langue nationale </w:t>
      </w:r>
      <w:proofErr w:type="spellStart"/>
      <w:r>
        <w:rPr>
          <w:rFonts w:ascii="Rockwell" w:eastAsia="Times New Roman" w:hAnsi="Rockwell" w:cs="Times New Roman"/>
          <w:sz w:val="26"/>
          <w:szCs w:val="26"/>
          <w:lang w:eastAsia="fr-FR"/>
        </w:rPr>
        <w:t>mooré</w:t>
      </w:r>
      <w:proofErr w:type="spellEnd"/>
      <w:r>
        <w:rPr>
          <w:rFonts w:ascii="Rockwell" w:eastAsia="Times New Roman" w:hAnsi="Rockwell" w:cs="Times New Roman"/>
          <w:sz w:val="26"/>
          <w:szCs w:val="26"/>
          <w:lang w:eastAsia="fr-FR"/>
        </w:rPr>
        <w:t xml:space="preserve">, au profit des membres de l'Union des auditeurs des médias du Burkina (UAMB). </w:t>
      </w:r>
    </w:p>
    <w:p w14:paraId="79B1349E"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 xml:space="preserve">La deuxième formation a été organisée le 26 septembre 2023 à Ouagadougou au profit des membres de l’Amicale entre profs Burkina Faso (AEP/BF). En leur qualité d’enseignants, le CSC les a invités à être des relais pour sensibiliser les autres composantes de la population, notamment les élèves. </w:t>
      </w:r>
    </w:p>
    <w:p w14:paraId="1E3C7B59"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En outre, le CSC a eu des échanges avec le Réseau des organisations des jeunes africains leaders des Nations Unies au Burkina Faso (ROJALNU-Burkina Faso). Ce fut l’occasion d’exhorter les membres de ce réseau à s’approprier et à promouvoir les « Dix (10) conseils du CSC pour des comportements responsables sur les réseaux sociaux et dans les émissions d’expression directe ».</w:t>
      </w:r>
    </w:p>
    <w:p w14:paraId="1154D92E" w14:textId="77777777" w:rsidR="00733207" w:rsidRDefault="00912BAE">
      <w:pPr>
        <w:pStyle w:val="Titre6"/>
        <w:spacing w:before="240" w:after="240" w:line="360" w:lineRule="auto"/>
        <w:jc w:val="center"/>
        <w:rPr>
          <w:rFonts w:ascii="Rockwell" w:hAnsi="Rockwell"/>
          <w:b/>
          <w:i/>
          <w:color w:val="auto"/>
          <w:sz w:val="26"/>
          <w:szCs w:val="26"/>
        </w:rPr>
      </w:pPr>
      <w:bookmarkStart w:id="86" w:name="_Toc175128441"/>
      <w:bookmarkStart w:id="87" w:name="_Toc169855102"/>
      <w:r>
        <w:rPr>
          <w:rFonts w:ascii="Rockwell" w:hAnsi="Rockwell"/>
          <w:b/>
          <w:i/>
          <w:color w:val="auto"/>
          <w:sz w:val="26"/>
          <w:szCs w:val="26"/>
        </w:rPr>
        <w:t>3.2.2. Animation de conférences publiques</w:t>
      </w:r>
      <w:bookmarkEnd w:id="86"/>
      <w:bookmarkEnd w:id="87"/>
    </w:p>
    <w:p w14:paraId="7F1C770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Dans le cadre de la vulgarisation des dix (10) conseils, des conférences ont été organisées avec les élèves et étudiants de Bobo-Dioulasso, Ouahigouya, Tenkodogo, Kaya, Manga et Koudougou. Le CSC a également organisé, en collaboration avec le Centre pour la gouvernance démocratique (CGD), une conférence publique, le 15 juillet 2023, au Conseil burkinabè des chargeurs (CBC) à Ouagadougou. </w:t>
      </w:r>
    </w:p>
    <w:p w14:paraId="020E2B2C" w14:textId="489333FD"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Elle s’est déroulée sous forme de panel, animé, à travers quatre (04) sous-thèmes, par le </w:t>
      </w:r>
      <w:r w:rsidR="003A4C18">
        <w:rPr>
          <w:rFonts w:ascii="Rockwell" w:hAnsi="Rockwell" w:cs="Times New Roman"/>
          <w:sz w:val="26"/>
          <w:szCs w:val="26"/>
        </w:rPr>
        <w:t>CSC</w:t>
      </w:r>
      <w:r>
        <w:rPr>
          <w:rFonts w:ascii="Rockwell" w:hAnsi="Rockwell" w:cs="Times New Roman"/>
          <w:sz w:val="26"/>
          <w:szCs w:val="26"/>
        </w:rPr>
        <w:t xml:space="preserve">, le Centre pour la gouvernance démocratique (CGD), la Commission de l’informatique et des libertés (CIL) et la Brigade centrale de </w:t>
      </w:r>
      <w:r>
        <w:rPr>
          <w:rFonts w:ascii="Rockwell" w:hAnsi="Rockwell" w:cs="Times New Roman"/>
          <w:sz w:val="26"/>
          <w:szCs w:val="26"/>
        </w:rPr>
        <w:lastRenderedPageBreak/>
        <w:t xml:space="preserve">lutte contre la cybercriminalité (BCLCC), et modérée par le Pr Serge Théophile BALIMA : </w:t>
      </w:r>
    </w:p>
    <w:p w14:paraId="749AE74F" w14:textId="77777777" w:rsidR="00733207" w:rsidRDefault="00912BAE">
      <w:pPr>
        <w:pStyle w:val="Paragraphedeliste"/>
        <w:numPr>
          <w:ilvl w:val="0"/>
          <w:numId w:val="8"/>
        </w:numPr>
        <w:spacing w:before="120" w:after="120" w:line="360" w:lineRule="auto"/>
        <w:jc w:val="both"/>
        <w:rPr>
          <w:rFonts w:ascii="Rockwell" w:hAnsi="Rockwell" w:cs="Times New Roman"/>
          <w:sz w:val="26"/>
          <w:szCs w:val="26"/>
        </w:rPr>
      </w:pPr>
      <w:r>
        <w:rPr>
          <w:rFonts w:ascii="Rockwell" w:hAnsi="Rockwell" w:cs="Times New Roman"/>
          <w:sz w:val="26"/>
          <w:szCs w:val="26"/>
        </w:rPr>
        <w:t>« </w:t>
      </w:r>
      <w:r>
        <w:rPr>
          <w:rFonts w:ascii="Rockwell" w:hAnsi="Rockwell" w:cs="Times New Roman"/>
          <w:i/>
          <w:sz w:val="26"/>
          <w:szCs w:val="26"/>
        </w:rPr>
        <w:t>Comment mettre à profit les réseaux sociaux pour promouvoir les valeurs citoyennes dans un contexte de crise sécuritaire, de tension sociale et de transition politique ?</w:t>
      </w:r>
      <w:r>
        <w:rPr>
          <w:rFonts w:ascii="Rockwell" w:hAnsi="Rockwell" w:cs="Times New Roman"/>
          <w:sz w:val="26"/>
          <w:szCs w:val="26"/>
        </w:rPr>
        <w:t> », animé par le Pr Augustin Gervais LOADA ;</w:t>
      </w:r>
      <w:bookmarkStart w:id="88" w:name="_Toc141088564"/>
    </w:p>
    <w:p w14:paraId="75A8C7F8" w14:textId="77777777" w:rsidR="00733207" w:rsidRDefault="00912BAE">
      <w:pPr>
        <w:pStyle w:val="Paragraphedeliste"/>
        <w:numPr>
          <w:ilvl w:val="0"/>
          <w:numId w:val="8"/>
        </w:numPr>
        <w:spacing w:before="120" w:after="120" w:line="360" w:lineRule="auto"/>
        <w:jc w:val="both"/>
        <w:rPr>
          <w:rFonts w:ascii="Rockwell" w:hAnsi="Rockwell" w:cs="Times New Roman"/>
          <w:sz w:val="26"/>
          <w:szCs w:val="26"/>
        </w:rPr>
      </w:pPr>
      <w:r>
        <w:rPr>
          <w:rFonts w:ascii="Rockwell" w:hAnsi="Rockwell"/>
          <w:sz w:val="26"/>
          <w:szCs w:val="26"/>
        </w:rPr>
        <w:t>« </w:t>
      </w:r>
      <w:r>
        <w:rPr>
          <w:rFonts w:ascii="Rockwell" w:hAnsi="Rockwell"/>
          <w:i/>
          <w:iCs/>
          <w:sz w:val="26"/>
          <w:szCs w:val="26"/>
        </w:rPr>
        <w:t>Comment utiliser de façon responsable les réseaux sociaux et les</w:t>
      </w:r>
      <w:r>
        <w:rPr>
          <w:rFonts w:ascii="Rockwell" w:hAnsi="Rockwell" w:cs="Times New Roman"/>
          <w:i/>
          <w:iCs/>
          <w:sz w:val="26"/>
          <w:szCs w:val="26"/>
        </w:rPr>
        <w:t xml:space="preserve"> émissions d’expression directe ? », animé par Simon YAMEOGO, Chargé de mission au CSC</w:t>
      </w:r>
      <w:r>
        <w:rPr>
          <w:rFonts w:ascii="Rockwell" w:hAnsi="Rockwell" w:cs="Times New Roman"/>
          <w:sz w:val="26"/>
          <w:szCs w:val="26"/>
        </w:rPr>
        <w:t> ;</w:t>
      </w:r>
      <w:bookmarkEnd w:id="88"/>
      <w:r>
        <w:rPr>
          <w:rFonts w:ascii="Rockwell" w:hAnsi="Rockwell" w:cs="Times New Roman"/>
          <w:sz w:val="26"/>
          <w:szCs w:val="26"/>
        </w:rPr>
        <w:t xml:space="preserve"> </w:t>
      </w:r>
    </w:p>
    <w:p w14:paraId="670C7931" w14:textId="77777777" w:rsidR="00733207" w:rsidRDefault="00912BAE">
      <w:pPr>
        <w:pStyle w:val="Paragraphedeliste"/>
        <w:numPr>
          <w:ilvl w:val="0"/>
          <w:numId w:val="8"/>
        </w:numPr>
        <w:spacing w:before="120" w:after="120" w:line="360" w:lineRule="auto"/>
        <w:jc w:val="both"/>
        <w:rPr>
          <w:rFonts w:ascii="Rockwell" w:hAnsi="Rockwell" w:cs="Times New Roman"/>
          <w:sz w:val="26"/>
          <w:szCs w:val="26"/>
        </w:rPr>
      </w:pPr>
      <w:r>
        <w:rPr>
          <w:rFonts w:ascii="Rockwell" w:hAnsi="Rockwell" w:cs="Times New Roman"/>
          <w:sz w:val="26"/>
          <w:szCs w:val="26"/>
        </w:rPr>
        <w:t>« </w:t>
      </w:r>
      <w:r>
        <w:rPr>
          <w:rFonts w:ascii="Rockwell" w:hAnsi="Rockwell" w:cs="Times New Roman"/>
          <w:i/>
          <w:sz w:val="26"/>
          <w:szCs w:val="26"/>
        </w:rPr>
        <w:t>Jeunesse et réseaux sociaux : mécanismes de protection des données à caractère personnel et de la vie privée</w:t>
      </w:r>
      <w:r>
        <w:rPr>
          <w:rFonts w:ascii="Rockwell" w:hAnsi="Rockwell" w:cs="Times New Roman"/>
          <w:sz w:val="26"/>
          <w:szCs w:val="26"/>
        </w:rPr>
        <w:t xml:space="preserve"> », animé par </w:t>
      </w:r>
      <w:proofErr w:type="spellStart"/>
      <w:r>
        <w:rPr>
          <w:rFonts w:ascii="Rockwell" w:hAnsi="Rockwell" w:cs="Times New Roman"/>
          <w:sz w:val="26"/>
          <w:szCs w:val="26"/>
        </w:rPr>
        <w:t>Sié</w:t>
      </w:r>
      <w:proofErr w:type="spellEnd"/>
      <w:r>
        <w:rPr>
          <w:rFonts w:ascii="Rockwell" w:hAnsi="Rockwell" w:cs="Times New Roman"/>
          <w:sz w:val="26"/>
          <w:szCs w:val="26"/>
        </w:rPr>
        <w:t xml:space="preserve"> Maxime DA, Conseiller technique à la CIL ;</w:t>
      </w:r>
    </w:p>
    <w:p w14:paraId="64922FA1" w14:textId="77777777" w:rsidR="00733207" w:rsidRDefault="00912BAE">
      <w:pPr>
        <w:pStyle w:val="Paragraphedeliste"/>
        <w:numPr>
          <w:ilvl w:val="0"/>
          <w:numId w:val="8"/>
        </w:numPr>
        <w:spacing w:before="120" w:after="120" w:line="360" w:lineRule="auto"/>
        <w:jc w:val="both"/>
        <w:rPr>
          <w:rFonts w:ascii="Rockwell" w:hAnsi="Rockwell" w:cs="Times New Roman"/>
          <w:sz w:val="26"/>
          <w:szCs w:val="26"/>
        </w:rPr>
      </w:pPr>
      <w:r>
        <w:rPr>
          <w:rFonts w:ascii="Rockwell" w:hAnsi="Rockwell" w:cs="Times New Roman"/>
          <w:sz w:val="26"/>
          <w:szCs w:val="26"/>
        </w:rPr>
        <w:t>« </w:t>
      </w:r>
      <w:r>
        <w:rPr>
          <w:rFonts w:ascii="Rockwell" w:hAnsi="Rockwell" w:cs="Times New Roman"/>
          <w:i/>
          <w:sz w:val="26"/>
          <w:szCs w:val="26"/>
        </w:rPr>
        <w:t xml:space="preserve">Connaître et se protéger des pratiques des </w:t>
      </w:r>
      <w:proofErr w:type="spellStart"/>
      <w:r>
        <w:rPr>
          <w:rFonts w:ascii="Rockwell" w:hAnsi="Rockwell" w:cs="Times New Roman"/>
          <w:i/>
          <w:sz w:val="26"/>
          <w:szCs w:val="26"/>
        </w:rPr>
        <w:t>cyberdélinquants</w:t>
      </w:r>
      <w:proofErr w:type="spellEnd"/>
      <w:r>
        <w:rPr>
          <w:rFonts w:ascii="Rockwell" w:hAnsi="Rockwell" w:cs="Times New Roman"/>
          <w:sz w:val="26"/>
          <w:szCs w:val="26"/>
        </w:rPr>
        <w:t xml:space="preserve"> », animé par le Commissaire Samir YONI, Commandant de la BCLCC.  </w:t>
      </w:r>
    </w:p>
    <w:p w14:paraId="573A23B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Les participants étaient composés majoritairement de scolaires et d’étudiants des établissements et universités publics et privés, de responsables d’OSC actives dans le domaine de l’éducation aux médias, ainsi que de responsables d’organisations de jeunes. </w:t>
      </w:r>
    </w:p>
    <w:p w14:paraId="6C799A84" w14:textId="77777777" w:rsidR="00733207" w:rsidRDefault="00912BAE">
      <w:pPr>
        <w:pStyle w:val="Titre6"/>
        <w:spacing w:before="240" w:after="240" w:line="240" w:lineRule="auto"/>
        <w:jc w:val="center"/>
        <w:rPr>
          <w:rStyle w:val="Titre4Car"/>
          <w:rFonts w:ascii="Rockwell" w:hAnsi="Rockwell"/>
          <w:b/>
          <w:i w:val="0"/>
          <w:iCs w:val="0"/>
          <w:color w:val="auto"/>
          <w:sz w:val="26"/>
          <w:szCs w:val="26"/>
        </w:rPr>
      </w:pPr>
      <w:bookmarkStart w:id="89" w:name="_Toc175128442"/>
      <w:bookmarkStart w:id="90" w:name="_Toc169855103"/>
      <w:r>
        <w:rPr>
          <w:rFonts w:ascii="Rockwell" w:hAnsi="Rockwell"/>
          <w:b/>
          <w:i/>
          <w:color w:val="auto"/>
          <w:sz w:val="26"/>
          <w:szCs w:val="26"/>
        </w:rPr>
        <w:t xml:space="preserve">3.2.3. Vulgarisation </w:t>
      </w:r>
      <w:r>
        <w:rPr>
          <w:rStyle w:val="Titre4Car"/>
          <w:rFonts w:ascii="Rockwell" w:hAnsi="Rockwell"/>
          <w:b/>
          <w:i w:val="0"/>
          <w:iCs w:val="0"/>
          <w:color w:val="auto"/>
          <w:sz w:val="26"/>
          <w:szCs w:val="26"/>
        </w:rPr>
        <w:t>des sept (07) points de vigilance des médias et des journalistes</w:t>
      </w:r>
      <w:bookmarkEnd w:id="89"/>
    </w:p>
    <w:p w14:paraId="1029B523" w14:textId="77777777" w:rsidR="00733207" w:rsidRDefault="00733207">
      <w:pPr>
        <w:pStyle w:val="Titre6"/>
        <w:spacing w:before="240" w:after="240" w:line="240" w:lineRule="auto"/>
        <w:jc w:val="both"/>
        <w:rPr>
          <w:rStyle w:val="Titre4Car"/>
          <w:rFonts w:ascii="Rockwell" w:hAnsi="Rockwell"/>
          <w:b/>
          <w:i w:val="0"/>
          <w:iCs w:val="0"/>
          <w:color w:val="auto"/>
          <w:sz w:val="10"/>
          <w:szCs w:val="10"/>
        </w:rPr>
      </w:pPr>
    </w:p>
    <w:bookmarkEnd w:id="90"/>
    <w:p w14:paraId="2B16CADF"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 CSC</w:t>
      </w:r>
      <w:r>
        <w:rPr>
          <w:rFonts w:ascii="Rockwell" w:hAnsi="Rockwell" w:cs="Times New Roman"/>
          <w:color w:val="FF0000"/>
          <w:sz w:val="26"/>
          <w:szCs w:val="26"/>
        </w:rPr>
        <w:t xml:space="preserve"> </w:t>
      </w:r>
      <w:r>
        <w:rPr>
          <w:rFonts w:ascii="Rockwell" w:hAnsi="Rockwell" w:cs="Times New Roman"/>
          <w:sz w:val="26"/>
          <w:szCs w:val="26"/>
        </w:rPr>
        <w:t xml:space="preserve">a partagé les </w:t>
      </w:r>
      <w:r>
        <w:rPr>
          <w:rStyle w:val="Titre4Car"/>
          <w:rFonts w:ascii="Rockwell" w:hAnsi="Rockwell" w:cs="Times New Roman"/>
          <w:color w:val="auto"/>
          <w:sz w:val="26"/>
          <w:szCs w:val="26"/>
        </w:rPr>
        <w:t>sept (07)</w:t>
      </w:r>
      <w:r>
        <w:rPr>
          <w:rStyle w:val="Titre4Car"/>
          <w:rFonts w:ascii="Rockwell" w:hAnsi="Rockwell" w:cs="Times New Roman"/>
          <w:i w:val="0"/>
          <w:color w:val="auto"/>
          <w:sz w:val="26"/>
          <w:szCs w:val="26"/>
        </w:rPr>
        <w:t xml:space="preserve"> points de vigilance des médias et des journalistes, dans le contexte de crise sécuritaire, de tensions sociales et de transition politique, avec les faîtières des organisations professionnelles des médias et</w:t>
      </w:r>
      <w:r>
        <w:rPr>
          <w:rFonts w:ascii="Rockwell" w:hAnsi="Rockwell" w:cs="Times New Roman"/>
          <w:sz w:val="26"/>
          <w:szCs w:val="26"/>
        </w:rPr>
        <w:t xml:space="preserve"> </w:t>
      </w:r>
      <w:r>
        <w:rPr>
          <w:rFonts w:ascii="Rockwell" w:eastAsiaTheme="majorEastAsia" w:hAnsi="Rockwell" w:cs="Times New Roman"/>
          <w:iCs/>
          <w:sz w:val="26"/>
          <w:szCs w:val="26"/>
        </w:rPr>
        <w:t>les responsables des organes de presse de la capitale</w:t>
      </w:r>
      <w:r>
        <w:rPr>
          <w:rStyle w:val="Titre4Car"/>
          <w:rFonts w:ascii="Rockwell" w:hAnsi="Rockwell" w:cs="Times New Roman"/>
          <w:i w:val="0"/>
          <w:color w:val="auto"/>
          <w:sz w:val="26"/>
          <w:szCs w:val="26"/>
        </w:rPr>
        <w:t>, dans la salle de conférence de l’institution</w:t>
      </w:r>
      <w:r>
        <w:rPr>
          <w:rFonts w:ascii="Rockwell" w:hAnsi="Rockwell" w:cs="Times New Roman"/>
          <w:i/>
          <w:sz w:val="26"/>
          <w:szCs w:val="26"/>
        </w:rPr>
        <w:t xml:space="preserve">. </w:t>
      </w:r>
      <w:r>
        <w:rPr>
          <w:rFonts w:ascii="Rockwell" w:hAnsi="Rockwell" w:cs="Times New Roman"/>
          <w:sz w:val="26"/>
          <w:szCs w:val="26"/>
        </w:rPr>
        <w:t>Le même exercice a été fait avec les hommes et femmes des médias des Hauts-Bassins (Bobo-Dioulasso) et du Centre-Ouest (Koudougou).</w:t>
      </w:r>
    </w:p>
    <w:p w14:paraId="2471879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noProof/>
          <w:sz w:val="26"/>
          <w:szCs w:val="26"/>
          <w:lang w:eastAsia="fr-FR"/>
        </w:rPr>
        <w:lastRenderedPageBreak/>
        <w:drawing>
          <wp:inline distT="0" distB="0" distL="0" distR="0" wp14:anchorId="751B623C" wp14:editId="369482B8">
            <wp:extent cx="5760720" cy="3840480"/>
            <wp:effectExtent l="0" t="0" r="0" b="7620"/>
            <wp:docPr id="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51"/>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326C20CC" w14:textId="77777777" w:rsidR="00733207" w:rsidRDefault="00912BAE">
      <w:pPr>
        <w:spacing w:after="0" w:line="240" w:lineRule="auto"/>
        <w:jc w:val="center"/>
        <w:rPr>
          <w:rFonts w:ascii="Rockwell" w:hAnsi="Rockwell" w:cs="Times New Roman"/>
          <w:i/>
          <w:sz w:val="18"/>
          <w:szCs w:val="18"/>
        </w:rPr>
      </w:pPr>
      <w:r>
        <w:rPr>
          <w:rFonts w:ascii="Rockwell" w:hAnsi="Rockwell" w:cs="Times New Roman"/>
          <w:i/>
          <w:sz w:val="18"/>
          <w:szCs w:val="18"/>
        </w:rPr>
        <w:t>Le Président BAMOGO a échangé avec la Directrice Générale des Editions SIDWAYA</w:t>
      </w:r>
    </w:p>
    <w:p w14:paraId="793303A1" w14:textId="77777777" w:rsidR="00733207" w:rsidRDefault="00912BAE">
      <w:pPr>
        <w:spacing w:after="0" w:line="240" w:lineRule="auto"/>
        <w:jc w:val="center"/>
        <w:rPr>
          <w:rFonts w:ascii="Rockwell" w:hAnsi="Rockwell" w:cs="Times New Roman"/>
          <w:i/>
          <w:sz w:val="18"/>
          <w:szCs w:val="18"/>
        </w:rPr>
      </w:pPr>
      <w:proofErr w:type="gramStart"/>
      <w:r>
        <w:rPr>
          <w:rFonts w:ascii="Rockwell" w:hAnsi="Rockwell" w:cs="Times New Roman"/>
          <w:i/>
          <w:sz w:val="18"/>
          <w:szCs w:val="18"/>
        </w:rPr>
        <w:t>sur</w:t>
      </w:r>
      <w:proofErr w:type="gramEnd"/>
      <w:r>
        <w:rPr>
          <w:rFonts w:ascii="Rockwell" w:hAnsi="Rockwell" w:cs="Times New Roman"/>
          <w:i/>
          <w:sz w:val="18"/>
          <w:szCs w:val="18"/>
        </w:rPr>
        <w:t xml:space="preserve"> les sept (07) points de vigilance</w:t>
      </w:r>
    </w:p>
    <w:p w14:paraId="351F294E" w14:textId="77777777" w:rsidR="00733207" w:rsidRDefault="00733207">
      <w:pPr>
        <w:spacing w:before="120" w:after="120" w:line="360" w:lineRule="auto"/>
        <w:jc w:val="both"/>
        <w:rPr>
          <w:rFonts w:ascii="Rockwell" w:hAnsi="Rockwell" w:cs="Times New Roman"/>
          <w:i/>
          <w:sz w:val="26"/>
          <w:szCs w:val="26"/>
        </w:rPr>
      </w:pPr>
    </w:p>
    <w:p w14:paraId="07806BE2" w14:textId="77777777" w:rsidR="00733207" w:rsidRDefault="00733207">
      <w:pPr>
        <w:spacing w:before="120" w:after="120" w:line="360" w:lineRule="auto"/>
        <w:jc w:val="both"/>
        <w:rPr>
          <w:rFonts w:ascii="Rockwell" w:hAnsi="Rockwell" w:cs="Times New Roman"/>
          <w:sz w:val="26"/>
          <w:szCs w:val="26"/>
        </w:rPr>
      </w:pPr>
    </w:p>
    <w:p w14:paraId="64B768B5" w14:textId="77777777" w:rsidR="00733207" w:rsidRDefault="00912BAE">
      <w:pPr>
        <w:pStyle w:val="Titre6"/>
        <w:spacing w:before="240" w:after="240"/>
        <w:jc w:val="center"/>
        <w:rPr>
          <w:rFonts w:ascii="Rockwell" w:hAnsi="Rockwell"/>
          <w:b/>
          <w:i/>
          <w:color w:val="auto"/>
          <w:sz w:val="26"/>
          <w:szCs w:val="26"/>
        </w:rPr>
      </w:pPr>
      <w:bookmarkStart w:id="91" w:name="_Toc175128443"/>
      <w:bookmarkStart w:id="92" w:name="_Toc169855104"/>
      <w:r>
        <w:rPr>
          <w:rFonts w:ascii="Rockwell" w:hAnsi="Rockwell"/>
          <w:b/>
          <w:i/>
          <w:color w:val="auto"/>
          <w:sz w:val="26"/>
          <w:szCs w:val="26"/>
        </w:rPr>
        <w:t>3.2.4. Tournées de vulgarisation du Guide et de la Charte de gestion des émissions confessionnelles</w:t>
      </w:r>
      <w:bookmarkEnd w:id="91"/>
      <w:bookmarkEnd w:id="92"/>
    </w:p>
    <w:p w14:paraId="6B38DD04" w14:textId="77777777" w:rsidR="00733207" w:rsidRDefault="00733207">
      <w:pPr>
        <w:pStyle w:val="Titre6"/>
        <w:jc w:val="both"/>
        <w:rPr>
          <w:rFonts w:ascii="Rockwell" w:hAnsi="Rockwell"/>
          <w:b/>
          <w:i/>
          <w:color w:val="auto"/>
          <w:sz w:val="10"/>
          <w:szCs w:val="10"/>
        </w:rPr>
      </w:pPr>
    </w:p>
    <w:p w14:paraId="7D652932" w14:textId="729CE46D"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En vue de vulgariser le contenu du Guide et de la Charte relatifs aux émissions à caractère confessionnel auprès de l’ensemble des acteurs concernés, le </w:t>
      </w:r>
      <w:r w:rsidR="003A4C18">
        <w:rPr>
          <w:rFonts w:ascii="Rockwell" w:eastAsia="Calibri" w:hAnsi="Rockwell" w:cs="Times New Roman"/>
          <w:sz w:val="26"/>
          <w:szCs w:val="26"/>
        </w:rPr>
        <w:t>CSC</w:t>
      </w:r>
      <w:r>
        <w:rPr>
          <w:rFonts w:ascii="Rockwell" w:eastAsia="Calibri" w:hAnsi="Rockwell" w:cs="Times New Roman"/>
          <w:sz w:val="26"/>
          <w:szCs w:val="26"/>
        </w:rPr>
        <w:t xml:space="preserve"> a organisé, en collaboration avec l’Observatoire national des faits religieux (ONAFAR), une tournée de sensibilisation dans douze (12) régions du Burkina Faso. Cette tournée s’est déroulée du 22 novembre au 29 décembre 2023, dans les villes de Bobo-Dioulasso, Banfora, Kombissiri, Dédougou, Dori, Gaoua, Kaya, Ziniaré, Tenkodogo, Koudougou, Ouahigouya et Fada N’Gourma. Les rencontres d’échanges ont été précédées de visites de courtoisie, de présentation des objectifs de la mission aux autorités administratives, coutumières et religieuses. </w:t>
      </w:r>
    </w:p>
    <w:p w14:paraId="2CEA6DDC"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lastRenderedPageBreak/>
        <w:t xml:space="preserve">Elle a permis à l’ONAFAR et au CSC d’échanger sur ces deux (02) documents de référence avec les acteurs professionnels des médias et les leaders administratifs et religieux. </w:t>
      </w:r>
    </w:p>
    <w:p w14:paraId="38854CCA"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Ils ont suggéré, entre autres, la traduction desdits documents dans quelques langues nationales, la </w:t>
      </w:r>
      <w:proofErr w:type="spellStart"/>
      <w:r>
        <w:rPr>
          <w:rFonts w:ascii="Rockwell" w:eastAsia="Calibri" w:hAnsi="Rockwell" w:cs="Times New Roman"/>
          <w:sz w:val="26"/>
          <w:szCs w:val="26"/>
        </w:rPr>
        <w:t>co-animation</w:t>
      </w:r>
      <w:proofErr w:type="spellEnd"/>
      <w:r>
        <w:rPr>
          <w:rFonts w:ascii="Rockwell" w:eastAsia="Calibri" w:hAnsi="Rockwell" w:cs="Times New Roman"/>
          <w:sz w:val="26"/>
          <w:szCs w:val="26"/>
        </w:rPr>
        <w:t xml:space="preserve"> par les leaders religieux d’émissions sur la coexistence pacifique et la tolérance religieuse, l’arrêt des émissions religieuses en direct sur les ondes, etc...</w:t>
      </w:r>
    </w:p>
    <w:p w14:paraId="6CDFC03D"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La tournée de sensibilisation des acteurs professionnels des médias et des leaders religieux a permis également de mettre des exemplaires des documents à la disposition de près de 260 acteurs. </w:t>
      </w:r>
    </w:p>
    <w:p w14:paraId="5EDEE2B6" w14:textId="77777777" w:rsidR="00733207" w:rsidRDefault="00733207">
      <w:pPr>
        <w:suppressAutoHyphens/>
        <w:autoSpaceDN w:val="0"/>
        <w:spacing w:before="120" w:after="120" w:line="360" w:lineRule="auto"/>
        <w:jc w:val="both"/>
        <w:textAlignment w:val="baseline"/>
        <w:rPr>
          <w:rFonts w:ascii="Rockwell" w:eastAsia="Calibri" w:hAnsi="Rockwell" w:cs="Times New Roman"/>
          <w:sz w:val="26"/>
          <w:szCs w:val="26"/>
        </w:rPr>
      </w:pPr>
    </w:p>
    <w:p w14:paraId="27AC5861" w14:textId="77777777" w:rsidR="00733207" w:rsidRDefault="00912BAE">
      <w:pPr>
        <w:pStyle w:val="Titre6"/>
        <w:spacing w:before="120" w:after="120" w:line="360" w:lineRule="auto"/>
        <w:jc w:val="center"/>
        <w:rPr>
          <w:rFonts w:ascii="Rockwell" w:hAnsi="Rockwell"/>
          <w:b/>
          <w:i/>
          <w:color w:val="auto"/>
          <w:sz w:val="26"/>
          <w:szCs w:val="26"/>
        </w:rPr>
      </w:pPr>
      <w:bookmarkStart w:id="93" w:name="_Toc169855105"/>
      <w:bookmarkStart w:id="94" w:name="_Toc175128444"/>
      <w:r>
        <w:rPr>
          <w:rFonts w:ascii="Rockwell" w:hAnsi="Rockwell"/>
          <w:b/>
          <w:i/>
          <w:color w:val="auto"/>
          <w:sz w:val="26"/>
          <w:szCs w:val="26"/>
        </w:rPr>
        <w:t>3.2.5. Vulgarisation simultanée des quatre (04) instruments</w:t>
      </w:r>
      <w:bookmarkEnd w:id="93"/>
      <w:bookmarkEnd w:id="94"/>
    </w:p>
    <w:p w14:paraId="19C7492C" w14:textId="77777777" w:rsidR="00733207" w:rsidRDefault="00733207">
      <w:pPr>
        <w:pStyle w:val="Paragraphedeliste"/>
        <w:spacing w:before="120" w:after="120" w:line="360" w:lineRule="auto"/>
        <w:ind w:left="1860"/>
        <w:jc w:val="both"/>
        <w:rPr>
          <w:rFonts w:ascii="Rockwell" w:hAnsi="Rockwell" w:cs="Times New Roman"/>
          <w:b/>
          <w:i/>
          <w:sz w:val="10"/>
          <w:szCs w:val="10"/>
        </w:rPr>
      </w:pPr>
    </w:p>
    <w:p w14:paraId="0D4EDEDA" w14:textId="77777777" w:rsidR="00733207" w:rsidRDefault="00912BAE">
      <w:pPr>
        <w:pStyle w:val="Paragraphedeliste"/>
        <w:numPr>
          <w:ilvl w:val="0"/>
          <w:numId w:val="9"/>
        </w:numPr>
        <w:spacing w:before="120" w:after="120" w:line="360" w:lineRule="auto"/>
        <w:jc w:val="both"/>
        <w:rPr>
          <w:rFonts w:ascii="Rockwell" w:hAnsi="Rockwell" w:cs="Times New Roman"/>
          <w:i/>
          <w:sz w:val="26"/>
          <w:szCs w:val="26"/>
        </w:rPr>
      </w:pPr>
      <w:r>
        <w:rPr>
          <w:rFonts w:ascii="Rockwell" w:hAnsi="Rockwell" w:cs="Times New Roman"/>
          <w:i/>
          <w:sz w:val="26"/>
          <w:szCs w:val="26"/>
        </w:rPr>
        <w:t>Vulgarisation auprès des hommes de médias de l’Ouest</w:t>
      </w:r>
    </w:p>
    <w:p w14:paraId="25C7F7B6"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Dans le cadre de la vulgarisation des quatre (04) documents de référence du CSC, le Président du CSC, a échangé le 25 août 2023 à Bobo-Dioulasso avec les Organisations professionnelles des médias (OPM) de l’Ouest. A cette occasion, il a invité les OPM de l’Ouest à s’approprier ces instruments qui visent à promouvoir la paix et la cohésion sociale au Burkina Faso. </w:t>
      </w:r>
    </w:p>
    <w:p w14:paraId="0376C289" w14:textId="77777777" w:rsidR="00733207" w:rsidRDefault="00912BAE">
      <w:pPr>
        <w:pStyle w:val="Paragraphedeliste"/>
        <w:numPr>
          <w:ilvl w:val="0"/>
          <w:numId w:val="9"/>
        </w:numPr>
        <w:spacing w:before="120" w:after="120" w:line="360" w:lineRule="auto"/>
        <w:jc w:val="both"/>
        <w:rPr>
          <w:rFonts w:ascii="Rockwell" w:hAnsi="Rockwell" w:cs="Times New Roman"/>
          <w:i/>
          <w:sz w:val="26"/>
          <w:szCs w:val="26"/>
        </w:rPr>
      </w:pPr>
      <w:r>
        <w:rPr>
          <w:rFonts w:ascii="Rockwell" w:hAnsi="Rockwell" w:cs="Times New Roman"/>
          <w:i/>
          <w:sz w:val="26"/>
          <w:szCs w:val="26"/>
        </w:rPr>
        <w:t>Vulgarisation auprès des acteurs médiatiques du Centre-Nord</w:t>
      </w:r>
    </w:p>
    <w:p w14:paraId="7E11A4D5"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Mettant à profit la formation des leaders d’opinions pour une médiation des conflits communautaires, le CSC a partagé avec les professionnels des médias de la région du Centre-Nord, le contenu des sept (07) points d’attention destinés aux acteurs médiatiques, la charte de bonne conduite des médias confessionnels et le guide de gestion des émissions à caractère confessionnel. La rencontre s’est déroulée le 11 août 2023 à Kaya. </w:t>
      </w:r>
    </w:p>
    <w:p w14:paraId="05ED7FE3" w14:textId="77777777" w:rsidR="00733207" w:rsidRDefault="00912BAE">
      <w:pPr>
        <w:pStyle w:val="Paragraphedeliste"/>
        <w:numPr>
          <w:ilvl w:val="0"/>
          <w:numId w:val="9"/>
        </w:numPr>
        <w:spacing w:before="120" w:after="120" w:line="360" w:lineRule="auto"/>
        <w:jc w:val="both"/>
        <w:rPr>
          <w:rFonts w:ascii="Rockwell" w:hAnsi="Rockwell" w:cs="Times New Roman"/>
          <w:i/>
          <w:sz w:val="26"/>
          <w:szCs w:val="26"/>
        </w:rPr>
      </w:pPr>
      <w:r>
        <w:rPr>
          <w:rFonts w:ascii="Rockwell" w:hAnsi="Rockwell" w:cs="Times New Roman"/>
          <w:i/>
          <w:sz w:val="26"/>
          <w:szCs w:val="26"/>
        </w:rPr>
        <w:t>Actions de vulgarisation des documents par les DR et RP</w:t>
      </w:r>
    </w:p>
    <w:p w14:paraId="034FC85D" w14:textId="47ABBC10"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lastRenderedPageBreak/>
        <w:t xml:space="preserve">Dans le cadre de la vulgarisation des quatre (04) documents de référence du CSC, les Délégations régionales (DR) et les Représentants provinciaux (RP), ont été beaucoup mis à contribution pour présenter et expliquer les contenus et les enjeux de ces outils dans les localités les plus reculées du pays. Leur approche a consisté à faire des tournées dans les médias, auprès des autorités administratives, coutumières et religieuses, à animer des conférences dans des établissements d’enseignement, à passer sur les antennes des médias. Ces actions ont permis également de mettre à la disposition des publics cibles les différents documents. </w:t>
      </w:r>
    </w:p>
    <w:p w14:paraId="26C6414C" w14:textId="77777777" w:rsidR="00733207" w:rsidRDefault="00733207">
      <w:pPr>
        <w:spacing w:before="120" w:after="120" w:line="360" w:lineRule="auto"/>
        <w:jc w:val="both"/>
        <w:rPr>
          <w:rFonts w:ascii="Rockwell" w:hAnsi="Rockwell" w:cs="Times New Roman"/>
          <w:sz w:val="10"/>
          <w:szCs w:val="10"/>
        </w:rPr>
      </w:pPr>
    </w:p>
    <w:p w14:paraId="1EC3CC37" w14:textId="77777777" w:rsidR="00733207" w:rsidRDefault="00912BAE">
      <w:pPr>
        <w:pStyle w:val="Paragraphedeliste"/>
        <w:numPr>
          <w:ilvl w:val="0"/>
          <w:numId w:val="9"/>
        </w:numPr>
        <w:spacing w:before="120" w:after="120" w:line="360" w:lineRule="auto"/>
        <w:jc w:val="both"/>
        <w:rPr>
          <w:rFonts w:ascii="Rockwell" w:eastAsia="Calibri" w:hAnsi="Rockwell" w:cs="Times New Roman"/>
          <w:i/>
          <w:sz w:val="26"/>
          <w:szCs w:val="26"/>
        </w:rPr>
      </w:pPr>
      <w:r>
        <w:rPr>
          <w:rFonts w:ascii="Rockwell" w:eastAsia="Calibri" w:hAnsi="Rockwell" w:cs="Times New Roman"/>
          <w:bCs/>
          <w:i/>
          <w:sz w:val="26"/>
          <w:szCs w:val="26"/>
        </w:rPr>
        <w:t>Les « Ambassadeurs du CSC pour la régulation participative »</w:t>
      </w:r>
    </w:p>
    <w:p w14:paraId="587E2F06"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Dans le cadre de la vulgarisation des textes de référence pour une communication responsable dans les médias et sur les réseaux sociaux, des personnalités ont été faites « Ambassadeur du CSC pour une régulation participative ». Ce sont : </w:t>
      </w:r>
    </w:p>
    <w:p w14:paraId="7BDED93C"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w:t>
      </w:r>
      <w:proofErr w:type="gramStart"/>
      <w:r>
        <w:rPr>
          <w:rFonts w:ascii="Rockwell" w:eastAsia="Calibri" w:hAnsi="Rockwell" w:cs="Times New Roman"/>
          <w:sz w:val="26"/>
          <w:szCs w:val="26"/>
        </w:rPr>
        <w:t>le</w:t>
      </w:r>
      <w:proofErr w:type="gramEnd"/>
      <w:r>
        <w:rPr>
          <w:rFonts w:ascii="Rockwell" w:eastAsia="Calibri" w:hAnsi="Rockwell" w:cs="Times New Roman"/>
          <w:sz w:val="26"/>
          <w:szCs w:val="26"/>
        </w:rPr>
        <w:t xml:space="preserve"> directeur de publication du journal L’Express du Faso et porte-parole des OPM de Bobo-Dioulasso, Monsieur </w:t>
      </w:r>
      <w:proofErr w:type="spellStart"/>
      <w:r>
        <w:rPr>
          <w:rFonts w:ascii="Rockwell" w:eastAsia="Calibri" w:hAnsi="Rockwell" w:cs="Times New Roman"/>
          <w:sz w:val="26"/>
          <w:szCs w:val="26"/>
        </w:rPr>
        <w:t>Mountamou</w:t>
      </w:r>
      <w:proofErr w:type="spellEnd"/>
      <w:r>
        <w:rPr>
          <w:rFonts w:ascii="Rockwell" w:eastAsia="Calibri" w:hAnsi="Rockwell" w:cs="Times New Roman"/>
          <w:sz w:val="26"/>
          <w:szCs w:val="26"/>
        </w:rPr>
        <w:t xml:space="preserve"> KANI ;</w:t>
      </w:r>
    </w:p>
    <w:p w14:paraId="2F40CDC1"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proofErr w:type="gramStart"/>
      <w:r>
        <w:rPr>
          <w:rFonts w:ascii="Rockwell" w:eastAsia="Calibri" w:hAnsi="Rockwell" w:cs="Times New Roman"/>
          <w:sz w:val="26"/>
          <w:szCs w:val="26"/>
        </w:rPr>
        <w:t>le</w:t>
      </w:r>
      <w:proofErr w:type="gramEnd"/>
      <w:r>
        <w:rPr>
          <w:rFonts w:ascii="Rockwell" w:eastAsia="Calibri" w:hAnsi="Rockwell" w:cs="Times New Roman"/>
          <w:sz w:val="26"/>
          <w:szCs w:val="26"/>
        </w:rPr>
        <w:t xml:space="preserve"> Gouverneur de la région des Hauts-Bassins, Colonel Moussa DIALLO ; </w:t>
      </w:r>
    </w:p>
    <w:p w14:paraId="642241CC"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proofErr w:type="gramStart"/>
      <w:r>
        <w:rPr>
          <w:rFonts w:ascii="Rockwell" w:eastAsia="Calibri" w:hAnsi="Rockwell" w:cs="Times New Roman"/>
          <w:sz w:val="26"/>
          <w:szCs w:val="26"/>
        </w:rPr>
        <w:t>la</w:t>
      </w:r>
      <w:proofErr w:type="gramEnd"/>
      <w:r>
        <w:rPr>
          <w:rFonts w:ascii="Rockwell" w:eastAsia="Calibri" w:hAnsi="Rockwell" w:cs="Times New Roman"/>
          <w:sz w:val="26"/>
          <w:szCs w:val="26"/>
        </w:rPr>
        <w:t xml:space="preserve"> Directrice générale de la Semaine nationale de la culture, Madame Christiane SANON ;</w:t>
      </w:r>
    </w:p>
    <w:p w14:paraId="11432367"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w:t>
      </w:r>
      <w:proofErr w:type="gramStart"/>
      <w:r>
        <w:rPr>
          <w:rFonts w:ascii="Rockwell" w:eastAsia="Calibri" w:hAnsi="Rockwell" w:cs="Times New Roman"/>
          <w:sz w:val="26"/>
          <w:szCs w:val="26"/>
        </w:rPr>
        <w:t>le</w:t>
      </w:r>
      <w:proofErr w:type="gramEnd"/>
      <w:r>
        <w:rPr>
          <w:rFonts w:ascii="Rockwell" w:eastAsia="Calibri" w:hAnsi="Rockwell" w:cs="Times New Roman"/>
          <w:sz w:val="26"/>
          <w:szCs w:val="26"/>
        </w:rPr>
        <w:t xml:space="preserve"> Président de la Délégation spéciale de la commune de Bobo-Dioulasso, Monsieur Adama BIDIGA ;</w:t>
      </w:r>
    </w:p>
    <w:p w14:paraId="57B1D64C"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Monsieur Samuel BAMOGO, promoteur de Sanmatenga TV ;</w:t>
      </w:r>
    </w:p>
    <w:p w14:paraId="5C76FE12"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Son Excellence Monsieur Kato MASAAKI, Ambassadeur du Japon au Burkina Faso ;</w:t>
      </w:r>
    </w:p>
    <w:p w14:paraId="5BFDD7EC"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lastRenderedPageBreak/>
        <w:t>Monsieur le Directeur Général de l’Agence nationale de l’environnement, de l’alimentation, du travail et des produits de santé (ANSSEAT) ;</w:t>
      </w:r>
    </w:p>
    <w:p w14:paraId="34515B57" w14:textId="77777777" w:rsidR="00733207" w:rsidRDefault="00912BAE">
      <w:pPr>
        <w:numPr>
          <w:ilvl w:val="0"/>
          <w:numId w:val="10"/>
        </w:numPr>
        <w:spacing w:before="120" w:after="120" w:line="360" w:lineRule="auto"/>
        <w:jc w:val="both"/>
        <w:rPr>
          <w:rFonts w:ascii="Rockwell" w:eastAsia="Calibri" w:hAnsi="Rockwell" w:cs="Times New Roman"/>
          <w:sz w:val="26"/>
          <w:szCs w:val="26"/>
        </w:rPr>
      </w:pPr>
      <w:proofErr w:type="gramStart"/>
      <w:r>
        <w:rPr>
          <w:rFonts w:ascii="Rockwell" w:eastAsia="Calibri" w:hAnsi="Rockwell" w:cs="Times New Roman"/>
          <w:sz w:val="26"/>
          <w:szCs w:val="26"/>
        </w:rPr>
        <w:t>le</w:t>
      </w:r>
      <w:proofErr w:type="gramEnd"/>
      <w:r>
        <w:rPr>
          <w:rFonts w:ascii="Rockwell" w:eastAsia="Calibri" w:hAnsi="Rockwell" w:cs="Times New Roman"/>
          <w:sz w:val="26"/>
          <w:szCs w:val="26"/>
        </w:rPr>
        <w:t xml:space="preserve"> Professeur Elie KABRE, Président du conseil d’administration (PCA), du Réseau des organisations de jeunes africains leaders des Nations Unies au Burkina Faso (ROJALNU Burkina Faso) ; </w:t>
      </w:r>
    </w:p>
    <w:p w14:paraId="56582433" w14:textId="77777777" w:rsidR="00733207" w:rsidRDefault="00912BAE">
      <w:pPr>
        <w:pStyle w:val="Paragraphedeliste"/>
        <w:numPr>
          <w:ilvl w:val="0"/>
          <w:numId w:val="10"/>
        </w:numPr>
        <w:spacing w:before="120" w:after="120" w:line="360" w:lineRule="auto"/>
        <w:jc w:val="both"/>
        <w:rPr>
          <w:rFonts w:ascii="Rockwell" w:eastAsia="Calibri" w:hAnsi="Rockwell" w:cs="Times New Roman"/>
          <w:sz w:val="26"/>
          <w:szCs w:val="26"/>
        </w:rPr>
        <w:sectPr w:rsidR="00733207">
          <w:pgSz w:w="11906" w:h="16838"/>
          <w:pgMar w:top="1417" w:right="1417" w:bottom="1417" w:left="1417" w:header="708" w:footer="708" w:gutter="0"/>
          <w:cols w:space="708"/>
          <w:docGrid w:linePitch="360"/>
        </w:sectPr>
      </w:pPr>
      <w:r>
        <w:rPr>
          <w:rFonts w:ascii="Rockwell" w:eastAsia="Calibri" w:hAnsi="Rockwell" w:cs="Times New Roman"/>
          <w:sz w:val="26"/>
          <w:szCs w:val="26"/>
        </w:rPr>
        <w:t xml:space="preserve">Monsieur </w:t>
      </w:r>
      <w:proofErr w:type="spellStart"/>
      <w:r>
        <w:rPr>
          <w:rFonts w:ascii="Rockwell" w:eastAsia="Calibri" w:hAnsi="Rockwell" w:cs="Times New Roman"/>
          <w:sz w:val="26"/>
          <w:szCs w:val="26"/>
        </w:rPr>
        <w:t>Dakiri</w:t>
      </w:r>
      <w:proofErr w:type="spellEnd"/>
      <w:r>
        <w:rPr>
          <w:rFonts w:ascii="Rockwell" w:eastAsia="Calibri" w:hAnsi="Rockwell" w:cs="Times New Roman"/>
          <w:sz w:val="26"/>
          <w:szCs w:val="26"/>
        </w:rPr>
        <w:t xml:space="preserve"> SAWADOGO, « Ambassadeur du CSC pour une régulation participative ».</w:t>
      </w:r>
    </w:p>
    <w:p w14:paraId="54804E80" w14:textId="77777777" w:rsidR="00733207" w:rsidRDefault="00912BAE">
      <w:pPr>
        <w:pStyle w:val="Titre2"/>
        <w:spacing w:before="120" w:after="120" w:line="360" w:lineRule="auto"/>
        <w:jc w:val="center"/>
        <w:rPr>
          <w:rFonts w:ascii="Rockwell" w:hAnsi="Rockwell"/>
          <w:b/>
          <w:color w:val="auto"/>
          <w:sz w:val="30"/>
          <w:szCs w:val="30"/>
        </w:rPr>
      </w:pPr>
      <w:bookmarkStart w:id="95" w:name="_Toc175128445"/>
      <w:bookmarkStart w:id="96" w:name="_Toc170209320"/>
      <w:bookmarkStart w:id="97" w:name="_Toc169854360"/>
      <w:bookmarkStart w:id="98" w:name="_Toc169855106"/>
      <w:bookmarkStart w:id="99" w:name="_Toc141088566"/>
      <w:r>
        <w:rPr>
          <w:rFonts w:ascii="Rockwell" w:hAnsi="Rockwell"/>
          <w:b/>
          <w:color w:val="auto"/>
          <w:sz w:val="30"/>
          <w:szCs w:val="30"/>
        </w:rPr>
        <w:lastRenderedPageBreak/>
        <w:t>CHAPITRE II : AUTRES ACTIONS DE PROMOTION DE PAIX ET DE COHESION SOCIALE</w:t>
      </w:r>
      <w:bookmarkEnd w:id="95"/>
      <w:bookmarkEnd w:id="96"/>
      <w:bookmarkEnd w:id="97"/>
      <w:bookmarkEnd w:id="98"/>
    </w:p>
    <w:p w14:paraId="59505832" w14:textId="77777777" w:rsidR="00733207" w:rsidRDefault="00733207">
      <w:pPr>
        <w:jc w:val="both"/>
        <w:rPr>
          <w:rFonts w:ascii="Rockwell" w:hAnsi="Rockwell"/>
        </w:rPr>
      </w:pPr>
    </w:p>
    <w:p w14:paraId="7A544BE1" w14:textId="77777777" w:rsidR="00733207" w:rsidRPr="00E417CA" w:rsidRDefault="00912BAE">
      <w:pPr>
        <w:pStyle w:val="Titre3"/>
        <w:spacing w:before="240" w:after="240" w:line="360" w:lineRule="auto"/>
        <w:jc w:val="center"/>
        <w:rPr>
          <w:rFonts w:ascii="Rockwell" w:hAnsi="Rockwell"/>
          <w:b/>
          <w:i/>
          <w:color w:val="auto"/>
          <w:sz w:val="28"/>
          <w:szCs w:val="28"/>
        </w:rPr>
      </w:pPr>
      <w:bookmarkStart w:id="100" w:name="_Toc169854361"/>
      <w:bookmarkStart w:id="101" w:name="_Toc175128446"/>
      <w:bookmarkStart w:id="102" w:name="_Toc170209321"/>
      <w:bookmarkStart w:id="103" w:name="_Toc169855107"/>
      <w:r w:rsidRPr="00E417CA">
        <w:rPr>
          <w:rFonts w:ascii="Rockwell" w:hAnsi="Rockwell"/>
          <w:b/>
          <w:i/>
          <w:color w:val="auto"/>
          <w:sz w:val="28"/>
          <w:szCs w:val="28"/>
        </w:rPr>
        <w:t>SECTION 1 : LUTTE CONTRE LES FAKE-NEWS ET LES DISCOURS DE HAINE</w:t>
      </w:r>
      <w:bookmarkEnd w:id="99"/>
      <w:bookmarkEnd w:id="100"/>
      <w:bookmarkEnd w:id="101"/>
      <w:bookmarkEnd w:id="102"/>
      <w:bookmarkEnd w:id="103"/>
    </w:p>
    <w:p w14:paraId="0EEFEF2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Pour la mise en œuvre de son projet « Information contre désinformation du CSC », l’instance de régulation a entrepris des démarches pour une certification professionnelle, en vue de lutter plus efficacement contre la désinformation et les messages de haine dans les médias au Burkina Faso. C’est dans cette dynamique qu’une rencontre d’échanges a réuni des cadres du CSC et des représentants d’écoles de formation de journalistes, le 9 mai 2023. L’objectif était d’amender le projet de curricula de la formation certifiée au </w:t>
      </w:r>
      <w:proofErr w:type="spellStart"/>
      <w:r>
        <w:rPr>
          <w:rFonts w:ascii="Rockwell" w:hAnsi="Rockwell" w:cs="Times New Roman"/>
          <w:i/>
          <w:sz w:val="26"/>
          <w:szCs w:val="26"/>
        </w:rPr>
        <w:t>fact</w:t>
      </w:r>
      <w:proofErr w:type="spellEnd"/>
      <w:r>
        <w:rPr>
          <w:rFonts w:ascii="Rockwell" w:hAnsi="Rockwell" w:cs="Times New Roman"/>
          <w:i/>
          <w:sz w:val="26"/>
          <w:szCs w:val="26"/>
        </w:rPr>
        <w:t>-checking</w:t>
      </w:r>
      <w:r>
        <w:rPr>
          <w:rFonts w:ascii="Rockwell" w:hAnsi="Rockwell" w:cs="Times New Roman"/>
          <w:sz w:val="26"/>
          <w:szCs w:val="26"/>
        </w:rPr>
        <w:t xml:space="preserve"> élaboré par l’Institut des Sciences et Techniques de l’Information (ISTIC). Les échanges ont permis de mettre en place un programme de formation. D’un coût d’environ soixante (60) millions, il permettra le renforcement de capacités de cent (100) journalistes issus de cinquante (50) rédactions. Le projet qui doit être exécuté par l’ISTIC a été soumis aux partenaires du CSC pour l’accompagner dans son financement.</w:t>
      </w:r>
    </w:p>
    <w:p w14:paraId="25B65AC0" w14:textId="77777777" w:rsidR="00733207" w:rsidRDefault="00733207">
      <w:pPr>
        <w:spacing w:before="120" w:after="120" w:line="360" w:lineRule="auto"/>
        <w:jc w:val="both"/>
        <w:rPr>
          <w:rFonts w:ascii="Rockwell" w:hAnsi="Rockwell" w:cs="Times New Roman"/>
          <w:sz w:val="26"/>
          <w:szCs w:val="26"/>
        </w:rPr>
      </w:pPr>
    </w:p>
    <w:p w14:paraId="5FC43856" w14:textId="77777777" w:rsidR="00733207" w:rsidRPr="00E417CA" w:rsidRDefault="00912BAE">
      <w:pPr>
        <w:pStyle w:val="Titre3"/>
        <w:spacing w:before="240" w:after="240" w:line="360" w:lineRule="auto"/>
        <w:jc w:val="center"/>
        <w:rPr>
          <w:rFonts w:ascii="Rockwell" w:hAnsi="Rockwell"/>
          <w:b/>
          <w:i/>
          <w:color w:val="auto"/>
          <w:sz w:val="28"/>
          <w:szCs w:val="28"/>
        </w:rPr>
      </w:pPr>
      <w:bookmarkStart w:id="104" w:name="_Toc170209322"/>
      <w:bookmarkStart w:id="105" w:name="_Toc169854362"/>
      <w:bookmarkStart w:id="106" w:name="_Toc175128447"/>
      <w:bookmarkStart w:id="107" w:name="_Toc169855108"/>
      <w:r w:rsidRPr="00E417CA">
        <w:rPr>
          <w:rFonts w:ascii="Rockwell" w:hAnsi="Rockwell"/>
          <w:b/>
          <w:i/>
          <w:color w:val="auto"/>
          <w:sz w:val="28"/>
          <w:szCs w:val="28"/>
        </w:rPr>
        <w:t>SECTION 2 : INSTAURATION D’UN MANDAT DE PREDICATEUR DANS LES MEDIAS</w:t>
      </w:r>
      <w:bookmarkEnd w:id="104"/>
      <w:bookmarkEnd w:id="105"/>
      <w:bookmarkEnd w:id="106"/>
      <w:bookmarkEnd w:id="107"/>
    </w:p>
    <w:p w14:paraId="05B22B1D" w14:textId="77777777" w:rsidR="00733207" w:rsidRDefault="00733207">
      <w:pPr>
        <w:spacing w:before="120" w:after="120" w:line="360" w:lineRule="auto"/>
        <w:jc w:val="both"/>
        <w:rPr>
          <w:rFonts w:ascii="Rockwell" w:hAnsi="Rockwell"/>
          <w:i/>
          <w:sz w:val="10"/>
          <w:szCs w:val="10"/>
        </w:rPr>
      </w:pPr>
    </w:p>
    <w:p w14:paraId="1F2CB248" w14:textId="77777777" w:rsidR="00733207" w:rsidRDefault="00912BAE">
      <w:pPr>
        <w:spacing w:before="120" w:after="120" w:line="360" w:lineRule="auto"/>
        <w:jc w:val="both"/>
        <w:rPr>
          <w:rFonts w:ascii="Rockwell" w:eastAsia="Calibri" w:hAnsi="Rockwell" w:cs="Times New Roman"/>
          <w:sz w:val="26"/>
          <w:szCs w:val="26"/>
          <w:lang w:val="zh-CN"/>
        </w:rPr>
      </w:pPr>
      <w:r>
        <w:rPr>
          <w:rFonts w:ascii="Rockwell" w:eastAsia="Calibri" w:hAnsi="Rockwell" w:cs="Times New Roman"/>
          <w:sz w:val="26"/>
          <w:szCs w:val="26"/>
          <w:lang w:val="zh-CN"/>
        </w:rPr>
        <w:t>Le Conseil supérieur de la communication a initié, en collaboration avec l’Observatoire National des Faits Religieux (ONAFAR), un atelier de réflexion sur la mise en œuvre du “</w:t>
      </w:r>
      <w:r>
        <w:rPr>
          <w:rFonts w:ascii="Rockwell" w:eastAsia="Calibri" w:hAnsi="Rockwell" w:cs="Times New Roman"/>
          <w:i/>
          <w:sz w:val="26"/>
          <w:szCs w:val="26"/>
          <w:lang w:val="zh-CN"/>
        </w:rPr>
        <w:t>mandat de communiquer</w:t>
      </w:r>
      <w:r>
        <w:rPr>
          <w:rFonts w:ascii="Rockwell" w:eastAsia="Calibri" w:hAnsi="Rockwell" w:cs="Times New Roman"/>
          <w:sz w:val="26"/>
          <w:szCs w:val="26"/>
          <w:lang w:val="zh-CN"/>
        </w:rPr>
        <w:t xml:space="preserve">” des prédicateurs, dans le Guide de gestion des contenus médiatiques à caractère confessionnel. L’atelier qui s’est tenu dans la salle de conférence du CSC, le 19 septembre 2023, a connu la participation des faitières religieuses et médiatiques, des médias </w:t>
      </w:r>
      <w:r>
        <w:rPr>
          <w:rFonts w:ascii="Rockwell" w:eastAsia="Calibri" w:hAnsi="Rockwell" w:cs="Times New Roman"/>
          <w:sz w:val="26"/>
          <w:szCs w:val="26"/>
          <w:lang w:val="zh-CN"/>
        </w:rPr>
        <w:lastRenderedPageBreak/>
        <w:t>confessionnels et des régulateurs. Il s’est agi pour les participants de réflechir sur cette problématique.</w:t>
      </w:r>
    </w:p>
    <w:p w14:paraId="10C03738"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Pour les cas où le prédicateur n’est affilié à aucune faitière, les participants ont suggéré que ce dernier fasse recours au CSC pour l’obtention dudit document. </w:t>
      </w:r>
      <w:r>
        <w:rPr>
          <w:rFonts w:ascii="Rockwell" w:eastAsia="Calibri" w:hAnsi="Rockwell" w:cs="Times New Roman"/>
          <w:sz w:val="26"/>
          <w:szCs w:val="26"/>
          <w:lang w:val="zh-CN"/>
        </w:rPr>
        <w:t xml:space="preserve">Ils ont également recommandé la mise en place de cellules </w:t>
      </w:r>
      <w:r>
        <w:rPr>
          <w:rFonts w:ascii="Rockwell" w:eastAsia="Calibri" w:hAnsi="Rockwell" w:cs="Times New Roman"/>
          <w:sz w:val="26"/>
          <w:szCs w:val="26"/>
        </w:rPr>
        <w:t xml:space="preserve">d’autorégulation au sein des médias confessionnels qui devront travailler en étroite collaboration avec l’ONAFAR. </w:t>
      </w:r>
    </w:p>
    <w:p w14:paraId="391328A0" w14:textId="77777777" w:rsidR="00733207" w:rsidRDefault="00733207">
      <w:pPr>
        <w:spacing w:before="120" w:after="120" w:line="360" w:lineRule="auto"/>
        <w:jc w:val="both"/>
        <w:rPr>
          <w:rFonts w:ascii="Rockwell" w:eastAsia="Calibri" w:hAnsi="Rockwell" w:cs="Times New Roman"/>
          <w:sz w:val="26"/>
          <w:szCs w:val="26"/>
        </w:rPr>
      </w:pPr>
    </w:p>
    <w:p w14:paraId="2F0A4E54" w14:textId="65CB674A" w:rsidR="00733207" w:rsidRPr="00E417CA" w:rsidRDefault="00912BAE">
      <w:pPr>
        <w:pStyle w:val="Titre3"/>
        <w:spacing w:before="240" w:after="240" w:line="360" w:lineRule="auto"/>
        <w:jc w:val="center"/>
        <w:rPr>
          <w:rFonts w:ascii="Rockwell" w:hAnsi="Rockwell"/>
          <w:b/>
          <w:i/>
          <w:color w:val="auto"/>
          <w:sz w:val="28"/>
          <w:szCs w:val="28"/>
        </w:rPr>
      </w:pPr>
      <w:bookmarkStart w:id="108" w:name="_Toc175128448"/>
      <w:bookmarkStart w:id="109" w:name="_Toc170209323"/>
      <w:bookmarkStart w:id="110" w:name="_Toc169855109"/>
      <w:bookmarkStart w:id="111" w:name="_Toc169854363"/>
      <w:r w:rsidRPr="00E417CA">
        <w:rPr>
          <w:rFonts w:ascii="Rockwell" w:hAnsi="Rockwell"/>
          <w:b/>
          <w:i/>
          <w:color w:val="auto"/>
          <w:sz w:val="28"/>
          <w:szCs w:val="28"/>
        </w:rPr>
        <w:t>SECTION 3 : MISE EN PLACE D’UN PLAN D’ACTION DES JOURNALISTES ET COMMUNICATEURS CONFESSIONNELS</w:t>
      </w:r>
      <w:bookmarkEnd w:id="108"/>
      <w:bookmarkEnd w:id="109"/>
      <w:bookmarkEnd w:id="110"/>
      <w:bookmarkEnd w:id="111"/>
    </w:p>
    <w:p w14:paraId="396BBBF1" w14:textId="77777777" w:rsidR="00733207" w:rsidRDefault="00733207">
      <w:pPr>
        <w:jc w:val="both"/>
        <w:rPr>
          <w:rFonts w:ascii="Rockwell" w:hAnsi="Rockwell"/>
        </w:rPr>
      </w:pPr>
    </w:p>
    <w:p w14:paraId="7515D4B4" w14:textId="4746792B"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CSC a organisé, en collaboration avec l’ONAFAR, les 24 et 25 octobre 2023 à Manga, chef-lieu de la région du Centre Sud, un atelier de réflexion en vue de l’élaboration d’un plan d’action des associations des journalistes et communicateurs confessionnels que sont l’UCAP/B, le REJCOM/BF et l’UJCEB. </w:t>
      </w:r>
    </w:p>
    <w:p w14:paraId="618DFA85"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Placée sous le thème général, « </w:t>
      </w:r>
      <w:r>
        <w:rPr>
          <w:rFonts w:ascii="Rockwell" w:eastAsia="Calibri" w:hAnsi="Rockwell" w:cs="Times New Roman"/>
          <w:i/>
          <w:sz w:val="26"/>
          <w:szCs w:val="26"/>
        </w:rPr>
        <w:t>médias, discours religieux et paix : quelles contributions du REJCOM, de l’UCAP/B et de l’UJCEB</w:t>
      </w:r>
      <w:r>
        <w:rPr>
          <w:rFonts w:ascii="Rockwell" w:eastAsia="Calibri" w:hAnsi="Rockwell" w:cs="Times New Roman"/>
          <w:sz w:val="26"/>
          <w:szCs w:val="26"/>
        </w:rPr>
        <w:t> », cette rencontre a réuni une cinquantaine de participants issus de ces trois (03) structures ainsi que de l’ONAFAR et du CSC. L’atelier s’est articulé autour d’une communication introductive, d’un panel, des travaux de groupes, d’une présentation par les responsables du CSC et de l’ONAFAR, des deux instruments d’encadrement des émissions confessionnelles.</w:t>
      </w:r>
    </w:p>
    <w:p w14:paraId="1ED0A758"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Sur la base des propositions faites par les panelistes, les participants sont parvenus à dégager une esquisse de plan d’action, lequel a été par la suite consolidé par un comité technique en vue de son exécution par les concernés au cours de l’année 2024.</w:t>
      </w:r>
    </w:p>
    <w:p w14:paraId="63E4A6A3" w14:textId="77777777" w:rsidR="00733207" w:rsidRDefault="00733207">
      <w:pPr>
        <w:spacing w:before="120" w:after="120" w:line="360" w:lineRule="auto"/>
        <w:jc w:val="both"/>
        <w:rPr>
          <w:rFonts w:ascii="Rockwell" w:eastAsia="Calibri" w:hAnsi="Rockwell" w:cs="Times New Roman"/>
          <w:sz w:val="26"/>
          <w:szCs w:val="26"/>
        </w:rPr>
      </w:pPr>
    </w:p>
    <w:p w14:paraId="5A72E7AB" w14:textId="77777777" w:rsidR="00733207" w:rsidRDefault="00733207">
      <w:pPr>
        <w:spacing w:before="120" w:after="120" w:line="360" w:lineRule="auto"/>
        <w:jc w:val="both"/>
        <w:rPr>
          <w:rFonts w:ascii="Rockwell" w:eastAsia="Calibri" w:hAnsi="Rockwell" w:cs="Times New Roman"/>
          <w:sz w:val="26"/>
          <w:szCs w:val="26"/>
        </w:rPr>
      </w:pPr>
    </w:p>
    <w:p w14:paraId="45B0AB71" w14:textId="77777777" w:rsidR="00733207" w:rsidRPr="00E417CA" w:rsidRDefault="00912BAE">
      <w:pPr>
        <w:pStyle w:val="Titre3"/>
        <w:spacing w:before="240" w:after="240" w:line="360" w:lineRule="auto"/>
        <w:jc w:val="center"/>
        <w:rPr>
          <w:rFonts w:ascii="Rockwell" w:hAnsi="Rockwell"/>
          <w:b/>
          <w:i/>
          <w:color w:val="auto"/>
          <w:sz w:val="28"/>
          <w:szCs w:val="28"/>
        </w:rPr>
      </w:pPr>
      <w:bookmarkStart w:id="112" w:name="_Toc169855110"/>
      <w:bookmarkStart w:id="113" w:name="_Toc169854364"/>
      <w:bookmarkStart w:id="114" w:name="_Toc170209324"/>
      <w:bookmarkStart w:id="115" w:name="_Toc175128449"/>
      <w:r w:rsidRPr="00E417CA">
        <w:rPr>
          <w:rFonts w:ascii="Rockwell" w:hAnsi="Rockwell"/>
          <w:b/>
          <w:i/>
          <w:color w:val="auto"/>
          <w:sz w:val="28"/>
          <w:szCs w:val="28"/>
        </w:rPr>
        <w:lastRenderedPageBreak/>
        <w:t>SECTION 4 : PARRAINAGE DU 6</w:t>
      </w:r>
      <w:r w:rsidRPr="00E417CA">
        <w:rPr>
          <w:rFonts w:ascii="Rockwell" w:hAnsi="Rockwell"/>
          <w:b/>
          <w:i/>
          <w:color w:val="auto"/>
          <w:sz w:val="28"/>
          <w:szCs w:val="28"/>
          <w:vertAlign w:val="superscript"/>
        </w:rPr>
        <w:t>E</w:t>
      </w:r>
      <w:r w:rsidRPr="00E417CA">
        <w:rPr>
          <w:rFonts w:ascii="Rockwell" w:hAnsi="Rockwell"/>
          <w:b/>
          <w:i/>
          <w:color w:val="auto"/>
          <w:sz w:val="28"/>
          <w:szCs w:val="28"/>
        </w:rPr>
        <w:t xml:space="preserve"> FORUM DES MEDIAS CHRETIENS D’AFRIQUE FRANCOPHONE</w:t>
      </w:r>
      <w:bookmarkEnd w:id="112"/>
      <w:bookmarkEnd w:id="113"/>
      <w:bookmarkEnd w:id="114"/>
      <w:bookmarkEnd w:id="115"/>
    </w:p>
    <w:p w14:paraId="25ADEB0A" w14:textId="77777777" w:rsidR="00733207" w:rsidRDefault="00733207">
      <w:pPr>
        <w:jc w:val="both"/>
        <w:rPr>
          <w:rFonts w:ascii="Rockwell" w:hAnsi="Rockwell"/>
          <w:sz w:val="10"/>
          <w:szCs w:val="10"/>
          <w:lang w:eastAsia="fr-FR"/>
        </w:rPr>
      </w:pPr>
    </w:p>
    <w:p w14:paraId="1C1EA212"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 xml:space="preserve">Le Président du CSC a </w:t>
      </w:r>
      <w:proofErr w:type="spellStart"/>
      <w:r>
        <w:rPr>
          <w:rFonts w:ascii="Rockwell" w:eastAsia="Times New Roman" w:hAnsi="Rockwell" w:cs="Times New Roman"/>
          <w:sz w:val="26"/>
          <w:szCs w:val="26"/>
          <w:lang w:eastAsia="fr-FR"/>
        </w:rPr>
        <w:t>co-parrainé</w:t>
      </w:r>
      <w:proofErr w:type="spellEnd"/>
      <w:r>
        <w:rPr>
          <w:rFonts w:ascii="Rockwell" w:eastAsia="Times New Roman" w:hAnsi="Rockwell" w:cs="Times New Roman"/>
          <w:sz w:val="26"/>
          <w:szCs w:val="26"/>
          <w:lang w:eastAsia="fr-FR"/>
        </w:rPr>
        <w:t>, le 30 octobre 2023 à Ouagadougou, le 6</w:t>
      </w:r>
      <w:r>
        <w:rPr>
          <w:rFonts w:ascii="Rockwell" w:eastAsia="Times New Roman" w:hAnsi="Rockwell" w:cs="Times New Roman"/>
          <w:sz w:val="26"/>
          <w:szCs w:val="26"/>
          <w:vertAlign w:val="superscript"/>
          <w:lang w:eastAsia="fr-FR"/>
        </w:rPr>
        <w:t>e</w:t>
      </w:r>
      <w:r>
        <w:rPr>
          <w:rFonts w:ascii="Rockwell" w:eastAsia="Times New Roman" w:hAnsi="Rockwell" w:cs="Times New Roman"/>
          <w:sz w:val="26"/>
          <w:szCs w:val="26"/>
          <w:lang w:eastAsia="fr-FR"/>
        </w:rPr>
        <w:t xml:space="preserve"> Forum des médias chrétiens d’Afrique francophone (FOMECAF) sur le thème : « </w:t>
      </w:r>
      <w:r>
        <w:rPr>
          <w:rFonts w:ascii="Rockwell" w:eastAsia="Times New Roman" w:hAnsi="Rockwell" w:cs="Times New Roman"/>
          <w:i/>
          <w:sz w:val="26"/>
          <w:szCs w:val="26"/>
          <w:lang w:eastAsia="fr-FR"/>
        </w:rPr>
        <w:t xml:space="preserve">Médias chrétiens, outils de paix dans un monde en conflit </w:t>
      </w:r>
      <w:r>
        <w:rPr>
          <w:rFonts w:ascii="Rockwell" w:eastAsia="Times New Roman" w:hAnsi="Rockwell" w:cs="Times New Roman"/>
          <w:sz w:val="26"/>
          <w:szCs w:val="26"/>
          <w:lang w:eastAsia="fr-FR"/>
        </w:rPr>
        <w:t xml:space="preserve">». </w:t>
      </w:r>
    </w:p>
    <w:p w14:paraId="5E3C524C"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 xml:space="preserve">Le choix du thème converge avec la vision du CSC sur la responsabilité sociale des organes de presse et singulièrement des médias confessionnels dans le contexte de crise sécuritaire et de tensions sociales. </w:t>
      </w:r>
    </w:p>
    <w:p w14:paraId="4B2E0B92"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 xml:space="preserve">Ainsi, ils devront davantage s’engager à lutter contre la désinformation, les discours de haine, les incitations à la violence sur les réseaux sociaux et dans les émissions d'expression directe.  </w:t>
      </w:r>
    </w:p>
    <w:p w14:paraId="407EB156"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 xml:space="preserve"> Le 6</w:t>
      </w:r>
      <w:r>
        <w:rPr>
          <w:rFonts w:ascii="Rockwell" w:eastAsia="Times New Roman" w:hAnsi="Rockwell" w:cs="Times New Roman"/>
          <w:sz w:val="26"/>
          <w:szCs w:val="26"/>
          <w:vertAlign w:val="superscript"/>
          <w:lang w:eastAsia="fr-FR"/>
        </w:rPr>
        <w:t>e</w:t>
      </w:r>
      <w:r>
        <w:rPr>
          <w:rFonts w:ascii="Rockwell" w:eastAsia="Times New Roman" w:hAnsi="Rockwell" w:cs="Times New Roman"/>
          <w:sz w:val="26"/>
          <w:szCs w:val="26"/>
          <w:lang w:eastAsia="fr-FR"/>
        </w:rPr>
        <w:t xml:space="preserve"> FOMECAF, premier du genre à Ouagadougou, a réuni des participants venus du Bénin, du Togo, du Niger, de la Côte d’Ivoire, du Mali et du Burkina Faso.</w:t>
      </w:r>
    </w:p>
    <w:p w14:paraId="57660D27" w14:textId="77777777" w:rsidR="00733207" w:rsidRDefault="00733207">
      <w:pPr>
        <w:jc w:val="both"/>
        <w:rPr>
          <w:rFonts w:ascii="Rockwell" w:hAnsi="Rockwell"/>
          <w:lang w:eastAsia="fr-FR"/>
        </w:rPr>
      </w:pPr>
    </w:p>
    <w:p w14:paraId="01137401" w14:textId="77777777" w:rsidR="00733207" w:rsidRPr="00E417CA" w:rsidRDefault="00912BAE">
      <w:pPr>
        <w:pStyle w:val="Titre3"/>
        <w:spacing w:before="240" w:after="240" w:line="360" w:lineRule="auto"/>
        <w:jc w:val="center"/>
        <w:rPr>
          <w:rFonts w:ascii="Rockwell" w:eastAsia="Times New Roman" w:hAnsi="Rockwell"/>
          <w:b/>
          <w:i/>
          <w:color w:val="auto"/>
          <w:sz w:val="28"/>
          <w:szCs w:val="28"/>
          <w:lang w:eastAsia="fr-FR"/>
        </w:rPr>
      </w:pPr>
      <w:bookmarkStart w:id="116" w:name="_Toc170209325"/>
      <w:bookmarkStart w:id="117" w:name="_Toc169855111"/>
      <w:bookmarkStart w:id="118" w:name="_Toc175128450"/>
      <w:bookmarkStart w:id="119" w:name="_Toc169854365"/>
      <w:r w:rsidRPr="00E417CA">
        <w:rPr>
          <w:rFonts w:ascii="Rockwell" w:eastAsia="Times New Roman" w:hAnsi="Rockwell"/>
          <w:b/>
          <w:i/>
          <w:color w:val="auto"/>
          <w:sz w:val="28"/>
          <w:szCs w:val="28"/>
          <w:lang w:eastAsia="fr-FR"/>
        </w:rPr>
        <w:t>SECTION 5 : PARTICIPATION AU LANCEMENT DE LA CAMPAGNE DE PREVENTION INITIEE PAR LA BCLCC</w:t>
      </w:r>
      <w:bookmarkEnd w:id="116"/>
      <w:bookmarkEnd w:id="117"/>
      <w:bookmarkEnd w:id="118"/>
      <w:bookmarkEnd w:id="119"/>
    </w:p>
    <w:p w14:paraId="6255EDE1" w14:textId="77777777" w:rsidR="00733207" w:rsidRDefault="00733207">
      <w:pPr>
        <w:spacing w:before="120" w:after="120" w:line="360" w:lineRule="auto"/>
        <w:jc w:val="both"/>
        <w:rPr>
          <w:rFonts w:ascii="Rockwell" w:hAnsi="Rockwell"/>
          <w:sz w:val="10"/>
          <w:szCs w:val="10"/>
          <w:lang w:eastAsia="fr-FR"/>
        </w:rPr>
      </w:pPr>
    </w:p>
    <w:p w14:paraId="1593AE54" w14:textId="77777777" w:rsidR="00733207" w:rsidRDefault="00912BAE">
      <w:pPr>
        <w:spacing w:before="120" w:after="120" w:line="36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 xml:space="preserve">Le Président du CSC a parrainé, le 21 décembre 2023 à Ouagadougou, la cérémonie de lancement de la campagne de prévention des discours de haine et de lutte contre l’incitation à la discrimination et à la violence sur Internet. Cette initiative de la Brigade centrale de lutte contre la cybercriminalité (BCLCC) en collaboration avec le CSC, le Ministère en charge de l’administration territoriale et de la sécurité et le Haut-commissariat des droits de l’Homme (HCDH), vise à renforcer la cohésion sociale au Burkina Faso et à soutenir les efforts du gouvernement dans la promotion des droits de l’Homme. </w:t>
      </w:r>
    </w:p>
    <w:p w14:paraId="0310136E" w14:textId="77777777" w:rsidR="00733207" w:rsidRDefault="00912BAE">
      <w:pPr>
        <w:spacing w:before="120" w:after="120" w:line="360" w:lineRule="auto"/>
        <w:jc w:val="both"/>
        <w:rPr>
          <w:rFonts w:ascii="Rockwell" w:hAnsi="Rockwell" w:cs="Times New Roman"/>
          <w:sz w:val="26"/>
          <w:szCs w:val="26"/>
        </w:rPr>
      </w:pPr>
      <w:r>
        <w:rPr>
          <w:rFonts w:ascii="Rockwell" w:eastAsia="Times New Roman" w:hAnsi="Rockwell" w:cs="Times New Roman"/>
          <w:sz w:val="26"/>
          <w:szCs w:val="26"/>
          <w:lang w:eastAsia="fr-FR"/>
        </w:rPr>
        <w:lastRenderedPageBreak/>
        <w:t xml:space="preserve">Elle devra s’étendre sur trois (03) mois et se dérouler essentiellement à travers des affiches et des spots qui seront diffusés sur les antennes des radios et sur les plateformes numériques comme </w:t>
      </w:r>
      <w:r>
        <w:rPr>
          <w:rFonts w:ascii="Rockwell" w:eastAsia="Times New Roman" w:hAnsi="Rockwell" w:cs="Times New Roman"/>
          <w:i/>
          <w:sz w:val="26"/>
          <w:szCs w:val="26"/>
          <w:lang w:eastAsia="fr-FR"/>
        </w:rPr>
        <w:t>Facebook</w:t>
      </w:r>
      <w:r>
        <w:rPr>
          <w:rFonts w:ascii="Rockwell" w:eastAsia="Times New Roman" w:hAnsi="Rockwell" w:cs="Times New Roman"/>
          <w:sz w:val="26"/>
          <w:szCs w:val="26"/>
          <w:lang w:eastAsia="fr-FR"/>
        </w:rPr>
        <w:t>.</w:t>
      </w:r>
    </w:p>
    <w:p w14:paraId="7A1CE749" w14:textId="77777777" w:rsidR="00733207" w:rsidRDefault="00733207">
      <w:pPr>
        <w:spacing w:before="120" w:after="120" w:line="360" w:lineRule="auto"/>
        <w:jc w:val="both"/>
        <w:rPr>
          <w:rFonts w:ascii="Rockwell" w:hAnsi="Rockwell" w:cs="Times New Roman"/>
          <w:sz w:val="26"/>
          <w:szCs w:val="26"/>
        </w:rPr>
      </w:pPr>
    </w:p>
    <w:p w14:paraId="188B2251" w14:textId="77777777" w:rsidR="00733207" w:rsidRDefault="00733207">
      <w:pPr>
        <w:spacing w:before="120" w:after="120" w:line="360" w:lineRule="auto"/>
        <w:jc w:val="both"/>
        <w:rPr>
          <w:rFonts w:ascii="Rockwell" w:hAnsi="Rockwell" w:cs="Times New Roman"/>
          <w:sz w:val="26"/>
          <w:szCs w:val="26"/>
        </w:rPr>
      </w:pPr>
    </w:p>
    <w:p w14:paraId="4B869407" w14:textId="77777777" w:rsidR="00733207" w:rsidRDefault="00733207">
      <w:pPr>
        <w:spacing w:before="120" w:after="120" w:line="360" w:lineRule="auto"/>
        <w:jc w:val="both"/>
        <w:rPr>
          <w:rFonts w:ascii="Rockwell" w:hAnsi="Rockwell" w:cs="Times New Roman"/>
          <w:sz w:val="26"/>
          <w:szCs w:val="26"/>
        </w:rPr>
      </w:pPr>
    </w:p>
    <w:p w14:paraId="198A5DDF" w14:textId="77777777" w:rsidR="00733207" w:rsidRDefault="00733207">
      <w:pPr>
        <w:spacing w:before="120" w:after="120" w:line="360" w:lineRule="auto"/>
        <w:jc w:val="both"/>
        <w:rPr>
          <w:rFonts w:ascii="Rockwell" w:hAnsi="Rockwell" w:cs="Times New Roman"/>
          <w:sz w:val="26"/>
          <w:szCs w:val="26"/>
        </w:rPr>
      </w:pPr>
    </w:p>
    <w:p w14:paraId="68D3AF90" w14:textId="77777777" w:rsidR="00733207" w:rsidRDefault="00733207">
      <w:pPr>
        <w:spacing w:before="120" w:after="120" w:line="360" w:lineRule="auto"/>
        <w:jc w:val="both"/>
        <w:rPr>
          <w:rFonts w:ascii="Rockwell" w:hAnsi="Rockwell" w:cs="Times New Roman"/>
          <w:sz w:val="26"/>
          <w:szCs w:val="26"/>
        </w:rPr>
      </w:pPr>
    </w:p>
    <w:p w14:paraId="06DD54DB" w14:textId="77777777" w:rsidR="00733207" w:rsidRDefault="00733207">
      <w:pPr>
        <w:spacing w:before="120" w:after="120" w:line="360" w:lineRule="auto"/>
        <w:jc w:val="both"/>
        <w:rPr>
          <w:rFonts w:ascii="Rockwell" w:hAnsi="Rockwell" w:cs="Times New Roman"/>
          <w:sz w:val="26"/>
          <w:szCs w:val="26"/>
        </w:rPr>
      </w:pPr>
    </w:p>
    <w:p w14:paraId="57DB595F" w14:textId="77777777" w:rsidR="00733207" w:rsidRDefault="00733207">
      <w:pPr>
        <w:spacing w:before="120" w:after="120" w:line="360" w:lineRule="auto"/>
        <w:jc w:val="both"/>
        <w:rPr>
          <w:rFonts w:ascii="Rockwell" w:hAnsi="Rockwell" w:cs="Times New Roman"/>
          <w:sz w:val="26"/>
          <w:szCs w:val="26"/>
        </w:rPr>
      </w:pPr>
    </w:p>
    <w:p w14:paraId="71664097" w14:textId="77777777" w:rsidR="00733207" w:rsidRDefault="00733207">
      <w:pPr>
        <w:spacing w:before="120" w:after="120" w:line="360" w:lineRule="auto"/>
        <w:jc w:val="both"/>
        <w:rPr>
          <w:rFonts w:ascii="Rockwell" w:hAnsi="Rockwell" w:cs="Times New Roman"/>
          <w:sz w:val="26"/>
          <w:szCs w:val="26"/>
        </w:rPr>
      </w:pPr>
    </w:p>
    <w:p w14:paraId="72B4FA6A" w14:textId="77777777" w:rsidR="00733207" w:rsidRDefault="00733207">
      <w:pPr>
        <w:spacing w:before="120" w:after="120" w:line="360" w:lineRule="auto"/>
        <w:jc w:val="both"/>
        <w:rPr>
          <w:rFonts w:ascii="Rockwell" w:hAnsi="Rockwell" w:cs="Times New Roman"/>
          <w:sz w:val="26"/>
          <w:szCs w:val="26"/>
        </w:rPr>
      </w:pPr>
    </w:p>
    <w:p w14:paraId="60DE031E" w14:textId="77777777" w:rsidR="00733207" w:rsidRDefault="00733207">
      <w:pPr>
        <w:spacing w:before="120" w:after="120" w:line="360" w:lineRule="auto"/>
        <w:jc w:val="both"/>
        <w:rPr>
          <w:rFonts w:ascii="Rockwell" w:hAnsi="Rockwell" w:cs="Times New Roman"/>
          <w:sz w:val="26"/>
          <w:szCs w:val="26"/>
        </w:rPr>
      </w:pPr>
    </w:p>
    <w:p w14:paraId="7B915048" w14:textId="77777777" w:rsidR="00733207" w:rsidRDefault="00733207">
      <w:pPr>
        <w:spacing w:before="120" w:after="120" w:line="360" w:lineRule="auto"/>
        <w:jc w:val="both"/>
        <w:rPr>
          <w:rFonts w:ascii="Rockwell" w:hAnsi="Rockwell" w:cs="Times New Roman"/>
          <w:sz w:val="26"/>
          <w:szCs w:val="26"/>
        </w:rPr>
      </w:pPr>
    </w:p>
    <w:p w14:paraId="067814E5" w14:textId="77777777" w:rsidR="00733207" w:rsidRDefault="00733207">
      <w:pPr>
        <w:spacing w:before="120" w:after="120" w:line="360" w:lineRule="auto"/>
        <w:jc w:val="both"/>
        <w:rPr>
          <w:rFonts w:ascii="Rockwell" w:hAnsi="Rockwell" w:cs="Times New Roman"/>
          <w:sz w:val="26"/>
          <w:szCs w:val="26"/>
        </w:rPr>
      </w:pPr>
    </w:p>
    <w:p w14:paraId="00F8386E" w14:textId="77777777" w:rsidR="00733207" w:rsidRDefault="00733207">
      <w:pPr>
        <w:pStyle w:val="Titre1"/>
        <w:spacing w:before="120" w:after="120" w:line="360" w:lineRule="auto"/>
        <w:jc w:val="center"/>
        <w:rPr>
          <w:rFonts w:ascii="Rockwell" w:hAnsi="Rockwell"/>
          <w:b/>
          <w:color w:val="auto"/>
        </w:rPr>
      </w:pPr>
      <w:bookmarkStart w:id="120" w:name="_Toc169854366"/>
      <w:bookmarkStart w:id="121" w:name="_Toc170209326"/>
      <w:bookmarkStart w:id="122" w:name="_Toc169855112"/>
    </w:p>
    <w:p w14:paraId="0463A620" w14:textId="77777777" w:rsidR="00733207" w:rsidRDefault="00733207">
      <w:pPr>
        <w:pStyle w:val="Titre1"/>
        <w:spacing w:before="120" w:after="120" w:line="360" w:lineRule="auto"/>
        <w:jc w:val="center"/>
        <w:rPr>
          <w:rFonts w:ascii="Rockwell" w:hAnsi="Rockwell"/>
          <w:b/>
          <w:color w:val="auto"/>
        </w:rPr>
      </w:pPr>
    </w:p>
    <w:p w14:paraId="03B3F5E0" w14:textId="77777777" w:rsidR="00733207" w:rsidRDefault="00733207">
      <w:pPr>
        <w:pStyle w:val="Titre1"/>
        <w:spacing w:before="120" w:after="120" w:line="360" w:lineRule="auto"/>
        <w:jc w:val="center"/>
        <w:rPr>
          <w:rFonts w:ascii="Rockwell" w:hAnsi="Rockwell"/>
          <w:b/>
          <w:color w:val="auto"/>
        </w:rPr>
      </w:pPr>
    </w:p>
    <w:p w14:paraId="4962DC18" w14:textId="77777777" w:rsidR="00733207" w:rsidRDefault="00733207">
      <w:pPr>
        <w:pStyle w:val="Titre1"/>
        <w:spacing w:before="120" w:after="120" w:line="360" w:lineRule="auto"/>
        <w:jc w:val="center"/>
        <w:rPr>
          <w:rFonts w:ascii="Rockwell" w:hAnsi="Rockwell"/>
          <w:b/>
          <w:color w:val="auto"/>
        </w:rPr>
      </w:pPr>
    </w:p>
    <w:p w14:paraId="09FAC9F0" w14:textId="77777777" w:rsidR="00733207" w:rsidRDefault="00733207">
      <w:pPr>
        <w:pStyle w:val="Titre1"/>
        <w:spacing w:before="120" w:after="120" w:line="360" w:lineRule="auto"/>
        <w:jc w:val="center"/>
        <w:rPr>
          <w:rFonts w:ascii="Rockwell" w:hAnsi="Rockwell"/>
          <w:b/>
          <w:color w:val="auto"/>
        </w:rPr>
      </w:pPr>
    </w:p>
    <w:p w14:paraId="72545545" w14:textId="77777777" w:rsidR="00733207" w:rsidRDefault="00733207">
      <w:pPr>
        <w:pStyle w:val="Titre1"/>
        <w:spacing w:before="120" w:after="120" w:line="360" w:lineRule="auto"/>
        <w:jc w:val="center"/>
        <w:rPr>
          <w:rFonts w:ascii="Rockwell" w:hAnsi="Rockwell"/>
          <w:b/>
          <w:color w:val="auto"/>
        </w:rPr>
      </w:pPr>
    </w:p>
    <w:p w14:paraId="120A63D4" w14:textId="77777777" w:rsidR="00733207" w:rsidRDefault="00733207">
      <w:pPr>
        <w:pStyle w:val="Titre1"/>
        <w:spacing w:before="120" w:after="120" w:line="360" w:lineRule="auto"/>
        <w:jc w:val="center"/>
        <w:rPr>
          <w:rFonts w:ascii="Rockwell" w:hAnsi="Rockwell"/>
          <w:b/>
          <w:color w:val="auto"/>
        </w:rPr>
      </w:pPr>
    </w:p>
    <w:p w14:paraId="47C63749" w14:textId="77777777" w:rsidR="00733207" w:rsidRDefault="00912BAE">
      <w:pPr>
        <w:pStyle w:val="Titre1"/>
        <w:spacing w:before="120" w:after="120" w:line="360" w:lineRule="auto"/>
        <w:jc w:val="center"/>
        <w:rPr>
          <w:rFonts w:ascii="Rockwell" w:hAnsi="Rockwell"/>
          <w:b/>
          <w:color w:val="auto"/>
        </w:rPr>
      </w:pPr>
      <w:bookmarkStart w:id="123" w:name="_Toc175128451"/>
      <w:r>
        <w:rPr>
          <w:rFonts w:ascii="Rockwell" w:hAnsi="Rockwell"/>
          <w:b/>
          <w:color w:val="auto"/>
        </w:rPr>
        <w:t>DEUXIEME PARTIE : ACTIVITES DE REGULATION COURANTE DES MEDIAS</w:t>
      </w:r>
      <w:bookmarkEnd w:id="120"/>
      <w:bookmarkEnd w:id="121"/>
      <w:bookmarkEnd w:id="122"/>
      <w:bookmarkEnd w:id="123"/>
    </w:p>
    <w:p w14:paraId="1A43B7CD" w14:textId="77777777" w:rsidR="00733207" w:rsidRDefault="00733207">
      <w:pPr>
        <w:spacing w:before="120" w:after="120" w:line="360" w:lineRule="auto"/>
        <w:jc w:val="both"/>
        <w:rPr>
          <w:rFonts w:ascii="Rockwell" w:hAnsi="Rockwell" w:cs="Times New Roman"/>
          <w:sz w:val="26"/>
          <w:szCs w:val="26"/>
        </w:rPr>
      </w:pPr>
    </w:p>
    <w:p w14:paraId="32EEE381" w14:textId="77777777" w:rsidR="00733207" w:rsidRDefault="00733207">
      <w:pPr>
        <w:spacing w:before="120" w:after="120" w:line="360" w:lineRule="auto"/>
        <w:jc w:val="both"/>
        <w:rPr>
          <w:rFonts w:ascii="Rockwell" w:hAnsi="Rockwell" w:cs="Times New Roman"/>
          <w:sz w:val="26"/>
          <w:szCs w:val="26"/>
        </w:rPr>
      </w:pPr>
    </w:p>
    <w:p w14:paraId="119A8FE7" w14:textId="77777777" w:rsidR="00733207" w:rsidRDefault="00733207">
      <w:pPr>
        <w:spacing w:before="120" w:after="120" w:line="360" w:lineRule="auto"/>
        <w:jc w:val="both"/>
        <w:rPr>
          <w:rFonts w:ascii="Rockwell" w:hAnsi="Rockwell" w:cs="Times New Roman"/>
          <w:sz w:val="26"/>
          <w:szCs w:val="26"/>
        </w:rPr>
      </w:pPr>
    </w:p>
    <w:p w14:paraId="718F41B2" w14:textId="77777777" w:rsidR="00733207" w:rsidRDefault="00733207">
      <w:pPr>
        <w:spacing w:before="120" w:after="120" w:line="360" w:lineRule="auto"/>
        <w:jc w:val="both"/>
        <w:rPr>
          <w:rFonts w:ascii="Rockwell" w:hAnsi="Rockwell" w:cs="Times New Roman"/>
          <w:sz w:val="26"/>
          <w:szCs w:val="26"/>
        </w:rPr>
      </w:pPr>
    </w:p>
    <w:p w14:paraId="1FD82D05"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br w:type="page"/>
      </w:r>
    </w:p>
    <w:p w14:paraId="4343ED43" w14:textId="77777777" w:rsidR="00733207" w:rsidRDefault="00912BAE">
      <w:pPr>
        <w:pStyle w:val="Titre2"/>
        <w:spacing w:before="120" w:after="120" w:line="360" w:lineRule="auto"/>
        <w:jc w:val="center"/>
        <w:rPr>
          <w:rFonts w:ascii="Rockwell" w:hAnsi="Rockwell"/>
          <w:b/>
          <w:color w:val="auto"/>
          <w:sz w:val="30"/>
          <w:szCs w:val="30"/>
        </w:rPr>
      </w:pPr>
      <w:bookmarkStart w:id="124" w:name="_Toc175128452"/>
      <w:bookmarkStart w:id="125" w:name="_Toc169855113"/>
      <w:bookmarkStart w:id="126" w:name="_Toc170209327"/>
      <w:bookmarkStart w:id="127" w:name="_Toc169854367"/>
      <w:bookmarkStart w:id="128" w:name="_Toc141088436"/>
      <w:bookmarkStart w:id="129" w:name="_Toc141088567"/>
      <w:bookmarkStart w:id="130" w:name="_Toc138337984"/>
      <w:r>
        <w:rPr>
          <w:rFonts w:ascii="Rockwell" w:hAnsi="Rockwell"/>
          <w:b/>
          <w:color w:val="auto"/>
          <w:sz w:val="30"/>
          <w:szCs w:val="30"/>
        </w:rPr>
        <w:lastRenderedPageBreak/>
        <w:t>CHAPITRE I : PRISE EN COMPTE DU NUMERIQUE DANS LA REGULATION DE LA COMMUNICATION</w:t>
      </w:r>
      <w:bookmarkEnd w:id="124"/>
      <w:bookmarkEnd w:id="125"/>
      <w:bookmarkEnd w:id="126"/>
      <w:bookmarkEnd w:id="127"/>
    </w:p>
    <w:p w14:paraId="1FF1F204" w14:textId="77777777" w:rsidR="00733207" w:rsidRDefault="00733207">
      <w:pPr>
        <w:spacing w:before="120" w:after="120" w:line="360" w:lineRule="auto"/>
        <w:jc w:val="both"/>
        <w:rPr>
          <w:rFonts w:ascii="Rockwell" w:hAnsi="Rockwell"/>
          <w:sz w:val="26"/>
          <w:szCs w:val="26"/>
        </w:rPr>
      </w:pPr>
    </w:p>
    <w:p w14:paraId="1FDE52A8" w14:textId="77777777" w:rsidR="00733207" w:rsidRPr="007E1984" w:rsidRDefault="00912BAE">
      <w:pPr>
        <w:pStyle w:val="Titre3"/>
        <w:spacing w:before="240" w:after="240" w:line="360" w:lineRule="auto"/>
        <w:jc w:val="center"/>
        <w:rPr>
          <w:rFonts w:ascii="Rockwell" w:hAnsi="Rockwell"/>
          <w:b/>
          <w:i/>
          <w:color w:val="auto"/>
          <w:sz w:val="28"/>
          <w:szCs w:val="28"/>
        </w:rPr>
      </w:pPr>
      <w:bookmarkStart w:id="131" w:name="_Toc175128453"/>
      <w:bookmarkStart w:id="132" w:name="_Toc170209328"/>
      <w:bookmarkStart w:id="133" w:name="_Toc169855114"/>
      <w:bookmarkStart w:id="134" w:name="_Toc169854368"/>
      <w:r w:rsidRPr="007E1984">
        <w:rPr>
          <w:rFonts w:ascii="Rockwell" w:hAnsi="Rockwell"/>
          <w:b/>
          <w:i/>
          <w:color w:val="auto"/>
          <w:sz w:val="28"/>
          <w:szCs w:val="28"/>
        </w:rPr>
        <w:t>SECTION 1 : REFLEXIONS COLLECTIVES ET PARTAGE D’EXPERIENCES</w:t>
      </w:r>
      <w:bookmarkEnd w:id="128"/>
      <w:bookmarkEnd w:id="129"/>
      <w:bookmarkEnd w:id="131"/>
      <w:bookmarkEnd w:id="132"/>
      <w:bookmarkEnd w:id="133"/>
      <w:bookmarkEnd w:id="134"/>
    </w:p>
    <w:p w14:paraId="2F15AA49" w14:textId="77777777" w:rsidR="00733207" w:rsidRDefault="00733207">
      <w:pPr>
        <w:spacing w:before="120" w:after="120" w:line="360" w:lineRule="auto"/>
        <w:jc w:val="both"/>
        <w:rPr>
          <w:rFonts w:ascii="Rockwell" w:hAnsi="Rockwell"/>
          <w:sz w:val="10"/>
          <w:szCs w:val="10"/>
        </w:rPr>
      </w:pPr>
    </w:p>
    <w:p w14:paraId="6D326F49" w14:textId="77777777" w:rsidR="00733207" w:rsidRDefault="00912BAE">
      <w:pPr>
        <w:pStyle w:val="Titre4"/>
        <w:spacing w:before="240" w:after="240" w:line="360" w:lineRule="auto"/>
        <w:jc w:val="center"/>
        <w:rPr>
          <w:rFonts w:ascii="Rockwell" w:hAnsi="Rockwell"/>
          <w:b/>
          <w:i w:val="0"/>
          <w:color w:val="auto"/>
          <w:sz w:val="28"/>
          <w:szCs w:val="28"/>
        </w:rPr>
      </w:pPr>
      <w:bookmarkStart w:id="135" w:name="_Toc169855115"/>
      <w:bookmarkStart w:id="136" w:name="_Toc141088568"/>
      <w:bookmarkStart w:id="137" w:name="_Toc175128454"/>
      <w:r>
        <w:rPr>
          <w:rFonts w:ascii="Rockwell" w:hAnsi="Rockwell"/>
          <w:b/>
          <w:i w:val="0"/>
          <w:color w:val="auto"/>
          <w:sz w:val="28"/>
          <w:szCs w:val="28"/>
        </w:rPr>
        <w:t xml:space="preserve">Paragraphe 1 : Participation aux travaux de réflexion des réseaux de régulateurs de la </w:t>
      </w:r>
      <w:commentRangeStart w:id="138"/>
      <w:r>
        <w:rPr>
          <w:rFonts w:ascii="Rockwell" w:hAnsi="Rockwell"/>
          <w:b/>
          <w:i w:val="0"/>
          <w:color w:val="auto"/>
          <w:sz w:val="28"/>
          <w:szCs w:val="28"/>
        </w:rPr>
        <w:t>communication</w:t>
      </w:r>
      <w:bookmarkEnd w:id="135"/>
      <w:bookmarkEnd w:id="136"/>
      <w:commentRangeEnd w:id="138"/>
      <w:r>
        <w:rPr>
          <w:rStyle w:val="Marquedecommentaire"/>
          <w:rFonts w:ascii="Calibri" w:eastAsia="Calibri" w:hAnsi="Calibri" w:cs="Times New Roman"/>
          <w:i w:val="0"/>
          <w:iCs w:val="0"/>
          <w:color w:val="auto"/>
          <w:lang w:eastAsia="fr-FR"/>
        </w:rPr>
        <w:commentReference w:id="138"/>
      </w:r>
      <w:bookmarkEnd w:id="137"/>
      <w:r>
        <w:rPr>
          <w:rFonts w:ascii="Rockwell" w:hAnsi="Rockwell"/>
          <w:b/>
          <w:i w:val="0"/>
          <w:color w:val="auto"/>
          <w:sz w:val="28"/>
          <w:szCs w:val="28"/>
        </w:rPr>
        <w:t xml:space="preserve"> </w:t>
      </w:r>
    </w:p>
    <w:p w14:paraId="42E42946" w14:textId="77777777" w:rsidR="00733207" w:rsidRDefault="00733207">
      <w:pPr>
        <w:jc w:val="both"/>
        <w:rPr>
          <w:rFonts w:ascii="Rockwell" w:hAnsi="Rockwell"/>
          <w:sz w:val="10"/>
          <w:szCs w:val="10"/>
        </w:rPr>
      </w:pPr>
    </w:p>
    <w:p w14:paraId="46102FAE" w14:textId="77777777" w:rsidR="00733207" w:rsidRDefault="00912BAE">
      <w:pPr>
        <w:spacing w:before="120" w:after="120" w:line="360" w:lineRule="auto"/>
        <w:jc w:val="both"/>
        <w:rPr>
          <w:rFonts w:ascii="Rockwell" w:hAnsi="Rockwell" w:cstheme="majorBidi"/>
          <w:bCs/>
          <w:i/>
          <w:sz w:val="26"/>
          <w:szCs w:val="26"/>
        </w:rPr>
      </w:pPr>
      <w:r>
        <w:rPr>
          <w:rFonts w:ascii="Rockwell" w:hAnsi="Rockwell" w:cstheme="majorBidi"/>
          <w:bCs/>
          <w:sz w:val="26"/>
          <w:szCs w:val="26"/>
        </w:rPr>
        <w:t xml:space="preserve">Les régulateurs africains de la communication ont entamé des réflexions collectives sur les solutions envisageables pour faire face </w:t>
      </w:r>
      <w:r>
        <w:rPr>
          <w:rFonts w:ascii="Rockwell" w:hAnsi="Rockwell"/>
          <w:sz w:val="26"/>
          <w:szCs w:val="26"/>
        </w:rPr>
        <w:t xml:space="preserve">aux grandes transformations induites par la révolution numérique et son impact, en termes de désinformation et de discours de haine, etc... </w:t>
      </w:r>
      <w:r>
        <w:rPr>
          <w:rFonts w:ascii="Rockwell" w:hAnsi="Rockwell" w:cstheme="majorBidi"/>
          <w:sz w:val="26"/>
          <w:szCs w:val="26"/>
          <w:shd w:val="clear" w:color="auto" w:fill="FFFFFF"/>
        </w:rPr>
        <w:t xml:space="preserve">L’objectif recherché est </w:t>
      </w:r>
      <w:r>
        <w:rPr>
          <w:rFonts w:ascii="Rockwell" w:hAnsi="Rockwell" w:cstheme="majorBidi"/>
          <w:bCs/>
          <w:sz w:val="26"/>
          <w:szCs w:val="26"/>
        </w:rPr>
        <w:t xml:space="preserve">de parvenir à adopter un modèle de régulation </w:t>
      </w:r>
      <w:r>
        <w:rPr>
          <w:rFonts w:ascii="Rockwell" w:hAnsi="Rockwell" w:cstheme="majorBidi"/>
          <w:sz w:val="26"/>
          <w:szCs w:val="26"/>
        </w:rPr>
        <w:t>du numérique fondé sur le principe de « </w:t>
      </w:r>
      <w:r>
        <w:rPr>
          <w:rFonts w:ascii="Rockwell" w:hAnsi="Rockwell" w:cstheme="majorBidi"/>
          <w:iCs/>
          <w:sz w:val="26"/>
          <w:szCs w:val="26"/>
        </w:rPr>
        <w:t xml:space="preserve">ce </w:t>
      </w:r>
      <w:r>
        <w:rPr>
          <w:rFonts w:ascii="Rockwell" w:hAnsi="Rockwell" w:cstheme="majorBidi"/>
          <w:iCs/>
          <w:sz w:val="26"/>
          <w:szCs w:val="26"/>
          <w:shd w:val="clear" w:color="auto" w:fill="FFFFFF"/>
        </w:rPr>
        <w:t>qui est illégal hors ligne l’est également en ligne ».</w:t>
      </w:r>
      <w:r>
        <w:rPr>
          <w:rFonts w:ascii="Rockwell" w:hAnsi="Rockwell" w:cstheme="majorBidi"/>
          <w:bCs/>
          <w:sz w:val="26"/>
          <w:szCs w:val="26"/>
        </w:rPr>
        <w:t xml:space="preserve"> Ces concertations font suite à la toute première conférence mondiale de l’UNESCO qui s’est tenue </w:t>
      </w:r>
      <w:r>
        <w:rPr>
          <w:rFonts w:ascii="Rockwell" w:hAnsi="Rockwell" w:cs="Times New Roman"/>
          <w:sz w:val="26"/>
          <w:szCs w:val="26"/>
          <w:shd w:val="clear" w:color="auto" w:fill="FFFFFF"/>
        </w:rPr>
        <w:t xml:space="preserve">à Paris les 22 et 23 février 2023, </w:t>
      </w:r>
      <w:r>
        <w:rPr>
          <w:rFonts w:ascii="Rockwell" w:hAnsi="Rockwell" w:cstheme="majorBidi"/>
          <w:bCs/>
          <w:sz w:val="26"/>
          <w:szCs w:val="26"/>
        </w:rPr>
        <w:t xml:space="preserve">sur le thème : </w:t>
      </w:r>
      <w:r>
        <w:rPr>
          <w:rFonts w:ascii="Rockwell" w:hAnsi="Rockwell" w:cstheme="majorBidi"/>
          <w:bCs/>
          <w:i/>
          <w:sz w:val="26"/>
          <w:szCs w:val="26"/>
        </w:rPr>
        <w:t>« Pour un Internet de confiance, vers des principes de régulation des plateformes numériques pour l’information comme bien commun ».</w:t>
      </w:r>
    </w:p>
    <w:p w14:paraId="76020A76" w14:textId="77777777" w:rsidR="00733207" w:rsidRDefault="00912BAE">
      <w:pPr>
        <w:spacing w:before="120" w:after="120" w:line="360" w:lineRule="auto"/>
        <w:jc w:val="both"/>
        <w:rPr>
          <w:rFonts w:ascii="Rockwell" w:hAnsi="Rockwell" w:cstheme="majorBidi"/>
          <w:bCs/>
          <w:sz w:val="26"/>
          <w:szCs w:val="26"/>
        </w:rPr>
      </w:pPr>
      <w:r>
        <w:rPr>
          <w:rFonts w:ascii="Rockwell" w:hAnsi="Rockwell"/>
          <w:sz w:val="26"/>
          <w:szCs w:val="26"/>
        </w:rPr>
        <w:t xml:space="preserve">Toujours dans cette dynamique, le </w:t>
      </w:r>
      <w:r>
        <w:rPr>
          <w:rFonts w:ascii="Rockwell" w:hAnsi="Rockwell" w:cstheme="majorBidi"/>
          <w:bCs/>
          <w:sz w:val="26"/>
          <w:szCs w:val="26"/>
        </w:rPr>
        <w:t>CSC a participé à d’importantes rencontres de partage d’expériences dans les pays suivants :</w:t>
      </w:r>
    </w:p>
    <w:p w14:paraId="4758526B" w14:textId="77777777" w:rsidR="00733207" w:rsidRDefault="00912BAE">
      <w:pPr>
        <w:pStyle w:val="Paragraphedeliste"/>
        <w:numPr>
          <w:ilvl w:val="0"/>
          <w:numId w:val="11"/>
        </w:numPr>
        <w:spacing w:before="120" w:after="120" w:line="360" w:lineRule="auto"/>
        <w:jc w:val="both"/>
        <w:rPr>
          <w:rFonts w:ascii="Rockwell" w:hAnsi="Rockwell" w:cstheme="majorBidi"/>
          <w:bCs/>
          <w:sz w:val="26"/>
          <w:szCs w:val="26"/>
        </w:rPr>
      </w:pPr>
      <w:proofErr w:type="gramStart"/>
      <w:r>
        <w:rPr>
          <w:rFonts w:ascii="Rockwell" w:hAnsi="Rockwell" w:cstheme="majorBidi"/>
          <w:b/>
          <w:bCs/>
          <w:sz w:val="26"/>
          <w:szCs w:val="26"/>
        </w:rPr>
        <w:t>le</w:t>
      </w:r>
      <w:proofErr w:type="gramEnd"/>
      <w:r>
        <w:rPr>
          <w:rFonts w:ascii="Rockwell" w:hAnsi="Rockwell" w:cstheme="majorBidi"/>
          <w:b/>
          <w:bCs/>
          <w:sz w:val="26"/>
          <w:szCs w:val="26"/>
        </w:rPr>
        <w:t xml:space="preserve"> Niger :</w:t>
      </w:r>
      <w:r>
        <w:rPr>
          <w:rFonts w:ascii="Rockwell" w:hAnsi="Rockwell" w:cstheme="majorBidi"/>
          <w:bCs/>
          <w:sz w:val="26"/>
          <w:szCs w:val="26"/>
        </w:rPr>
        <w:t xml:space="preserve"> participation au </w:t>
      </w:r>
      <w:r>
        <w:rPr>
          <w:rFonts w:ascii="Rockwell" w:hAnsi="Rockwell" w:cs="Times New Roman"/>
          <w:bCs/>
          <w:sz w:val="26"/>
          <w:szCs w:val="26"/>
        </w:rPr>
        <w:t>Colloque international,</w:t>
      </w:r>
      <w:r>
        <w:rPr>
          <w:rFonts w:ascii="Rockwell" w:hAnsi="Rockwell" w:cs="Times New Roman"/>
          <w:sz w:val="26"/>
          <w:szCs w:val="26"/>
        </w:rPr>
        <w:t xml:space="preserve"> sur le thème : </w:t>
      </w:r>
      <w:r>
        <w:rPr>
          <w:rFonts w:ascii="Rockwell" w:hAnsi="Rockwell" w:cs="Times New Roman"/>
          <w:i/>
          <w:sz w:val="26"/>
          <w:szCs w:val="26"/>
        </w:rPr>
        <w:t xml:space="preserve">« </w:t>
      </w:r>
      <w:r>
        <w:rPr>
          <w:rFonts w:ascii="Rockwell" w:hAnsi="Rockwell" w:cs="Times New Roman"/>
          <w:bCs/>
          <w:i/>
          <w:sz w:val="26"/>
          <w:szCs w:val="26"/>
        </w:rPr>
        <w:t xml:space="preserve">Cadre juridique de la régulation des contenus en ligne </w:t>
      </w:r>
      <w:r>
        <w:rPr>
          <w:rFonts w:ascii="Rockwell" w:hAnsi="Rockwell" w:cs="Times New Roman"/>
          <w:i/>
          <w:sz w:val="26"/>
          <w:szCs w:val="26"/>
        </w:rPr>
        <w:t>»,</w:t>
      </w:r>
      <w:r>
        <w:rPr>
          <w:rFonts w:ascii="Rockwell" w:hAnsi="Rockwell" w:cs="Times New Roman"/>
          <w:b/>
          <w:i/>
          <w:sz w:val="26"/>
          <w:szCs w:val="26"/>
        </w:rPr>
        <w:t xml:space="preserve"> </w:t>
      </w:r>
      <w:r>
        <w:rPr>
          <w:rFonts w:ascii="Rockwell" w:hAnsi="Rockwell" w:cs="Times New Roman"/>
          <w:sz w:val="26"/>
          <w:szCs w:val="26"/>
        </w:rPr>
        <w:t>tenu à Niamey les 12 et 13 février 2023 </w:t>
      </w:r>
      <w:r>
        <w:rPr>
          <w:rFonts w:ascii="Rockwell" w:hAnsi="Rockwell" w:cs="Times New Roman"/>
          <w:b/>
          <w:i/>
          <w:sz w:val="26"/>
          <w:szCs w:val="26"/>
        </w:rPr>
        <w:t>;</w:t>
      </w:r>
    </w:p>
    <w:p w14:paraId="225EAEF6" w14:textId="77777777" w:rsidR="00733207" w:rsidRDefault="00912BAE">
      <w:pPr>
        <w:pStyle w:val="Paragraphedeliste"/>
        <w:numPr>
          <w:ilvl w:val="0"/>
          <w:numId w:val="11"/>
        </w:numPr>
        <w:spacing w:before="120" w:after="120" w:line="360" w:lineRule="auto"/>
        <w:jc w:val="both"/>
        <w:rPr>
          <w:rFonts w:ascii="Rockwell" w:hAnsi="Rockwell" w:cstheme="majorBidi"/>
          <w:b/>
          <w:bCs/>
          <w:sz w:val="26"/>
          <w:szCs w:val="26"/>
          <w:u w:val="single"/>
        </w:rPr>
      </w:pPr>
      <w:proofErr w:type="gramStart"/>
      <w:r>
        <w:rPr>
          <w:rFonts w:ascii="Rockwell" w:hAnsi="Rockwell" w:cstheme="majorBidi"/>
          <w:b/>
          <w:bCs/>
          <w:sz w:val="26"/>
          <w:szCs w:val="26"/>
        </w:rPr>
        <w:t>la</w:t>
      </w:r>
      <w:proofErr w:type="gramEnd"/>
      <w:r>
        <w:rPr>
          <w:rFonts w:ascii="Rockwell" w:hAnsi="Rockwell" w:cstheme="majorBidi"/>
          <w:b/>
          <w:bCs/>
          <w:sz w:val="26"/>
          <w:szCs w:val="26"/>
        </w:rPr>
        <w:t xml:space="preserve"> Côte d’Ivoire :</w:t>
      </w:r>
    </w:p>
    <w:p w14:paraId="256ACFE9" w14:textId="77777777" w:rsidR="00733207" w:rsidRDefault="00912BAE">
      <w:pPr>
        <w:pStyle w:val="Paragraphedeliste"/>
        <w:numPr>
          <w:ilvl w:val="0"/>
          <w:numId w:val="12"/>
        </w:numPr>
        <w:spacing w:before="120" w:after="120" w:line="360" w:lineRule="auto"/>
        <w:jc w:val="both"/>
        <w:rPr>
          <w:rFonts w:ascii="Rockwell" w:hAnsi="Rockwell" w:cs="Times New Roman"/>
          <w:bCs/>
          <w:sz w:val="26"/>
          <w:szCs w:val="26"/>
        </w:rPr>
      </w:pPr>
      <w:r>
        <w:rPr>
          <w:rFonts w:ascii="Rockwell" w:hAnsi="Rockwell" w:cs="Times New Roman"/>
          <w:sz w:val="26"/>
          <w:szCs w:val="26"/>
        </w:rPr>
        <w:t>Mission de partage d’expériences avec la Haute Autorité de la Communication Audiovisuelle « sur la problématique de l’utilisation des médias sociaux », du 13 au 19 février 2023 ;</w:t>
      </w:r>
    </w:p>
    <w:p w14:paraId="0DB6EE7F" w14:textId="77777777" w:rsidR="00733207" w:rsidRDefault="00912BAE">
      <w:pPr>
        <w:pStyle w:val="Paragraphedeliste"/>
        <w:numPr>
          <w:ilvl w:val="0"/>
          <w:numId w:val="12"/>
        </w:numPr>
        <w:spacing w:before="120" w:after="120" w:line="360" w:lineRule="auto"/>
        <w:jc w:val="both"/>
        <w:rPr>
          <w:rFonts w:ascii="Rockwell" w:hAnsi="Rockwell" w:cs="Times New Roman"/>
          <w:b/>
          <w:sz w:val="26"/>
          <w:szCs w:val="26"/>
        </w:rPr>
      </w:pPr>
      <w:r>
        <w:rPr>
          <w:rFonts w:ascii="Rockwell" w:hAnsi="Rockwell" w:cs="Times New Roman"/>
          <w:sz w:val="26"/>
          <w:szCs w:val="26"/>
          <w:lang w:val="zh-CN"/>
        </w:rPr>
        <w:lastRenderedPageBreak/>
        <w:t xml:space="preserve">Participation au Colloque international sur le thème </w:t>
      </w:r>
      <w:r>
        <w:rPr>
          <w:rFonts w:ascii="Rockwell" w:hAnsi="Rockwell" w:cs="Times New Roman"/>
          <w:i/>
          <w:sz w:val="26"/>
          <w:szCs w:val="26"/>
        </w:rPr>
        <w:t xml:space="preserve">« Quelle approche commune des Régulateurs de l'Audiovisuel des pays membres de l'UEMOA et de la Guinée face aux Plateformes numériques ? », </w:t>
      </w:r>
      <w:r>
        <w:rPr>
          <w:rFonts w:ascii="Rockwell" w:hAnsi="Rockwell" w:cs="Times New Roman"/>
          <w:sz w:val="26"/>
          <w:szCs w:val="26"/>
        </w:rPr>
        <w:t>tenu</w:t>
      </w:r>
      <w:r>
        <w:rPr>
          <w:rFonts w:ascii="Rockwell" w:hAnsi="Rockwell" w:cs="Times New Roman"/>
          <w:b/>
          <w:sz w:val="26"/>
          <w:szCs w:val="26"/>
        </w:rPr>
        <w:t xml:space="preserve"> </w:t>
      </w:r>
      <w:r>
        <w:rPr>
          <w:rFonts w:ascii="Rockwell" w:hAnsi="Rockwell" w:cs="Times New Roman"/>
          <w:sz w:val="26"/>
          <w:szCs w:val="26"/>
          <w:lang w:val="zh-CN"/>
        </w:rPr>
        <w:t xml:space="preserve">les 07 et 08 juin 2023, à </w:t>
      </w:r>
      <w:r>
        <w:rPr>
          <w:rFonts w:ascii="Rockwell" w:hAnsi="Rockwell" w:cs="Times New Roman"/>
          <w:sz w:val="26"/>
          <w:szCs w:val="26"/>
          <w:shd w:val="clear" w:color="auto" w:fill="FFFFFF"/>
        </w:rPr>
        <w:t>Abidjan </w:t>
      </w:r>
      <w:r>
        <w:rPr>
          <w:rFonts w:ascii="Rockwell" w:hAnsi="Rockwell" w:cs="Times New Roman"/>
          <w:sz w:val="26"/>
          <w:szCs w:val="26"/>
          <w:lang w:val="zh-CN"/>
        </w:rPr>
        <w:t>;</w:t>
      </w:r>
    </w:p>
    <w:p w14:paraId="3DE8313D" w14:textId="77777777" w:rsidR="00733207" w:rsidRDefault="00912BAE">
      <w:pPr>
        <w:pStyle w:val="Paragraphedeliste"/>
        <w:numPr>
          <w:ilvl w:val="0"/>
          <w:numId w:val="13"/>
        </w:numPr>
        <w:spacing w:before="120" w:after="120" w:line="360" w:lineRule="auto"/>
        <w:jc w:val="both"/>
        <w:rPr>
          <w:rFonts w:ascii="Rockwell" w:hAnsi="Rockwell" w:cstheme="majorBidi"/>
          <w:bCs/>
          <w:sz w:val="26"/>
          <w:szCs w:val="26"/>
        </w:rPr>
      </w:pPr>
      <w:proofErr w:type="gramStart"/>
      <w:r>
        <w:rPr>
          <w:rFonts w:ascii="Rockwell" w:hAnsi="Rockwell" w:cstheme="majorBidi"/>
          <w:b/>
          <w:bCs/>
          <w:sz w:val="26"/>
          <w:szCs w:val="26"/>
        </w:rPr>
        <w:t>le</w:t>
      </w:r>
      <w:proofErr w:type="gramEnd"/>
      <w:r>
        <w:rPr>
          <w:rFonts w:ascii="Rockwell" w:hAnsi="Rockwell" w:cstheme="majorBidi"/>
          <w:b/>
          <w:bCs/>
          <w:sz w:val="26"/>
          <w:szCs w:val="26"/>
        </w:rPr>
        <w:t xml:space="preserve"> Maroc</w:t>
      </w:r>
      <w:r>
        <w:rPr>
          <w:rFonts w:ascii="Rockwell" w:hAnsi="Rockwell" w:cstheme="majorBidi"/>
          <w:bCs/>
          <w:sz w:val="26"/>
          <w:szCs w:val="26"/>
        </w:rPr>
        <w:t> </w:t>
      </w:r>
      <w:r>
        <w:rPr>
          <w:rFonts w:ascii="Rockwell" w:hAnsi="Rockwell" w:cstheme="majorBidi"/>
          <w:b/>
          <w:bCs/>
          <w:sz w:val="26"/>
          <w:szCs w:val="26"/>
        </w:rPr>
        <w:t>:</w:t>
      </w:r>
      <w:r>
        <w:rPr>
          <w:rFonts w:ascii="Rockwell" w:hAnsi="Rockwell" w:cstheme="majorBidi"/>
          <w:bCs/>
          <w:sz w:val="26"/>
          <w:szCs w:val="26"/>
        </w:rPr>
        <w:t xml:space="preserve"> participation à la Conférence internationale sur le thème : </w:t>
      </w:r>
      <w:r>
        <w:rPr>
          <w:rFonts w:ascii="Rockwell" w:hAnsi="Rockwell" w:cs="Times New Roman"/>
          <w:i/>
          <w:sz w:val="26"/>
          <w:szCs w:val="26"/>
        </w:rPr>
        <w:t>« pour une régulation éthique et inclusive de l’espace numérique : dialogue avec les responsables des plateformes numériques», tenue les 27 et 28 avril 2023.</w:t>
      </w:r>
      <w:r>
        <w:rPr>
          <w:rFonts w:ascii="Rockwell" w:hAnsi="Rockwell" w:cstheme="majorBidi"/>
          <w:bCs/>
          <w:i/>
          <w:sz w:val="26"/>
          <w:szCs w:val="26"/>
        </w:rPr>
        <w:t xml:space="preserve"> </w:t>
      </w:r>
    </w:p>
    <w:p w14:paraId="0FB5C65B" w14:textId="77777777" w:rsidR="00733207" w:rsidRDefault="00912BAE">
      <w:pPr>
        <w:spacing w:before="120" w:after="120" w:line="360" w:lineRule="auto"/>
        <w:jc w:val="both"/>
        <w:rPr>
          <w:rFonts w:ascii="Rockwell" w:hAnsi="Rockwell" w:cstheme="majorBidi"/>
          <w:bCs/>
          <w:sz w:val="26"/>
          <w:szCs w:val="26"/>
        </w:rPr>
      </w:pPr>
      <w:r>
        <w:rPr>
          <w:rFonts w:ascii="Rockwell" w:hAnsi="Rockwell" w:cstheme="majorBidi"/>
          <w:bCs/>
          <w:sz w:val="26"/>
          <w:szCs w:val="26"/>
        </w:rPr>
        <w:t>A l’issue de ces rencontres, le CSC a proposé des réformes normatives comme principal moyen d’adaptation à l’évolution technologique.</w:t>
      </w:r>
    </w:p>
    <w:p w14:paraId="4B8758B1" w14:textId="77777777" w:rsidR="00733207" w:rsidRDefault="00733207">
      <w:pPr>
        <w:spacing w:before="120" w:after="120" w:line="360" w:lineRule="auto"/>
        <w:jc w:val="both"/>
        <w:rPr>
          <w:rFonts w:ascii="Rockwell" w:hAnsi="Rockwell" w:cstheme="majorBidi"/>
          <w:bCs/>
          <w:sz w:val="26"/>
          <w:szCs w:val="26"/>
        </w:rPr>
      </w:pPr>
    </w:p>
    <w:p w14:paraId="22624AA8" w14:textId="19AB6609" w:rsidR="00733207" w:rsidRDefault="00912BAE">
      <w:pPr>
        <w:pStyle w:val="Titre4"/>
        <w:spacing w:before="240" w:after="240" w:line="360" w:lineRule="auto"/>
        <w:jc w:val="center"/>
        <w:rPr>
          <w:rFonts w:ascii="Rockwell" w:hAnsi="Rockwell"/>
          <w:b/>
          <w:i w:val="0"/>
          <w:color w:val="auto"/>
          <w:sz w:val="28"/>
          <w:szCs w:val="28"/>
        </w:rPr>
      </w:pPr>
      <w:bookmarkStart w:id="139" w:name="_Toc169855116"/>
      <w:bookmarkStart w:id="140" w:name="_Toc141088569"/>
      <w:bookmarkStart w:id="141" w:name="_Toc175128455"/>
      <w:r>
        <w:rPr>
          <w:rFonts w:ascii="Rockwell" w:hAnsi="Rockwell"/>
          <w:b/>
          <w:i w:val="0"/>
          <w:color w:val="auto"/>
          <w:sz w:val="28"/>
          <w:szCs w:val="28"/>
        </w:rPr>
        <w:t xml:space="preserve">Paragraphe 2 : </w:t>
      </w:r>
      <w:r w:rsidR="007E1984">
        <w:rPr>
          <w:rFonts w:ascii="Rockwell" w:hAnsi="Rockwell"/>
          <w:b/>
          <w:i w:val="0"/>
          <w:color w:val="auto"/>
          <w:sz w:val="28"/>
          <w:szCs w:val="28"/>
        </w:rPr>
        <w:t>R</w:t>
      </w:r>
      <w:r>
        <w:rPr>
          <w:rFonts w:ascii="Rockwell" w:hAnsi="Rockwell"/>
          <w:b/>
          <w:i w:val="0"/>
          <w:color w:val="auto"/>
          <w:sz w:val="28"/>
          <w:szCs w:val="28"/>
        </w:rPr>
        <w:t>éformes normatives</w:t>
      </w:r>
      <w:bookmarkEnd w:id="139"/>
      <w:bookmarkEnd w:id="140"/>
      <w:bookmarkEnd w:id="141"/>
    </w:p>
    <w:p w14:paraId="2FD6C60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Consciente de l’inadaptation de ses attributions à l’évolution du secteur de la communication, notamment l’émergence des médias sociaux et des plateformes numériques, et tirant leçon des expériences positives des autres instances de régulation de la communication, l’institution a initié la relecture de la loi organique n°015-2013/AN du 14 mai 2013 portant attributions, composition, organisation et fonctionnement du Conseil supérieur de la communication et de son modificatif, la loi organique n°044-2018/AN du 22 mars 2018. </w:t>
      </w:r>
    </w:p>
    <w:p w14:paraId="5D77E0D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Cette réforme vise à élargir son champ de compétence pour l’étendre aux acteurs des médias sociaux et des blogs (web activistes, blogueurs et influenceurs) disposant d’au moins 5000 abonnés en ligne. Elle a été adoptée par le législateur le 21 novembre 2023, mais avant, le CSC a, comme précédemment évoqué, entrepris des démarches dans le sens de la sensibilisation à une bonne utilisation des réseaux sociaux.</w:t>
      </w:r>
    </w:p>
    <w:p w14:paraId="5AF8AFCE" w14:textId="77777777" w:rsidR="00733207" w:rsidRDefault="00733207">
      <w:pPr>
        <w:spacing w:before="120" w:after="120" w:line="360" w:lineRule="auto"/>
        <w:jc w:val="both"/>
        <w:rPr>
          <w:rFonts w:ascii="Rockwell" w:hAnsi="Rockwell"/>
          <w:sz w:val="26"/>
          <w:szCs w:val="26"/>
        </w:rPr>
      </w:pPr>
    </w:p>
    <w:p w14:paraId="117D51AC" w14:textId="541D3E54" w:rsidR="00733207" w:rsidRDefault="00912BAE">
      <w:pPr>
        <w:pStyle w:val="Titre4"/>
        <w:spacing w:before="240" w:after="240" w:line="360" w:lineRule="auto"/>
        <w:jc w:val="center"/>
        <w:rPr>
          <w:rFonts w:ascii="Rockwell" w:hAnsi="Rockwell"/>
          <w:b/>
          <w:i w:val="0"/>
          <w:color w:val="auto"/>
          <w:sz w:val="28"/>
          <w:szCs w:val="28"/>
        </w:rPr>
      </w:pPr>
      <w:bookmarkStart w:id="142" w:name="_Toc169855117"/>
      <w:bookmarkStart w:id="143" w:name="_Toc141088570"/>
      <w:bookmarkStart w:id="144" w:name="_Toc175128456"/>
      <w:r>
        <w:rPr>
          <w:rFonts w:ascii="Rockwell" w:hAnsi="Rockwell"/>
          <w:b/>
          <w:i w:val="0"/>
          <w:color w:val="auto"/>
          <w:sz w:val="28"/>
          <w:szCs w:val="28"/>
        </w:rPr>
        <w:lastRenderedPageBreak/>
        <w:t xml:space="preserve">Paragraphe 3 : </w:t>
      </w:r>
      <w:r w:rsidR="007E1984">
        <w:rPr>
          <w:rFonts w:ascii="Rockwell" w:hAnsi="Rockwell"/>
          <w:b/>
          <w:i w:val="0"/>
          <w:color w:val="auto"/>
          <w:sz w:val="28"/>
          <w:szCs w:val="28"/>
        </w:rPr>
        <w:t xml:space="preserve">Sensibilisation </w:t>
      </w:r>
      <w:r>
        <w:rPr>
          <w:rFonts w:ascii="Rockwell" w:hAnsi="Rockwell"/>
          <w:b/>
          <w:i w:val="0"/>
          <w:color w:val="auto"/>
          <w:sz w:val="28"/>
          <w:szCs w:val="28"/>
        </w:rPr>
        <w:t>à des comportements responsables sur les réseaux sociaux</w:t>
      </w:r>
      <w:bookmarkEnd w:id="142"/>
      <w:bookmarkEnd w:id="143"/>
      <w:bookmarkEnd w:id="144"/>
    </w:p>
    <w:p w14:paraId="0FB2F32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La liberté d’expression est, sans conteste, un droit fondamental consacré par la Constitution du Burkina Faso. Toutefois, avec l’avènement des espaces virtuels de communication, l’exercice de ce droit fondamental est souvent source de danger, non seulement pour l’Etat, mais aussi pour les citoyens eux-mêmes. </w:t>
      </w:r>
    </w:p>
    <w:p w14:paraId="5F27C7F5"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Pour contribuer à apaiser le climat social dans ce contexte difficile de crise sécuritaire où une parole, un mot mal placé peut conduire à une implosion sociale, le CSC a, entrepris la sensibilisation des citoyens burkinabè, à travers l’adoption et la vulgarisation de dix (10) conseils pour des comportements responsables sur les réseaux sociaux. </w:t>
      </w:r>
    </w:p>
    <w:p w14:paraId="142EEE3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Cette démarche, qui se veut être pédagogique, vise une prise de conscience des Burkinabè quant à leur responsabilité dans la sauvegarde de la paix et de la cohésion sociale. </w:t>
      </w:r>
    </w:p>
    <w:p w14:paraId="6774FF74" w14:textId="77777777" w:rsidR="00733207" w:rsidRDefault="00733207">
      <w:pPr>
        <w:spacing w:before="120" w:after="120" w:line="360" w:lineRule="auto"/>
        <w:jc w:val="both"/>
        <w:rPr>
          <w:rFonts w:ascii="Rockwell" w:hAnsi="Rockwell" w:cs="Times New Roman"/>
          <w:sz w:val="26"/>
          <w:szCs w:val="26"/>
        </w:rPr>
      </w:pPr>
    </w:p>
    <w:p w14:paraId="0E78F8AF" w14:textId="77777777" w:rsidR="00733207" w:rsidRPr="007E1984" w:rsidRDefault="00912BAE">
      <w:pPr>
        <w:pStyle w:val="Titre3"/>
        <w:spacing w:before="120" w:after="120" w:line="360" w:lineRule="auto"/>
        <w:jc w:val="center"/>
        <w:rPr>
          <w:rFonts w:ascii="Rockwell" w:hAnsi="Rockwell"/>
          <w:b/>
          <w:i/>
          <w:color w:val="auto"/>
          <w:sz w:val="28"/>
          <w:szCs w:val="28"/>
        </w:rPr>
      </w:pPr>
      <w:bookmarkStart w:id="145" w:name="_Toc170209329"/>
      <w:bookmarkStart w:id="146" w:name="_Toc175128457"/>
      <w:r w:rsidRPr="007E1984">
        <w:rPr>
          <w:rFonts w:ascii="Rockwell" w:hAnsi="Rockwell"/>
          <w:b/>
          <w:i/>
          <w:color w:val="auto"/>
          <w:sz w:val="28"/>
          <w:szCs w:val="28"/>
        </w:rPr>
        <w:t>SECTION 2 : MODERNISATION DES PROCEDURES</w:t>
      </w:r>
      <w:bookmarkEnd w:id="145"/>
      <w:bookmarkEnd w:id="146"/>
    </w:p>
    <w:p w14:paraId="51E9087F" w14:textId="77777777" w:rsidR="00733207" w:rsidRDefault="00733207">
      <w:pPr>
        <w:spacing w:before="120" w:after="120" w:line="360" w:lineRule="auto"/>
        <w:jc w:val="center"/>
        <w:rPr>
          <w:rFonts w:ascii="Rockwell" w:hAnsi="Rockwell" w:cs="Times New Roman"/>
          <w:sz w:val="26"/>
          <w:szCs w:val="26"/>
        </w:rPr>
      </w:pPr>
    </w:p>
    <w:p w14:paraId="73F7CF7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Afin de rendre son site Internet plus dynamique, plus moderne et en vue d’offrir une meilleure visibilité de ses activités, le Conseil supérieur de la communication a procédé à sa refonte. La nouvelle infrastructure ainsi que les autres plateformes digitales ont été lancées officiellement, le 13 juillet 2023, par le Président </w:t>
      </w:r>
      <w:proofErr w:type="spellStart"/>
      <w:r>
        <w:rPr>
          <w:rFonts w:ascii="Rockwell" w:hAnsi="Rockwell" w:cs="Times New Roman"/>
          <w:sz w:val="26"/>
          <w:szCs w:val="26"/>
        </w:rPr>
        <w:t>Abdoulazize</w:t>
      </w:r>
      <w:proofErr w:type="spellEnd"/>
      <w:r>
        <w:rPr>
          <w:rFonts w:ascii="Rockwell" w:hAnsi="Rockwell" w:cs="Times New Roman"/>
          <w:sz w:val="26"/>
          <w:szCs w:val="26"/>
        </w:rPr>
        <w:t xml:space="preserve"> BAMOGO.</w:t>
      </w:r>
    </w:p>
    <w:p w14:paraId="04DE240E" w14:textId="700E7E93"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CSC disposait d’un portail web accessible à tous les usagers et dont le but était, non seulement de donner une visibilité aux actions de l’Institution, mais aussi de permettre aux citoyens de la saisir pour tout manquement constaté. Anciennement accessible à l’adresse www.csc.bf, le </w:t>
      </w:r>
      <w:r w:rsidR="007E1984">
        <w:rPr>
          <w:rFonts w:ascii="Rockwell" w:hAnsi="Rockwell" w:cs="Times New Roman"/>
          <w:sz w:val="26"/>
          <w:szCs w:val="26"/>
        </w:rPr>
        <w:t>site a migré</w:t>
      </w:r>
      <w:r w:rsidR="00A650F7">
        <w:rPr>
          <w:rFonts w:ascii="Rockwell" w:hAnsi="Rockwell" w:cs="Times New Roman"/>
          <w:sz w:val="26"/>
          <w:szCs w:val="26"/>
        </w:rPr>
        <w:t xml:space="preserve"> vers l’adresse </w:t>
      </w:r>
      <w:r w:rsidR="00A650F7" w:rsidRPr="00A650F7">
        <w:rPr>
          <w:rFonts w:ascii="Rockwell" w:hAnsi="Rockwell" w:cs="Times New Roman"/>
          <w:sz w:val="26"/>
          <w:szCs w:val="26"/>
        </w:rPr>
        <w:t xml:space="preserve">www.csc.gov.bf </w:t>
      </w:r>
      <w:r w:rsidR="00A650F7">
        <w:rPr>
          <w:rFonts w:ascii="Rockwell" w:hAnsi="Rockwell" w:cs="Times New Roman"/>
          <w:sz w:val="26"/>
          <w:szCs w:val="26"/>
        </w:rPr>
        <w:t>du fait du besoin de centralisation des sites de</w:t>
      </w:r>
      <w:r w:rsidR="00A650F7" w:rsidRPr="00A650F7">
        <w:rPr>
          <w:rFonts w:ascii="Rockwell" w:hAnsi="Rockwell" w:cs="Times New Roman"/>
          <w:sz w:val="26"/>
          <w:szCs w:val="26"/>
        </w:rPr>
        <w:t xml:space="preserve"> l’administration publique</w:t>
      </w:r>
      <w:r w:rsidR="00A650F7">
        <w:rPr>
          <w:rFonts w:ascii="Rockwell" w:hAnsi="Rockwell" w:cs="Times New Roman"/>
          <w:sz w:val="26"/>
          <w:szCs w:val="26"/>
        </w:rPr>
        <w:t>,</w:t>
      </w:r>
      <w:r>
        <w:rPr>
          <w:rFonts w:ascii="Rockwell" w:hAnsi="Rockwell" w:cs="Times New Roman"/>
          <w:sz w:val="26"/>
          <w:szCs w:val="26"/>
        </w:rPr>
        <w:t xml:space="preserve"> pilotés par le Ministère en charge de l’Economie Numérique. </w:t>
      </w:r>
    </w:p>
    <w:p w14:paraId="5919E64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lastRenderedPageBreak/>
        <w:t>La refonte du site web du CSC a été opérée en intégrant, non seulement, les évolutions technologiques et sécuritaires afin de garantir un portail web sécurisé et adapté, mais également en incluant le renforcement des capacités des animateurs et des techniciens pour une gestion autonome.</w:t>
      </w:r>
    </w:p>
    <w:p w14:paraId="51A33C28"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L’innovation majeure de ce nouveau site est l’interaction qui peut s’établir entre les citoyens, les médias et l’instance de régulation à travers les services disponibles en ligne. En effet, le site permet aux médias, à travers l’onglet « Nos services en ligne », de formuler en ligne la demande d’attestation de parution ou de diffusion régulière ou de transmettre au CSC leurs déclarations d’existence. </w:t>
      </w:r>
    </w:p>
    <w:p w14:paraId="7E479DA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 site permet également à tout citoyen, à travers l’onglet « alertez-nous » d’alerter ou de saisir le CSC en cas de problème constaté dans le fonctionnement d’un média (arrêt d’émission, brouillages, émission ou article dont le contenu ne respecte pas les textes régissant le secteur de la communication ou est contraire aux règles de l’éthique et de la déontologie du journaliste).</w:t>
      </w:r>
    </w:p>
    <w:p w14:paraId="1C76EDD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Les autres plateformes digitales mises en place sont l’intranet, un outil de travail interne et les numéros WhatsApp de saisine. En plus de pouvoir saisir le CSC à partir du site, il est désormais possible de le faire par téléphone. A cet effet, le CSC a mis en place des numéros WhatsApp pour les saisines. Il s’agit du </w:t>
      </w:r>
      <w:r>
        <w:rPr>
          <w:rFonts w:ascii="Rockwell" w:hAnsi="Rockwell" w:cs="Times New Roman"/>
          <w:i/>
          <w:sz w:val="26"/>
          <w:szCs w:val="26"/>
        </w:rPr>
        <w:t>51 52 41 60</w:t>
      </w:r>
      <w:r>
        <w:rPr>
          <w:rFonts w:ascii="Rockwell" w:hAnsi="Rockwell" w:cs="Times New Roman"/>
          <w:sz w:val="26"/>
          <w:szCs w:val="26"/>
        </w:rPr>
        <w:t xml:space="preserve"> et du </w:t>
      </w:r>
      <w:r>
        <w:rPr>
          <w:rFonts w:ascii="Rockwell" w:hAnsi="Rockwell" w:cs="Times New Roman"/>
          <w:i/>
          <w:sz w:val="26"/>
          <w:szCs w:val="26"/>
        </w:rPr>
        <w:t>63 64 78 93</w:t>
      </w:r>
      <w:r>
        <w:rPr>
          <w:rFonts w:ascii="Rockwell" w:hAnsi="Rockwell" w:cs="Times New Roman"/>
          <w:sz w:val="26"/>
          <w:szCs w:val="26"/>
        </w:rPr>
        <w:t>.</w:t>
      </w:r>
    </w:p>
    <w:p w14:paraId="198E844F" w14:textId="77777777" w:rsidR="00733207" w:rsidRDefault="00733207">
      <w:pPr>
        <w:spacing w:before="120" w:after="120" w:line="360" w:lineRule="auto"/>
        <w:jc w:val="both"/>
        <w:rPr>
          <w:rFonts w:ascii="Rockwell" w:hAnsi="Rockwell" w:cs="Times New Roman"/>
          <w:sz w:val="26"/>
          <w:szCs w:val="26"/>
        </w:rPr>
      </w:pPr>
    </w:p>
    <w:p w14:paraId="0B767736" w14:textId="77777777" w:rsidR="00733207" w:rsidRDefault="00733207">
      <w:pPr>
        <w:spacing w:before="120" w:after="120" w:line="360" w:lineRule="auto"/>
        <w:jc w:val="both"/>
        <w:rPr>
          <w:rFonts w:ascii="Rockwell" w:hAnsi="Rockwell" w:cs="Times New Roman"/>
          <w:sz w:val="26"/>
          <w:szCs w:val="26"/>
        </w:rPr>
      </w:pPr>
    </w:p>
    <w:p w14:paraId="3884F0FE" w14:textId="77777777" w:rsidR="00912BAE" w:rsidRDefault="00912BAE">
      <w:pPr>
        <w:spacing w:before="120" w:after="120" w:line="360" w:lineRule="auto"/>
        <w:jc w:val="both"/>
        <w:rPr>
          <w:rFonts w:ascii="Rockwell" w:hAnsi="Rockwell" w:cs="Times New Roman"/>
          <w:sz w:val="26"/>
          <w:szCs w:val="26"/>
        </w:rPr>
        <w:sectPr w:rsidR="00912BAE" w:rsidSect="00912BAE">
          <w:footerReference w:type="default" r:id="rId27"/>
          <w:pgSz w:w="11906" w:h="16838"/>
          <w:pgMar w:top="993" w:right="1133" w:bottom="1418" w:left="1418" w:header="737" w:footer="737" w:gutter="0"/>
          <w:cols w:space="708"/>
          <w:docGrid w:linePitch="360"/>
        </w:sectPr>
      </w:pPr>
    </w:p>
    <w:p w14:paraId="5AC8020C" w14:textId="77777777" w:rsidR="00733207" w:rsidRDefault="00912BAE">
      <w:pPr>
        <w:pStyle w:val="Titre2"/>
        <w:spacing w:before="120" w:after="120" w:line="360" w:lineRule="auto"/>
        <w:jc w:val="center"/>
        <w:rPr>
          <w:rFonts w:ascii="Rockwell" w:hAnsi="Rockwell"/>
          <w:b/>
          <w:color w:val="auto"/>
          <w:sz w:val="30"/>
          <w:szCs w:val="30"/>
        </w:rPr>
      </w:pPr>
      <w:bookmarkStart w:id="147" w:name="_Toc175128458"/>
      <w:bookmarkStart w:id="148" w:name="_Toc169854369"/>
      <w:bookmarkStart w:id="149" w:name="_Toc170209330"/>
      <w:bookmarkStart w:id="150" w:name="_Toc169855119"/>
      <w:bookmarkStart w:id="151" w:name="_Toc141088437"/>
      <w:bookmarkStart w:id="152" w:name="_Toc141088571"/>
      <w:r>
        <w:rPr>
          <w:rFonts w:ascii="Rockwell" w:hAnsi="Rockwell"/>
          <w:b/>
          <w:color w:val="auto"/>
          <w:sz w:val="30"/>
          <w:szCs w:val="30"/>
        </w:rPr>
        <w:lastRenderedPageBreak/>
        <w:t xml:space="preserve">CHAPITRE II : ACTIONS COURANTES DE REGULATION ET DE RENFORCEMENT DES COMPETENCES </w:t>
      </w:r>
      <w:bookmarkEnd w:id="130"/>
      <w:r>
        <w:rPr>
          <w:rFonts w:ascii="Rockwell" w:hAnsi="Rockwell"/>
          <w:b/>
          <w:color w:val="auto"/>
          <w:sz w:val="30"/>
          <w:szCs w:val="30"/>
        </w:rPr>
        <w:t>DES ACTEURS DES MEDIAS</w:t>
      </w:r>
      <w:bookmarkEnd w:id="147"/>
      <w:bookmarkEnd w:id="148"/>
      <w:bookmarkEnd w:id="149"/>
      <w:bookmarkEnd w:id="150"/>
      <w:bookmarkEnd w:id="151"/>
      <w:bookmarkEnd w:id="152"/>
    </w:p>
    <w:p w14:paraId="46035F60" w14:textId="77777777" w:rsidR="00733207" w:rsidRDefault="00733207">
      <w:pPr>
        <w:spacing w:before="120" w:after="120" w:line="360" w:lineRule="auto"/>
        <w:jc w:val="both"/>
        <w:rPr>
          <w:rFonts w:ascii="Rockwell" w:hAnsi="Rockwell" w:cs="Times New Roman"/>
          <w:sz w:val="26"/>
          <w:szCs w:val="26"/>
        </w:rPr>
      </w:pPr>
    </w:p>
    <w:p w14:paraId="0A6EB7A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Les actions courantes de régulation des médias ont porté essentiellement sur l’amélioration des performances du dispositif technique d’observation des médias, la formation des acteurs des médias, ainsi que la numérotation des chaines TV et la réflexion sur l’autorégulation de la publicité.</w:t>
      </w:r>
    </w:p>
    <w:p w14:paraId="54872F1E" w14:textId="77777777" w:rsidR="00733207" w:rsidRDefault="00733207">
      <w:pPr>
        <w:spacing w:before="120" w:after="120" w:line="360" w:lineRule="auto"/>
        <w:jc w:val="both"/>
        <w:rPr>
          <w:rFonts w:ascii="Rockwell" w:hAnsi="Rockwell" w:cs="Times New Roman"/>
          <w:sz w:val="26"/>
          <w:szCs w:val="26"/>
        </w:rPr>
      </w:pPr>
    </w:p>
    <w:p w14:paraId="6127825D" w14:textId="77777777" w:rsidR="00733207" w:rsidRPr="00734549" w:rsidRDefault="00912BAE">
      <w:pPr>
        <w:pStyle w:val="Titre3"/>
        <w:spacing w:before="240" w:after="240" w:line="360" w:lineRule="auto"/>
        <w:jc w:val="center"/>
        <w:rPr>
          <w:rFonts w:ascii="Rockwell" w:hAnsi="Rockwell"/>
          <w:b/>
          <w:i/>
          <w:color w:val="auto"/>
          <w:sz w:val="28"/>
          <w:szCs w:val="28"/>
        </w:rPr>
      </w:pPr>
      <w:bookmarkStart w:id="153" w:name="_Toc141088572"/>
      <w:bookmarkStart w:id="154" w:name="_Toc141088438"/>
      <w:bookmarkStart w:id="155" w:name="_Toc138337985"/>
      <w:bookmarkStart w:id="156" w:name="_Toc170209331"/>
      <w:bookmarkStart w:id="157" w:name="_Toc169855120"/>
      <w:bookmarkStart w:id="158" w:name="_Toc169854370"/>
      <w:bookmarkStart w:id="159" w:name="_Toc175128459"/>
      <w:r w:rsidRPr="00734549">
        <w:rPr>
          <w:rFonts w:ascii="Rockwell" w:hAnsi="Rockwell"/>
          <w:b/>
          <w:i/>
          <w:color w:val="auto"/>
          <w:sz w:val="28"/>
          <w:szCs w:val="28"/>
        </w:rPr>
        <w:t xml:space="preserve">SECTION 1 : </w:t>
      </w:r>
      <w:bookmarkEnd w:id="153"/>
      <w:bookmarkEnd w:id="154"/>
      <w:r w:rsidRPr="00734549">
        <w:rPr>
          <w:rFonts w:ascii="Rockwell" w:hAnsi="Rockwell"/>
          <w:b/>
          <w:i/>
          <w:color w:val="auto"/>
          <w:sz w:val="28"/>
          <w:szCs w:val="28"/>
        </w:rPr>
        <w:t xml:space="preserve">AMELIORATION DU DISPOSITIF </w:t>
      </w:r>
      <w:bookmarkEnd w:id="155"/>
      <w:r w:rsidRPr="00734549">
        <w:rPr>
          <w:rFonts w:ascii="Rockwell" w:hAnsi="Rockwell"/>
          <w:b/>
          <w:i/>
          <w:color w:val="auto"/>
          <w:sz w:val="28"/>
          <w:szCs w:val="28"/>
        </w:rPr>
        <w:t>TECHNIQUE D’OBSERVATION</w:t>
      </w:r>
      <w:bookmarkEnd w:id="156"/>
      <w:bookmarkEnd w:id="157"/>
      <w:bookmarkEnd w:id="158"/>
      <w:bookmarkEnd w:id="159"/>
    </w:p>
    <w:p w14:paraId="43C11C47" w14:textId="77777777" w:rsidR="00733207" w:rsidRDefault="00733207">
      <w:pPr>
        <w:jc w:val="both"/>
        <w:rPr>
          <w:rFonts w:ascii="Rockwell" w:hAnsi="Rockwell"/>
        </w:rPr>
      </w:pPr>
    </w:p>
    <w:p w14:paraId="6266983F" w14:textId="77777777" w:rsidR="00733207" w:rsidRDefault="00912BAE">
      <w:pPr>
        <w:pStyle w:val="Titre4"/>
        <w:spacing w:before="240" w:after="240" w:line="360" w:lineRule="auto"/>
        <w:jc w:val="center"/>
        <w:rPr>
          <w:rFonts w:ascii="Rockwell" w:hAnsi="Rockwell"/>
          <w:b/>
          <w:i w:val="0"/>
          <w:color w:val="auto"/>
          <w:sz w:val="28"/>
          <w:szCs w:val="28"/>
        </w:rPr>
      </w:pPr>
      <w:bookmarkStart w:id="160" w:name="_Toc175128460"/>
      <w:bookmarkStart w:id="161" w:name="_Toc169855121"/>
      <w:bookmarkStart w:id="162" w:name="_Toc129590826"/>
      <w:r>
        <w:rPr>
          <w:rFonts w:ascii="Rockwell" w:hAnsi="Rockwell"/>
          <w:b/>
          <w:i w:val="0"/>
          <w:color w:val="auto"/>
          <w:sz w:val="28"/>
          <w:szCs w:val="28"/>
        </w:rPr>
        <w:t>Paragraphe 1 : Déploiement du système HACA Media Solution dans les délégations régionales</w:t>
      </w:r>
      <w:bookmarkEnd w:id="160"/>
      <w:bookmarkEnd w:id="161"/>
      <w:bookmarkEnd w:id="162"/>
    </w:p>
    <w:p w14:paraId="14EB9B88" w14:textId="77777777" w:rsidR="00733207" w:rsidRDefault="00733207">
      <w:pPr>
        <w:widowControl w:val="0"/>
        <w:suppressAutoHyphens/>
        <w:spacing w:before="120" w:after="120" w:line="360" w:lineRule="auto"/>
        <w:jc w:val="both"/>
        <w:rPr>
          <w:rFonts w:ascii="Rockwell" w:eastAsia="Arial Narrow" w:hAnsi="Rockwell" w:cs="Times New Roman"/>
          <w:sz w:val="10"/>
          <w:szCs w:val="10"/>
        </w:rPr>
      </w:pPr>
    </w:p>
    <w:p w14:paraId="2DBA6070" w14:textId="23A58A7F" w:rsidR="00733207" w:rsidRDefault="00912BAE">
      <w:pPr>
        <w:widowControl w:val="0"/>
        <w:suppressAutoHyphens/>
        <w:spacing w:before="120" w:after="120" w:line="360" w:lineRule="auto"/>
        <w:jc w:val="both"/>
        <w:rPr>
          <w:rFonts w:ascii="Rockwell" w:eastAsia="Arial Narrow" w:hAnsi="Rockwell" w:cs="Times New Roman"/>
          <w:sz w:val="26"/>
          <w:szCs w:val="26"/>
        </w:rPr>
      </w:pPr>
      <w:r>
        <w:rPr>
          <w:rFonts w:ascii="Rockwell" w:eastAsia="Arial Narrow" w:hAnsi="Rockwell" w:cs="Times New Roman"/>
          <w:sz w:val="26"/>
          <w:szCs w:val="26"/>
        </w:rPr>
        <w:t xml:space="preserve">Le Burkina Faso compte actuellement 185 stations de radio et 32 chaines de télévision. Ce paysage audiovisuel devrait encore s’agrandir avec la radiodiffusion numérique de terre (RNT) en perspective. En vue d’une meilleure observation du contenu de tous les médias audiovisuels du pays, le CSC s’est beaucoup investi dans le déploiement du système HACA Media Solution (HMS) dans </w:t>
      </w:r>
      <w:r w:rsidR="00734549">
        <w:rPr>
          <w:rFonts w:ascii="Rockwell" w:eastAsia="Arial Narrow" w:hAnsi="Rockwell" w:cs="Times New Roman"/>
          <w:sz w:val="26"/>
          <w:szCs w:val="26"/>
        </w:rPr>
        <w:t>s</w:t>
      </w:r>
      <w:r>
        <w:rPr>
          <w:rFonts w:ascii="Rockwell" w:eastAsia="Arial Narrow" w:hAnsi="Rockwell" w:cs="Times New Roman"/>
          <w:sz w:val="26"/>
          <w:szCs w:val="26"/>
        </w:rPr>
        <w:t xml:space="preserve">es délégations régionales. Ainsi, après celui de Ouagadougou en décembre 2019 mené par des experts marocains, les ingénieurs formés à l’interne ont étendu le système de monitoring à la Délégation régionale de l’Ouest, à Bobo Dioulasso et à celle de l’Est, à Fada N’Gourma. Les travaux ont été réalisés respectivement, du 02 au 19 novembre 2023 et du 24 novembre au 04 décembre 2023.  </w:t>
      </w:r>
    </w:p>
    <w:p w14:paraId="62126CB8" w14:textId="77777777" w:rsidR="00733207" w:rsidRDefault="00912BAE">
      <w:pPr>
        <w:widowControl w:val="0"/>
        <w:suppressAutoHyphens/>
        <w:spacing w:before="120" w:after="120" w:line="360" w:lineRule="auto"/>
        <w:jc w:val="both"/>
        <w:rPr>
          <w:rFonts w:ascii="Rockwell" w:eastAsia="Arial Narrow" w:hAnsi="Rockwell" w:cs="Times New Roman"/>
          <w:sz w:val="26"/>
          <w:szCs w:val="26"/>
        </w:rPr>
      </w:pPr>
      <w:r>
        <w:rPr>
          <w:rFonts w:ascii="Rockwell" w:eastAsia="Arial Narrow" w:hAnsi="Rockwell" w:cs="Times New Roman"/>
          <w:sz w:val="26"/>
          <w:szCs w:val="26"/>
        </w:rPr>
        <w:t xml:space="preserve">Un dispositif solaire installé permet d’assurer le fonctionnement des équipements 24 heures /24. Le personnel chargé de l’observation des médias, </w:t>
      </w:r>
      <w:r>
        <w:rPr>
          <w:rFonts w:ascii="Rockwell" w:eastAsia="Arial Narrow" w:hAnsi="Rockwell" w:cs="Times New Roman"/>
          <w:sz w:val="26"/>
          <w:szCs w:val="26"/>
        </w:rPr>
        <w:lastRenderedPageBreak/>
        <w:t xml:space="preserve">de l’analyse des données et de l’administration technique du système a bénéficié d’un renforcement de capacités.  </w:t>
      </w:r>
    </w:p>
    <w:p w14:paraId="77E1CC58" w14:textId="77777777" w:rsidR="00733207" w:rsidRDefault="00912BAE">
      <w:pPr>
        <w:widowControl w:val="0"/>
        <w:suppressAutoHyphens/>
        <w:spacing w:before="120" w:after="120" w:line="360" w:lineRule="auto"/>
        <w:jc w:val="both"/>
        <w:rPr>
          <w:rFonts w:ascii="Rockwell" w:eastAsia="Arial Narrow" w:hAnsi="Rockwell" w:cs="Times New Roman"/>
          <w:sz w:val="26"/>
          <w:szCs w:val="26"/>
        </w:rPr>
      </w:pPr>
      <w:r>
        <w:rPr>
          <w:rFonts w:ascii="Rockwell" w:eastAsia="Arial Narrow" w:hAnsi="Rockwell" w:cs="Times New Roman"/>
          <w:sz w:val="26"/>
          <w:szCs w:val="26"/>
        </w:rPr>
        <w:t xml:space="preserve">Le HMS est une solution informatique à large spectre qui offre au régulateur les possibilités de réguler les contenus des médias audiovisuels.  </w:t>
      </w:r>
    </w:p>
    <w:p w14:paraId="2C6955B0" w14:textId="77777777" w:rsidR="00733207" w:rsidRDefault="00733207">
      <w:pPr>
        <w:widowControl w:val="0"/>
        <w:suppressAutoHyphens/>
        <w:spacing w:before="120" w:after="120" w:line="360" w:lineRule="auto"/>
        <w:jc w:val="both"/>
        <w:rPr>
          <w:rFonts w:ascii="Rockwell" w:eastAsia="Arial Narrow" w:hAnsi="Rockwell" w:cs="Times New Roman"/>
          <w:sz w:val="26"/>
          <w:szCs w:val="26"/>
        </w:rPr>
      </w:pPr>
    </w:p>
    <w:p w14:paraId="60091561" w14:textId="04ED29CE" w:rsidR="00733207" w:rsidRDefault="00912BAE">
      <w:pPr>
        <w:pStyle w:val="Titre4"/>
        <w:spacing w:before="240" w:after="240" w:line="360" w:lineRule="auto"/>
        <w:jc w:val="center"/>
        <w:rPr>
          <w:rFonts w:ascii="Rockwell" w:hAnsi="Rockwell"/>
          <w:b/>
          <w:i w:val="0"/>
          <w:color w:val="auto"/>
          <w:sz w:val="28"/>
          <w:szCs w:val="28"/>
        </w:rPr>
      </w:pPr>
      <w:bookmarkStart w:id="163" w:name="_Toc175128461"/>
      <w:bookmarkStart w:id="164" w:name="_Toc169855122"/>
      <w:r>
        <w:rPr>
          <w:rFonts w:ascii="Rockwell" w:hAnsi="Rockwell"/>
          <w:b/>
          <w:i w:val="0"/>
          <w:color w:val="auto"/>
          <w:sz w:val="28"/>
          <w:szCs w:val="28"/>
        </w:rPr>
        <w:t xml:space="preserve">Paragraphe 2 : </w:t>
      </w:r>
      <w:r w:rsidR="00D81F08">
        <w:rPr>
          <w:rFonts w:ascii="Rockwell" w:hAnsi="Rockwell"/>
          <w:b/>
          <w:i w:val="0"/>
          <w:color w:val="auto"/>
          <w:sz w:val="28"/>
          <w:szCs w:val="28"/>
        </w:rPr>
        <w:t xml:space="preserve">Réflexion </w:t>
      </w:r>
      <w:r>
        <w:rPr>
          <w:rFonts w:ascii="Rockwell" w:hAnsi="Rockwell"/>
          <w:b/>
          <w:i w:val="0"/>
          <w:color w:val="auto"/>
          <w:sz w:val="28"/>
          <w:szCs w:val="28"/>
        </w:rPr>
        <w:t>pour la dynamisation du mécanisme de monitoring des médias</w:t>
      </w:r>
      <w:bookmarkEnd w:id="163"/>
      <w:bookmarkEnd w:id="164"/>
    </w:p>
    <w:p w14:paraId="57861F46" w14:textId="77777777" w:rsidR="00733207" w:rsidRDefault="00733207">
      <w:pPr>
        <w:jc w:val="center"/>
        <w:rPr>
          <w:rFonts w:ascii="Rockwell" w:hAnsi="Rockwell"/>
          <w:sz w:val="10"/>
          <w:szCs w:val="10"/>
        </w:rPr>
      </w:pPr>
    </w:p>
    <w:p w14:paraId="4F6AB5FE"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monitoring est au cœur de la régulation des médias. Il consiste en l’observation de la conformité des contenus des médias à la règlementation en vigueur. Afin d’offrir plus de dynamisme à cette activité, en tenant compte du contexte sécuritaire que vit le Burkina Faso et de la nouvelle configuration du paysage socio-politique, une réflexion a été entamée en fin d’année par les services techniques. Une nouvelle approche du monitoring devra entrer en vigueur dans le premier trimestre de l’année 2024. Les paramètres d’études seront revus avec l’adoption d’un nouveau canevas de collecte, de traitement, d’analyse et de présentation des données du monitoring des médias. </w:t>
      </w:r>
    </w:p>
    <w:p w14:paraId="4BD4AAE3" w14:textId="77777777" w:rsidR="00733207" w:rsidRDefault="00733207">
      <w:pPr>
        <w:spacing w:before="120" w:after="120" w:line="360" w:lineRule="auto"/>
        <w:jc w:val="both"/>
        <w:rPr>
          <w:rFonts w:ascii="Rockwell" w:hAnsi="Rockwell" w:cs="Times New Roman"/>
          <w:sz w:val="26"/>
          <w:szCs w:val="26"/>
        </w:rPr>
      </w:pPr>
    </w:p>
    <w:p w14:paraId="38ACA999" w14:textId="77777777" w:rsidR="00733207" w:rsidRPr="00D81F08" w:rsidRDefault="00912BAE">
      <w:pPr>
        <w:pStyle w:val="Titre3"/>
        <w:spacing w:before="240" w:after="240" w:line="360" w:lineRule="auto"/>
        <w:jc w:val="center"/>
        <w:rPr>
          <w:rFonts w:ascii="Rockwell" w:hAnsi="Rockwell"/>
          <w:b/>
          <w:i/>
          <w:color w:val="auto"/>
          <w:sz w:val="28"/>
          <w:szCs w:val="28"/>
        </w:rPr>
      </w:pPr>
      <w:bookmarkStart w:id="165" w:name="_Toc141088583"/>
      <w:bookmarkStart w:id="166" w:name="_Toc169855123"/>
      <w:bookmarkStart w:id="167" w:name="_Toc175128462"/>
      <w:bookmarkStart w:id="168" w:name="_Toc170209332"/>
      <w:bookmarkStart w:id="169" w:name="_Toc169854371"/>
      <w:bookmarkStart w:id="170" w:name="_Toc141088439"/>
      <w:bookmarkStart w:id="171" w:name="_Toc138337987"/>
      <w:r w:rsidRPr="00D81F08">
        <w:rPr>
          <w:rFonts w:ascii="Rockwell" w:hAnsi="Rockwell"/>
          <w:b/>
          <w:i/>
          <w:color w:val="auto"/>
          <w:sz w:val="28"/>
          <w:szCs w:val="28"/>
        </w:rPr>
        <w:t>SECTION 2 : FORMATION DES ACTEURS DES MEDIAS ET DES AGENCES DE PUBLICITE</w:t>
      </w:r>
      <w:bookmarkEnd w:id="165"/>
      <w:bookmarkEnd w:id="166"/>
      <w:bookmarkEnd w:id="167"/>
      <w:bookmarkEnd w:id="168"/>
      <w:bookmarkEnd w:id="169"/>
      <w:bookmarkEnd w:id="170"/>
    </w:p>
    <w:p w14:paraId="52F311F8" w14:textId="77777777" w:rsidR="00733207" w:rsidRDefault="00733207">
      <w:pPr>
        <w:spacing w:before="60" w:after="60" w:line="360" w:lineRule="auto"/>
        <w:jc w:val="both"/>
        <w:rPr>
          <w:rFonts w:ascii="Rockwell" w:hAnsi="Rockwell"/>
          <w:sz w:val="10"/>
          <w:szCs w:val="10"/>
        </w:rPr>
      </w:pPr>
    </w:p>
    <w:p w14:paraId="52054A8F" w14:textId="77777777" w:rsidR="00733207" w:rsidRDefault="00912BAE">
      <w:pPr>
        <w:pStyle w:val="Titre4"/>
        <w:spacing w:before="120" w:after="120" w:line="360" w:lineRule="auto"/>
        <w:jc w:val="center"/>
        <w:rPr>
          <w:rFonts w:ascii="Rockwell" w:hAnsi="Rockwell" w:cs="Times New Roman"/>
          <w:b/>
          <w:i w:val="0"/>
          <w:color w:val="auto"/>
          <w:sz w:val="28"/>
          <w:szCs w:val="28"/>
        </w:rPr>
      </w:pPr>
      <w:bookmarkStart w:id="172" w:name="_Toc175128463"/>
      <w:bookmarkStart w:id="173" w:name="_Toc169855124"/>
      <w:bookmarkStart w:id="174" w:name="_Toc141088584"/>
      <w:r>
        <w:rPr>
          <w:rFonts w:ascii="Rockwell" w:hAnsi="Rockwell" w:cs="Times New Roman"/>
          <w:b/>
          <w:i w:val="0"/>
          <w:color w:val="auto"/>
          <w:sz w:val="28"/>
          <w:szCs w:val="28"/>
        </w:rPr>
        <w:t>Paragraphe 1 : Formation à la Responsabilité Sociale de l’Entreprise (RSE)</w:t>
      </w:r>
      <w:bookmarkEnd w:id="172"/>
      <w:bookmarkEnd w:id="173"/>
      <w:bookmarkEnd w:id="174"/>
    </w:p>
    <w:p w14:paraId="300A2645" w14:textId="77777777" w:rsidR="00733207" w:rsidRDefault="00733207">
      <w:pPr>
        <w:jc w:val="both"/>
        <w:rPr>
          <w:rFonts w:ascii="Rockwell" w:hAnsi="Rockwell"/>
          <w:sz w:val="10"/>
          <w:szCs w:val="10"/>
        </w:rPr>
      </w:pPr>
    </w:p>
    <w:p w14:paraId="106AE223" w14:textId="196971FF" w:rsidR="00733207" w:rsidRDefault="00912BAE">
      <w:pPr>
        <w:spacing w:before="120" w:after="120" w:line="360" w:lineRule="auto"/>
        <w:jc w:val="both"/>
        <w:rPr>
          <w:rFonts w:ascii="Rockwell" w:eastAsia="+mn-ea" w:hAnsi="Rockwell" w:cs="Times New Roman"/>
          <w:bCs/>
          <w:sz w:val="26"/>
          <w:szCs w:val="26"/>
        </w:rPr>
      </w:pPr>
      <w:r>
        <w:rPr>
          <w:rFonts w:ascii="Rockwell" w:hAnsi="Rockwell" w:cs="Times New Roman"/>
          <w:bCs/>
          <w:sz w:val="26"/>
          <w:szCs w:val="26"/>
        </w:rPr>
        <w:t>La RSE est une composante du</w:t>
      </w:r>
      <w:r>
        <w:rPr>
          <w:rFonts w:ascii="Rockwell" w:eastAsia="+mn-ea" w:hAnsi="Rockwell" w:cs="Times New Roman"/>
          <w:bCs/>
          <w:sz w:val="26"/>
          <w:szCs w:val="26"/>
        </w:rPr>
        <w:t xml:space="preserve"> développement durable qui peut être définie comme « un développement qui répond aux besoins des générations présentes, sans compromettre la capacité des générations futures à répondre à leurs propres besoins ». </w:t>
      </w:r>
    </w:p>
    <w:p w14:paraId="6F720D9D" w14:textId="77777777" w:rsidR="00733207" w:rsidRDefault="00912BAE">
      <w:pPr>
        <w:spacing w:before="120" w:after="120" w:line="360" w:lineRule="auto"/>
        <w:jc w:val="both"/>
        <w:rPr>
          <w:rFonts w:ascii="Rockwell" w:hAnsi="Rockwell" w:cs="Times New Roman"/>
          <w:sz w:val="26"/>
          <w:szCs w:val="26"/>
        </w:rPr>
      </w:pPr>
      <w:r>
        <w:rPr>
          <w:rFonts w:ascii="Rockwell" w:eastAsia="+mn-ea" w:hAnsi="Rockwell" w:cs="Times New Roman"/>
          <w:bCs/>
          <w:sz w:val="26"/>
          <w:szCs w:val="26"/>
        </w:rPr>
        <w:lastRenderedPageBreak/>
        <w:t>L</w:t>
      </w:r>
      <w:r>
        <w:rPr>
          <w:rFonts w:ascii="Rockwell" w:hAnsi="Rockwell" w:cs="Times New Roman"/>
          <w:sz w:val="26"/>
          <w:szCs w:val="26"/>
        </w:rPr>
        <w:t xml:space="preserve">a responsabilité sociétale (ou sociale) des entreprises (RSE) est la prise en compte par celles-ci, sur une base volontaire, des préoccupations sociales, </w:t>
      </w:r>
      <w:hyperlink r:id="rId28" w:history="1">
        <w:r>
          <w:rPr>
            <w:rFonts w:ascii="Rockwell" w:hAnsi="Rockwell" w:cs="Times New Roman"/>
            <w:sz w:val="26"/>
            <w:szCs w:val="26"/>
          </w:rPr>
          <w:t>environnementales</w:t>
        </w:r>
      </w:hyperlink>
      <w:r>
        <w:rPr>
          <w:rFonts w:ascii="Rockwell" w:hAnsi="Rockwell" w:cs="Times New Roman"/>
          <w:sz w:val="26"/>
          <w:szCs w:val="26"/>
        </w:rPr>
        <w:t xml:space="preserve"> et économiques dans leurs activités et </w:t>
      </w:r>
      <w:hyperlink r:id="rId29" w:history="1">
        <w:r>
          <w:rPr>
            <w:rFonts w:ascii="Rockwell" w:hAnsi="Rockwell" w:cs="Times New Roman"/>
            <w:sz w:val="26"/>
            <w:szCs w:val="26"/>
          </w:rPr>
          <w:t>interactions</w:t>
        </w:r>
      </w:hyperlink>
      <w:r>
        <w:rPr>
          <w:rFonts w:ascii="Rockwell" w:hAnsi="Rockwell" w:cs="Times New Roman"/>
          <w:sz w:val="26"/>
          <w:szCs w:val="26"/>
        </w:rPr>
        <w:t xml:space="preserve"> avec les autres acteurs, appelés "parties prenantes".</w:t>
      </w:r>
    </w:p>
    <w:p w14:paraId="05812305"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bCs/>
          <w:sz w:val="26"/>
          <w:szCs w:val="26"/>
        </w:rPr>
        <w:t>Afin d’inciter le secteur des médias à intégrer les préoccupations économiques, sociales, environnementales et sociétales (RSE) dans leur stratégie, le CSC a organisé</w:t>
      </w:r>
      <w:r>
        <w:rPr>
          <w:rFonts w:ascii="Rockwell" w:hAnsi="Rockwell" w:cs="Times New Roman"/>
          <w:sz w:val="26"/>
          <w:szCs w:val="26"/>
        </w:rPr>
        <w:t xml:space="preserve"> au profit des responsables du secteur de l’information et de la communication, </w:t>
      </w:r>
      <w:r>
        <w:rPr>
          <w:rFonts w:ascii="Rockwell" w:hAnsi="Rockwell" w:cs="Times New Roman"/>
          <w:bCs/>
          <w:sz w:val="26"/>
          <w:szCs w:val="26"/>
        </w:rPr>
        <w:t>un séminaire de formation</w:t>
      </w:r>
      <w:r>
        <w:rPr>
          <w:rFonts w:ascii="Rockwell" w:hAnsi="Rockwell" w:cs="Times New Roman"/>
          <w:sz w:val="26"/>
          <w:szCs w:val="26"/>
        </w:rPr>
        <w:t xml:space="preserve">, sur le thème suivant : « </w:t>
      </w:r>
      <w:r>
        <w:rPr>
          <w:rFonts w:ascii="Rockwell" w:hAnsi="Rockwell" w:cs="Times New Roman"/>
          <w:i/>
          <w:sz w:val="26"/>
          <w:szCs w:val="26"/>
        </w:rPr>
        <w:t xml:space="preserve">la responsabilité sociale et sociétale des entreprises (RSE) du secteur de l’information et de la communication </w:t>
      </w:r>
      <w:r>
        <w:rPr>
          <w:rFonts w:ascii="Rockwell" w:hAnsi="Rockwell" w:cs="Times New Roman"/>
          <w:sz w:val="26"/>
          <w:szCs w:val="26"/>
        </w:rPr>
        <w:t>».</w:t>
      </w:r>
    </w:p>
    <w:p w14:paraId="46292858" w14:textId="77777777" w:rsidR="00733207" w:rsidRDefault="00912BAE">
      <w:pPr>
        <w:spacing w:before="120" w:after="120" w:line="360" w:lineRule="auto"/>
        <w:jc w:val="both"/>
        <w:rPr>
          <w:rFonts w:ascii="Rockwell" w:hAnsi="Rockwell" w:cs="Times New Roman"/>
          <w:bCs/>
          <w:sz w:val="26"/>
          <w:szCs w:val="26"/>
        </w:rPr>
      </w:pPr>
      <w:r>
        <w:rPr>
          <w:rFonts w:ascii="Rockwell" w:hAnsi="Rockwell" w:cs="Times New Roman"/>
          <w:bCs/>
          <w:sz w:val="26"/>
          <w:szCs w:val="26"/>
        </w:rPr>
        <w:t>La formation s’est déroulée le 02 mai 2023 et a été assurée par le Cabinet Arnaud &amp; Associés.</w:t>
      </w:r>
    </w:p>
    <w:p w14:paraId="33FD9448" w14:textId="77777777" w:rsidR="00733207" w:rsidRDefault="00733207">
      <w:pPr>
        <w:spacing w:before="120" w:after="120" w:line="360" w:lineRule="auto"/>
        <w:jc w:val="both"/>
        <w:rPr>
          <w:rFonts w:ascii="Rockwell" w:hAnsi="Rockwell" w:cs="Times New Roman"/>
          <w:bCs/>
          <w:sz w:val="26"/>
          <w:szCs w:val="26"/>
        </w:rPr>
      </w:pPr>
    </w:p>
    <w:p w14:paraId="222E5F9B" w14:textId="082E6F7F" w:rsidR="00733207" w:rsidRDefault="00912BAE">
      <w:pPr>
        <w:pStyle w:val="Titre4"/>
        <w:spacing w:before="240" w:after="240" w:line="360" w:lineRule="auto"/>
        <w:jc w:val="center"/>
        <w:rPr>
          <w:rFonts w:ascii="Rockwell" w:hAnsi="Rockwell"/>
          <w:b/>
          <w:i w:val="0"/>
          <w:color w:val="auto"/>
          <w:sz w:val="28"/>
          <w:szCs w:val="28"/>
        </w:rPr>
      </w:pPr>
      <w:bookmarkStart w:id="175" w:name="_Toc169855125"/>
      <w:bookmarkStart w:id="176" w:name="_Toc141088585"/>
      <w:bookmarkStart w:id="177" w:name="_Toc175128464"/>
      <w:r>
        <w:rPr>
          <w:rFonts w:ascii="Rockwell" w:hAnsi="Rockwell"/>
          <w:b/>
          <w:i w:val="0"/>
          <w:color w:val="auto"/>
          <w:sz w:val="28"/>
          <w:szCs w:val="28"/>
        </w:rPr>
        <w:t xml:space="preserve">Paragraphe 2 : </w:t>
      </w:r>
      <w:r w:rsidR="00D81F08">
        <w:rPr>
          <w:rFonts w:ascii="Rockwell" w:hAnsi="Rockwell"/>
          <w:b/>
          <w:i w:val="0"/>
          <w:color w:val="auto"/>
          <w:sz w:val="28"/>
          <w:szCs w:val="28"/>
        </w:rPr>
        <w:t xml:space="preserve">Formation </w:t>
      </w:r>
      <w:bookmarkEnd w:id="175"/>
      <w:bookmarkEnd w:id="176"/>
      <w:r>
        <w:rPr>
          <w:rFonts w:ascii="Rockwell" w:hAnsi="Rockwell"/>
          <w:b/>
          <w:i w:val="0"/>
          <w:color w:val="auto"/>
          <w:sz w:val="28"/>
          <w:szCs w:val="28"/>
        </w:rPr>
        <w:t>à l’économie des médias et la gestion d’entreprise</w:t>
      </w:r>
      <w:bookmarkEnd w:id="177"/>
    </w:p>
    <w:p w14:paraId="681681CA" w14:textId="77777777" w:rsidR="00733207" w:rsidRDefault="00733207">
      <w:pPr>
        <w:spacing w:before="120" w:after="120" w:line="360" w:lineRule="auto"/>
        <w:jc w:val="both"/>
        <w:rPr>
          <w:rFonts w:ascii="Rockwell" w:hAnsi="Rockwell"/>
          <w:sz w:val="10"/>
          <w:szCs w:val="10"/>
        </w:rPr>
      </w:pPr>
    </w:p>
    <w:p w14:paraId="427E2356" w14:textId="77777777" w:rsidR="00733207" w:rsidRDefault="00912BAE">
      <w:pPr>
        <w:spacing w:before="120" w:after="120" w:line="360" w:lineRule="auto"/>
        <w:jc w:val="both"/>
        <w:rPr>
          <w:rFonts w:ascii="Rockwell" w:eastAsia="Times New Roman" w:hAnsi="Rockwell" w:cs="Times New Roman"/>
          <w:sz w:val="26"/>
          <w:szCs w:val="26"/>
          <w:lang w:eastAsia="zh-TW"/>
        </w:rPr>
      </w:pPr>
      <w:r>
        <w:rPr>
          <w:rFonts w:ascii="Rockwell" w:eastAsia="Times New Roman" w:hAnsi="Rockwell" w:cs="Times New Roman"/>
          <w:sz w:val="26"/>
          <w:szCs w:val="26"/>
          <w:lang w:eastAsia="zh-TW"/>
        </w:rPr>
        <w:t xml:space="preserve">Le paysage médiatique burkinabè fait partie des plus étoffés d’Afrique de l’Ouest avec plus de deux cents (200) médias audiovisuels, de quatre-vingt (80) titres de journaux et environ cent quarante-cinq (145) médias en ligne déclarés auprès du Conseil supérieur de la communication. </w:t>
      </w:r>
    </w:p>
    <w:p w14:paraId="7C1E64DE" w14:textId="77777777" w:rsidR="00733207" w:rsidRDefault="00912BAE">
      <w:pPr>
        <w:spacing w:before="120" w:after="120" w:line="360" w:lineRule="auto"/>
        <w:jc w:val="both"/>
        <w:rPr>
          <w:rFonts w:ascii="Rockwell" w:eastAsia="Times New Roman" w:hAnsi="Rockwell" w:cs="Times New Roman"/>
          <w:sz w:val="26"/>
          <w:szCs w:val="26"/>
          <w:lang w:eastAsia="zh-TW"/>
        </w:rPr>
      </w:pPr>
      <w:r>
        <w:rPr>
          <w:rFonts w:ascii="Rockwell" w:eastAsia="Times New Roman" w:hAnsi="Rockwell" w:cs="Times New Roman"/>
          <w:sz w:val="26"/>
          <w:szCs w:val="26"/>
          <w:lang w:eastAsia="zh-TW"/>
        </w:rPr>
        <w:t xml:space="preserve">Malheureusement, bon nombre de ces entreprises de presse naissent et disparaissent trop vite, du fait de l’étroitesse du marché, des contingences liées à la spécificité même de l’activité, ou tout simplement de la mauvaise gestion de celles-ci. </w:t>
      </w:r>
    </w:p>
    <w:p w14:paraId="3510958E" w14:textId="77777777" w:rsidR="00733207" w:rsidRDefault="00912BAE">
      <w:pPr>
        <w:spacing w:before="120" w:after="120" w:line="360" w:lineRule="auto"/>
        <w:jc w:val="both"/>
        <w:rPr>
          <w:rFonts w:ascii="Rockwell" w:eastAsia="Times New Roman" w:hAnsi="Rockwell" w:cs="Times New Roman"/>
          <w:sz w:val="26"/>
          <w:szCs w:val="26"/>
          <w:lang w:eastAsia="zh-TW"/>
        </w:rPr>
      </w:pPr>
      <w:r>
        <w:rPr>
          <w:rFonts w:ascii="Rockwell" w:eastAsia="Times New Roman" w:hAnsi="Rockwell" w:cs="Times New Roman"/>
          <w:sz w:val="26"/>
          <w:szCs w:val="26"/>
          <w:lang w:eastAsia="zh-TW"/>
        </w:rPr>
        <w:t xml:space="preserve">Dans la perspective d’accroître leur viabilité économique, le CSC a organisé au profit de leurs dirigeants, avec l’expertise du cabinet </w:t>
      </w:r>
      <w:proofErr w:type="spellStart"/>
      <w:r>
        <w:rPr>
          <w:rFonts w:ascii="Rockwell" w:eastAsia="Times New Roman" w:hAnsi="Rockwell" w:cs="Times New Roman"/>
          <w:i/>
          <w:sz w:val="26"/>
          <w:szCs w:val="26"/>
          <w:lang w:eastAsia="zh-TW"/>
        </w:rPr>
        <w:t>Tralassi</w:t>
      </w:r>
      <w:proofErr w:type="spellEnd"/>
      <w:r>
        <w:rPr>
          <w:rFonts w:ascii="Rockwell" w:eastAsia="Times New Roman" w:hAnsi="Rockwell" w:cs="Times New Roman"/>
          <w:i/>
          <w:sz w:val="26"/>
          <w:szCs w:val="26"/>
          <w:lang w:eastAsia="zh-TW"/>
        </w:rPr>
        <w:t xml:space="preserve"> consulting group,</w:t>
      </w:r>
      <w:r>
        <w:rPr>
          <w:rFonts w:ascii="Rockwell" w:eastAsia="Times New Roman" w:hAnsi="Rockwell" w:cs="Times New Roman"/>
          <w:sz w:val="26"/>
          <w:szCs w:val="26"/>
          <w:lang w:eastAsia="zh-TW"/>
        </w:rPr>
        <w:t xml:space="preserve"> un atelier de formation sur « </w:t>
      </w:r>
      <w:r>
        <w:rPr>
          <w:rFonts w:ascii="Rockwell" w:eastAsia="Times New Roman" w:hAnsi="Rockwell" w:cs="Times New Roman"/>
          <w:i/>
          <w:sz w:val="26"/>
          <w:szCs w:val="26"/>
          <w:lang w:eastAsia="zh-TW"/>
        </w:rPr>
        <w:t>l’économie des médias et la gestion d’entreprise</w:t>
      </w:r>
      <w:r>
        <w:rPr>
          <w:rFonts w:ascii="Rockwell" w:eastAsia="Times New Roman" w:hAnsi="Rockwell" w:cs="Times New Roman"/>
          <w:sz w:val="26"/>
          <w:szCs w:val="26"/>
          <w:lang w:eastAsia="zh-TW"/>
        </w:rPr>
        <w:t> ».</w:t>
      </w:r>
    </w:p>
    <w:p w14:paraId="58463AA2" w14:textId="77777777" w:rsidR="00733207" w:rsidRDefault="00912BAE">
      <w:pPr>
        <w:spacing w:before="120" w:after="120" w:line="360" w:lineRule="auto"/>
        <w:jc w:val="both"/>
        <w:rPr>
          <w:rFonts w:ascii="Rockwell" w:eastAsia="Times New Roman" w:hAnsi="Rockwell" w:cs="Times New Roman"/>
          <w:sz w:val="26"/>
          <w:szCs w:val="26"/>
          <w:lang w:eastAsia="zh-TW"/>
        </w:rPr>
      </w:pPr>
      <w:r>
        <w:rPr>
          <w:rFonts w:ascii="Rockwell" w:eastAsia="Times New Roman" w:hAnsi="Rockwell" w:cs="Times New Roman"/>
          <w:sz w:val="26"/>
          <w:szCs w:val="26"/>
          <w:lang w:eastAsia="zh-TW"/>
        </w:rPr>
        <w:lastRenderedPageBreak/>
        <w:t xml:space="preserve">De façon spécifique, il s’agissait d’outiller les responsables des entreprises de presse et agences de communication à l’amélioration de la gestion et du rendement de leurs entreprises et de </w:t>
      </w:r>
      <w:r>
        <w:rPr>
          <w:rFonts w:ascii="Rockwell" w:eastAsia="Book Antiqua" w:hAnsi="Rockwell" w:cs="Times New Roman"/>
          <w:sz w:val="26"/>
          <w:szCs w:val="26"/>
          <w:lang w:eastAsia="zh-TW"/>
        </w:rPr>
        <w:t>renforcer ainsi, leur part contributive à l’économie nationale</w:t>
      </w:r>
      <w:r>
        <w:rPr>
          <w:rFonts w:ascii="Rockwell" w:eastAsia="Times New Roman" w:hAnsi="Rockwell" w:cs="Times New Roman"/>
          <w:sz w:val="26"/>
          <w:szCs w:val="26"/>
          <w:lang w:eastAsia="zh-TW"/>
        </w:rPr>
        <w:t xml:space="preserve">. </w:t>
      </w:r>
    </w:p>
    <w:p w14:paraId="19442EB9" w14:textId="77777777" w:rsidR="00733207" w:rsidRDefault="00912BAE">
      <w:pPr>
        <w:spacing w:before="120" w:after="120" w:line="360" w:lineRule="auto"/>
        <w:jc w:val="both"/>
        <w:rPr>
          <w:rFonts w:ascii="Rockwell" w:eastAsia="Times New Roman" w:hAnsi="Rockwell" w:cs="Times New Roman"/>
          <w:sz w:val="26"/>
          <w:szCs w:val="26"/>
          <w:lang w:eastAsia="zh-TW"/>
        </w:rPr>
      </w:pPr>
      <w:r>
        <w:rPr>
          <w:rFonts w:ascii="Rockwell" w:eastAsia="Times New Roman" w:hAnsi="Rockwell" w:cs="Times New Roman"/>
          <w:sz w:val="26"/>
          <w:szCs w:val="26"/>
          <w:lang w:eastAsia="zh-TW"/>
        </w:rPr>
        <w:t>L’atelier qui entre dans le cadre du programme « </w:t>
      </w:r>
      <w:r>
        <w:rPr>
          <w:rFonts w:ascii="Rockwell" w:eastAsia="Times New Roman" w:hAnsi="Rockwell" w:cs="Times New Roman"/>
          <w:i/>
          <w:sz w:val="26"/>
          <w:szCs w:val="26"/>
          <w:lang w:eastAsia="zh-TW"/>
        </w:rPr>
        <w:t>Médias forts</w:t>
      </w:r>
      <w:r>
        <w:rPr>
          <w:rFonts w:ascii="Rockwell" w:eastAsia="Times New Roman" w:hAnsi="Rockwell" w:cs="Times New Roman"/>
          <w:sz w:val="26"/>
          <w:szCs w:val="26"/>
          <w:lang w:eastAsia="zh-TW"/>
        </w:rPr>
        <w:t xml:space="preserve"> » du CSC et qui s’est tenu le 25 mai 2023 à Ouagadougou, était également l’occasion de </w:t>
      </w:r>
      <w:r>
        <w:rPr>
          <w:rFonts w:ascii="Rockwell" w:eastAsia="Book Antiqua" w:hAnsi="Rockwell" w:cs="Times New Roman"/>
          <w:sz w:val="26"/>
          <w:szCs w:val="26"/>
          <w:lang w:eastAsia="zh-TW"/>
        </w:rPr>
        <w:t>rappeler certaines obligations légales et conventionnelles à la charge de ces entreprises</w:t>
      </w:r>
      <w:r>
        <w:rPr>
          <w:rFonts w:ascii="Rockwell" w:eastAsia="Times New Roman" w:hAnsi="Rockwell" w:cs="Times New Roman"/>
          <w:sz w:val="26"/>
          <w:szCs w:val="26"/>
          <w:lang w:eastAsia="zh-TW"/>
        </w:rPr>
        <w:t>.</w:t>
      </w:r>
    </w:p>
    <w:p w14:paraId="67C128D3" w14:textId="77777777" w:rsidR="00733207" w:rsidRDefault="00733207">
      <w:pPr>
        <w:spacing w:before="120" w:after="120" w:line="360" w:lineRule="auto"/>
        <w:jc w:val="both"/>
        <w:rPr>
          <w:rFonts w:ascii="Rockwell" w:eastAsia="Times New Roman" w:hAnsi="Rockwell" w:cs="Times New Roman"/>
          <w:sz w:val="26"/>
          <w:szCs w:val="26"/>
          <w:lang w:eastAsia="zh-TW"/>
        </w:rPr>
      </w:pPr>
    </w:p>
    <w:p w14:paraId="78481AA3" w14:textId="77777777" w:rsidR="00733207" w:rsidRPr="00D81F08" w:rsidRDefault="00912BAE">
      <w:pPr>
        <w:pStyle w:val="Titre3"/>
        <w:spacing w:before="240" w:after="240" w:line="240" w:lineRule="auto"/>
        <w:jc w:val="center"/>
        <w:rPr>
          <w:rFonts w:ascii="Rockwell" w:hAnsi="Rockwell"/>
          <w:b/>
          <w:i/>
          <w:color w:val="auto"/>
          <w:sz w:val="28"/>
          <w:szCs w:val="28"/>
        </w:rPr>
      </w:pPr>
      <w:bookmarkStart w:id="178" w:name="_Toc170209333"/>
      <w:bookmarkStart w:id="179" w:name="_Toc169855126"/>
      <w:bookmarkStart w:id="180" w:name="_Toc169854372"/>
      <w:bookmarkStart w:id="181" w:name="_Toc141088586"/>
      <w:bookmarkStart w:id="182" w:name="_Toc141088440"/>
      <w:bookmarkStart w:id="183" w:name="_Toc175128465"/>
      <w:r w:rsidRPr="00D81F08">
        <w:rPr>
          <w:rFonts w:ascii="Rockwell" w:hAnsi="Rockwell"/>
          <w:b/>
          <w:i/>
          <w:color w:val="auto"/>
          <w:sz w:val="28"/>
          <w:szCs w:val="28"/>
        </w:rPr>
        <w:t>SECTION 3 : NUMEROTATION DES CHAINES TV ET ACCOMPAGNEMENT DE LA REFLEXION SUR L’AUTOREGULATION DE LA PUBLICITE AU BURKINA FASO</w:t>
      </w:r>
      <w:bookmarkEnd w:id="178"/>
      <w:bookmarkEnd w:id="179"/>
      <w:bookmarkEnd w:id="180"/>
      <w:bookmarkEnd w:id="181"/>
      <w:bookmarkEnd w:id="182"/>
      <w:bookmarkEnd w:id="183"/>
    </w:p>
    <w:p w14:paraId="0132E651" w14:textId="77777777" w:rsidR="00733207" w:rsidRDefault="00733207">
      <w:pPr>
        <w:jc w:val="both"/>
        <w:rPr>
          <w:rFonts w:ascii="Rockwell" w:hAnsi="Rockwell"/>
        </w:rPr>
      </w:pPr>
    </w:p>
    <w:p w14:paraId="18BA51B9" w14:textId="2F51602B" w:rsidR="00733207" w:rsidRDefault="00912BAE">
      <w:pPr>
        <w:pStyle w:val="Titre4"/>
        <w:spacing w:before="240" w:after="240" w:line="360" w:lineRule="auto"/>
        <w:jc w:val="center"/>
        <w:rPr>
          <w:rFonts w:ascii="Rockwell" w:hAnsi="Rockwell" w:cs="Times New Roman"/>
          <w:b/>
          <w:i w:val="0"/>
          <w:color w:val="auto"/>
          <w:sz w:val="28"/>
          <w:szCs w:val="28"/>
        </w:rPr>
      </w:pPr>
      <w:bookmarkStart w:id="184" w:name="_Toc141088587"/>
      <w:bookmarkStart w:id="185" w:name="_Toc169855127"/>
      <w:bookmarkStart w:id="186" w:name="_Toc175128466"/>
      <w:r>
        <w:rPr>
          <w:rFonts w:ascii="Rockwell" w:hAnsi="Rockwell" w:cs="Times New Roman"/>
          <w:b/>
          <w:i w:val="0"/>
          <w:color w:val="auto"/>
          <w:sz w:val="28"/>
          <w:szCs w:val="28"/>
        </w:rPr>
        <w:t xml:space="preserve">Paragraphe 1 : </w:t>
      </w:r>
      <w:r w:rsidR="00D81F08">
        <w:rPr>
          <w:rFonts w:ascii="Rockwell" w:hAnsi="Rockwell" w:cs="Times New Roman"/>
          <w:b/>
          <w:i w:val="0"/>
          <w:color w:val="auto"/>
          <w:sz w:val="28"/>
          <w:szCs w:val="28"/>
        </w:rPr>
        <w:t xml:space="preserve">Lancement </w:t>
      </w:r>
      <w:r>
        <w:rPr>
          <w:rFonts w:ascii="Rockwell" w:hAnsi="Rockwell" w:cs="Times New Roman"/>
          <w:b/>
          <w:i w:val="0"/>
          <w:color w:val="auto"/>
          <w:sz w:val="28"/>
          <w:szCs w:val="28"/>
        </w:rPr>
        <w:t>du processus de numérotation des chaînes TV dans le premier multiplex de la TNT</w:t>
      </w:r>
      <w:bookmarkEnd w:id="184"/>
      <w:bookmarkEnd w:id="185"/>
      <w:bookmarkEnd w:id="186"/>
    </w:p>
    <w:p w14:paraId="3EDDE4B3" w14:textId="77777777" w:rsidR="00733207" w:rsidRDefault="00733207">
      <w:pPr>
        <w:spacing w:before="120" w:after="120" w:line="360" w:lineRule="auto"/>
        <w:jc w:val="center"/>
        <w:rPr>
          <w:rFonts w:ascii="Rockwell" w:hAnsi="Rockwell"/>
          <w:sz w:val="10"/>
          <w:szCs w:val="10"/>
        </w:rPr>
      </w:pPr>
    </w:p>
    <w:bookmarkEnd w:id="171"/>
    <w:p w14:paraId="619B78B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 considération des choix de couverture territoriale exprimés par les éditeurs de services télévisuels et conscient des enjeux du positionnement des chaînes, dans le premier multiplex TNT, en termes d’audience pour les éditeurs de services au Burkina Faso, le CSC a organisé la numérotation des services télévisuels autorisés à occuper le premier multiplex de la TNT mis en service par l’opérateur public de diffusion.</w:t>
      </w:r>
    </w:p>
    <w:p w14:paraId="2473B46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Cette décision se justifie par le souci de l’instance de régulation de préserver d’une part, l’équité entre tous les éditeurs de services télévisuels autorisés dans le premier multiplex TNT au Burkina Faso et de tenir compte de la satisfaction des téléspectateurs et de l’intérêt général en matière de communication audiovisuelle, d’autre part. </w:t>
      </w:r>
    </w:p>
    <w:p w14:paraId="05DC2FF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tirage au sort pour la numérotation des cinq (05) chaînes de télévision autorisées, en 2014, à émettre sur le premier multiplex de la TNT, a eu lieu le 27 janvier 2023. Après les chaînes de télévision autorisées, en 2014, à émettre </w:t>
      </w:r>
      <w:r>
        <w:rPr>
          <w:rFonts w:ascii="Rockwell" w:hAnsi="Rockwell" w:cs="Times New Roman"/>
          <w:sz w:val="26"/>
          <w:szCs w:val="26"/>
        </w:rPr>
        <w:lastRenderedPageBreak/>
        <w:t>sur le premier multiplex de la TNT, avec une couverture nationale, le CSC a procédé, le 03 février 2023, au tirage au sort pour la numérotation des chaînes régionales.</w:t>
      </w:r>
    </w:p>
    <w:p w14:paraId="6B2966E1" w14:textId="77777777" w:rsidR="00733207" w:rsidRDefault="00733207">
      <w:pPr>
        <w:spacing w:before="120" w:after="120" w:line="360" w:lineRule="auto"/>
        <w:jc w:val="both"/>
        <w:rPr>
          <w:rFonts w:ascii="Rockwell" w:hAnsi="Rockwell" w:cs="Times New Roman"/>
          <w:sz w:val="26"/>
          <w:szCs w:val="26"/>
        </w:rPr>
      </w:pPr>
    </w:p>
    <w:p w14:paraId="2E5CB682" w14:textId="261BC12A" w:rsidR="00733207" w:rsidRDefault="00912BAE">
      <w:pPr>
        <w:pStyle w:val="Titre4"/>
        <w:spacing w:before="240" w:after="240" w:line="360" w:lineRule="auto"/>
        <w:jc w:val="center"/>
        <w:rPr>
          <w:rFonts w:ascii="Rockwell" w:hAnsi="Rockwell" w:cs="Times New Roman"/>
          <w:b/>
          <w:i w:val="0"/>
          <w:color w:val="auto"/>
          <w:sz w:val="28"/>
          <w:szCs w:val="28"/>
        </w:rPr>
      </w:pPr>
      <w:bookmarkStart w:id="187" w:name="_Toc175128467"/>
      <w:bookmarkStart w:id="188" w:name="_Toc169855128"/>
      <w:bookmarkStart w:id="189" w:name="_Toc141088588"/>
      <w:bookmarkStart w:id="190" w:name="_Toc138337988"/>
      <w:r>
        <w:rPr>
          <w:rFonts w:ascii="Rockwell" w:hAnsi="Rockwell" w:cs="Times New Roman"/>
          <w:b/>
          <w:i w:val="0"/>
          <w:color w:val="auto"/>
          <w:sz w:val="28"/>
          <w:szCs w:val="28"/>
        </w:rPr>
        <w:t xml:space="preserve">Paragraphe 2 : </w:t>
      </w:r>
      <w:r w:rsidR="00D81F08">
        <w:rPr>
          <w:rFonts w:ascii="Rockwell" w:hAnsi="Rockwell" w:cs="Times New Roman"/>
          <w:b/>
          <w:i w:val="0"/>
          <w:color w:val="auto"/>
          <w:sz w:val="28"/>
          <w:szCs w:val="28"/>
        </w:rPr>
        <w:t xml:space="preserve">Accompagnement </w:t>
      </w:r>
      <w:r>
        <w:rPr>
          <w:rFonts w:ascii="Rockwell" w:hAnsi="Rockwell" w:cs="Times New Roman"/>
          <w:b/>
          <w:i w:val="0"/>
          <w:color w:val="auto"/>
          <w:sz w:val="28"/>
          <w:szCs w:val="28"/>
        </w:rPr>
        <w:t>des acteurs dans la réflexion sur l’autorégulation de la publicité au Burkina Faso</w:t>
      </w:r>
      <w:bookmarkEnd w:id="187"/>
      <w:bookmarkEnd w:id="188"/>
      <w:bookmarkEnd w:id="189"/>
    </w:p>
    <w:p w14:paraId="35D25AF1" w14:textId="77777777" w:rsidR="00733207" w:rsidRDefault="00733207">
      <w:pPr>
        <w:jc w:val="both"/>
        <w:rPr>
          <w:rFonts w:ascii="Rockwell" w:hAnsi="Rockwell"/>
          <w:sz w:val="10"/>
          <w:szCs w:val="10"/>
        </w:rPr>
      </w:pPr>
    </w:p>
    <w:bookmarkEnd w:id="190"/>
    <w:p w14:paraId="61F78E7D" w14:textId="3051D030"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w:t>
      </w:r>
      <w:r>
        <w:rPr>
          <w:rFonts w:ascii="Rockwell" w:eastAsia="Times New Roman" w:hAnsi="Rockwell" w:cs="Times New Roman"/>
          <w:sz w:val="26"/>
          <w:szCs w:val="26"/>
        </w:rPr>
        <w:t>a loi confère au CSC la compétence d’</w:t>
      </w:r>
      <w:r>
        <w:rPr>
          <w:rFonts w:ascii="Rockwell" w:hAnsi="Rockwell" w:cs="Times New Roman"/>
          <w:sz w:val="26"/>
          <w:szCs w:val="26"/>
        </w:rPr>
        <w:t>assurer la régulation du secteur de la publicité.</w:t>
      </w:r>
      <w:r>
        <w:rPr>
          <w:rStyle w:val="Appelnotedebasdep"/>
          <w:rFonts w:ascii="Rockwell" w:hAnsi="Rockwell" w:cs="Times New Roman"/>
          <w:sz w:val="26"/>
          <w:szCs w:val="26"/>
        </w:rPr>
        <w:footnoteReference w:id="3"/>
      </w:r>
      <w:r>
        <w:rPr>
          <w:rFonts w:ascii="Rockwell" w:hAnsi="Rockwell" w:cs="Times New Roman"/>
          <w:sz w:val="26"/>
          <w:szCs w:val="26"/>
        </w:rPr>
        <w:t xml:space="preserve"> Cette régulation qui s’effectue a post</w:t>
      </w:r>
      <w:r w:rsidR="00D81F08">
        <w:rPr>
          <w:rFonts w:ascii="Rockwell" w:hAnsi="Rockwell" w:cs="Times New Roman"/>
          <w:sz w:val="26"/>
          <w:szCs w:val="26"/>
        </w:rPr>
        <w:t>e</w:t>
      </w:r>
      <w:r>
        <w:rPr>
          <w:rFonts w:ascii="Rockwell" w:hAnsi="Rockwell" w:cs="Times New Roman"/>
          <w:sz w:val="26"/>
          <w:szCs w:val="26"/>
        </w:rPr>
        <w:t>riori n’est cependant pas sans conséquence pour les annonceurs dont la diffusion des messages publicitaires peut être remise en cause par le CSC pour non-conformité avec la loi et ce, nonobstant les ressources engagées dans la réalisation desdits messages.</w:t>
      </w:r>
    </w:p>
    <w:p w14:paraId="62ED39B3" w14:textId="6EEDE592"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Une régulation efficiente du secteur de la publicité commande donc l’appréciation, </w:t>
      </w:r>
      <w:r w:rsidR="00D81F08">
        <w:rPr>
          <w:rFonts w:ascii="Rockwell" w:hAnsi="Rockwell" w:cs="Times New Roman"/>
          <w:sz w:val="26"/>
          <w:szCs w:val="26"/>
        </w:rPr>
        <w:t>a</w:t>
      </w:r>
      <w:r>
        <w:rPr>
          <w:rFonts w:ascii="Rockwell" w:hAnsi="Rockwell" w:cs="Times New Roman"/>
          <w:sz w:val="26"/>
          <w:szCs w:val="26"/>
        </w:rPr>
        <w:t xml:space="preserve"> priori, des productions publicitaires. L’organe de régulation de la communication n’ayant pas ces prérogatives, l’autorégulation offre une issue pour une publicité saine et respectueuse des dispositions légales et réglementaires.</w:t>
      </w:r>
    </w:p>
    <w:p w14:paraId="731622EC" w14:textId="77777777" w:rsidR="00733207" w:rsidRDefault="00912BAE">
      <w:pPr>
        <w:spacing w:before="120" w:after="120" w:line="360" w:lineRule="auto"/>
        <w:jc w:val="both"/>
        <w:rPr>
          <w:rFonts w:ascii="Rockwell" w:hAnsi="Rockwell" w:cs="Times New Roman"/>
          <w:i/>
          <w:sz w:val="26"/>
          <w:szCs w:val="26"/>
        </w:rPr>
      </w:pPr>
      <w:r>
        <w:rPr>
          <w:rFonts w:ascii="Rockwell" w:hAnsi="Rockwell" w:cs="Times New Roman"/>
          <w:sz w:val="26"/>
          <w:szCs w:val="26"/>
        </w:rPr>
        <w:t xml:space="preserve">Dans ce sens, l’article 145 de la loi n° 080-2015/CNT du 23 novembre 2015 portant réglementation de la publicité au Burkina Faso, offre des possibilités en disposant que : </w:t>
      </w:r>
      <w:r>
        <w:rPr>
          <w:rFonts w:ascii="Rockwell" w:hAnsi="Rockwell" w:cs="Times New Roman"/>
          <w:i/>
          <w:sz w:val="26"/>
          <w:szCs w:val="26"/>
        </w:rPr>
        <w:t xml:space="preserve">« Il peut être créé toute structure d’autorégulation de la publicité ». </w:t>
      </w:r>
    </w:p>
    <w:p w14:paraId="4A34E1A4" w14:textId="146497A6" w:rsidR="00733207" w:rsidRDefault="00912BAE">
      <w:pPr>
        <w:spacing w:before="120" w:after="120" w:line="360" w:lineRule="auto"/>
        <w:jc w:val="both"/>
        <w:rPr>
          <w:rFonts w:ascii="Rockwell" w:hAnsi="Rockwell" w:cs="Times New Roman"/>
          <w:i/>
          <w:sz w:val="26"/>
          <w:szCs w:val="26"/>
        </w:rPr>
      </w:pPr>
      <w:r>
        <w:rPr>
          <w:rFonts w:ascii="Rockwell" w:hAnsi="Rockwell" w:cs="Times New Roman"/>
          <w:sz w:val="26"/>
          <w:szCs w:val="26"/>
        </w:rPr>
        <w:t xml:space="preserve">Dans le même ordre d’idées, Madame Béatrice DAMIBA, alors Présidente du CSC, affirmait que : </w:t>
      </w:r>
      <w:r>
        <w:rPr>
          <w:rFonts w:ascii="Rockwell" w:hAnsi="Rockwell" w:cs="Times New Roman"/>
          <w:i/>
          <w:sz w:val="26"/>
          <w:szCs w:val="26"/>
        </w:rPr>
        <w:t>« Plus l’autorégulation sera efficace, moins il y aura nécessité de régulation institutionnelle</w:t>
      </w:r>
      <w:r>
        <w:rPr>
          <w:rFonts w:ascii="Rockwell" w:hAnsi="Rockwell" w:cs="Times New Roman"/>
          <w:sz w:val="26"/>
          <w:szCs w:val="26"/>
        </w:rPr>
        <w:t xml:space="preserve"> ». </w:t>
      </w:r>
    </w:p>
    <w:p w14:paraId="69C131E8" w14:textId="77777777" w:rsidR="00733207" w:rsidRDefault="00912BAE">
      <w:pPr>
        <w:spacing w:before="120" w:after="120" w:line="360" w:lineRule="auto"/>
        <w:jc w:val="both"/>
        <w:textAlignment w:val="baseline"/>
        <w:rPr>
          <w:rFonts w:ascii="Rockwell" w:hAnsi="Rockwell" w:cs="Times New Roman"/>
          <w:sz w:val="26"/>
          <w:szCs w:val="26"/>
        </w:rPr>
      </w:pPr>
      <w:r>
        <w:rPr>
          <w:rFonts w:ascii="Rockwell" w:hAnsi="Rockwell" w:cs="Times New Roman"/>
          <w:sz w:val="26"/>
          <w:szCs w:val="26"/>
        </w:rPr>
        <w:lastRenderedPageBreak/>
        <w:t xml:space="preserve">En vue d’accompagner les acteurs concernés dans la réflexion sur l’autorégulation de la publicité au Burkina Faso, le CSC a organisé, le 16 mai 2023, un atelier sur la problématique. </w:t>
      </w:r>
    </w:p>
    <w:p w14:paraId="33A48F9D" w14:textId="77777777" w:rsidR="00733207" w:rsidRDefault="00912BAE">
      <w:pPr>
        <w:spacing w:before="120" w:after="120" w:line="360" w:lineRule="auto"/>
        <w:jc w:val="both"/>
        <w:textAlignment w:val="baseline"/>
        <w:rPr>
          <w:rFonts w:ascii="Rockwell" w:hAnsi="Rockwell" w:cs="Times New Roman"/>
          <w:sz w:val="26"/>
          <w:szCs w:val="26"/>
        </w:rPr>
      </w:pPr>
      <w:r>
        <w:rPr>
          <w:rFonts w:ascii="Rockwell" w:hAnsi="Rockwell" w:cs="Times New Roman"/>
          <w:sz w:val="26"/>
          <w:szCs w:val="26"/>
        </w:rPr>
        <w:t>L’objectif était de dégager des pistes pour une meilleure contribution de l’autorégulation à l’assainissement du secteur de la publicité et d’envisager, à cet effet, la mise en place d’une structure.</w:t>
      </w:r>
    </w:p>
    <w:p w14:paraId="4B2636F4" w14:textId="77777777" w:rsidR="00733207" w:rsidRDefault="00912BAE">
      <w:pPr>
        <w:spacing w:before="120" w:after="120" w:line="360" w:lineRule="auto"/>
        <w:jc w:val="both"/>
        <w:textAlignment w:val="baseline"/>
        <w:rPr>
          <w:rFonts w:ascii="Rockwell" w:hAnsi="Rockwell" w:cs="Times New Roman"/>
          <w:sz w:val="26"/>
          <w:szCs w:val="26"/>
        </w:rPr>
      </w:pPr>
      <w:r>
        <w:rPr>
          <w:rFonts w:ascii="Rockwell" w:hAnsi="Rockwell" w:cs="Times New Roman"/>
          <w:sz w:val="26"/>
          <w:szCs w:val="26"/>
        </w:rPr>
        <w:t>L’atelier a connu la participation de vingt-deux (22) acteurs du secteur de la publicité qui ont axé leurs réflexions sur deux thématiques : les « </w:t>
      </w:r>
      <w:r>
        <w:rPr>
          <w:rFonts w:ascii="Rockwell" w:hAnsi="Rockwell" w:cs="Times New Roman"/>
          <w:i/>
          <w:sz w:val="26"/>
          <w:szCs w:val="26"/>
        </w:rPr>
        <w:t>limites de la régulation de la publicité »</w:t>
      </w:r>
      <w:r>
        <w:rPr>
          <w:rFonts w:ascii="Rockwell" w:hAnsi="Rockwell" w:cs="Times New Roman"/>
          <w:sz w:val="26"/>
          <w:szCs w:val="26"/>
        </w:rPr>
        <w:t> et</w:t>
      </w:r>
      <w:r>
        <w:rPr>
          <w:rFonts w:ascii="Rockwell" w:hAnsi="Rockwell" w:cs="Times New Roman"/>
          <w:i/>
          <w:sz w:val="26"/>
          <w:szCs w:val="26"/>
        </w:rPr>
        <w:t xml:space="preserve"> « l’autorégulation efficace de la publicité</w:t>
      </w:r>
      <w:r>
        <w:rPr>
          <w:rFonts w:ascii="Rockwell" w:hAnsi="Rockwell" w:cs="Times New Roman"/>
          <w:sz w:val="26"/>
          <w:szCs w:val="26"/>
        </w:rPr>
        <w:t> ». </w:t>
      </w:r>
    </w:p>
    <w:p w14:paraId="1416FBF8" w14:textId="77777777" w:rsidR="00733207" w:rsidRDefault="00912BAE">
      <w:pPr>
        <w:spacing w:before="120" w:after="120" w:line="360" w:lineRule="auto"/>
        <w:jc w:val="both"/>
        <w:textAlignment w:val="baseline"/>
        <w:rPr>
          <w:rFonts w:ascii="Rockwell" w:hAnsi="Rockwell" w:cs="Times New Roman"/>
          <w:sz w:val="26"/>
          <w:szCs w:val="26"/>
        </w:rPr>
      </w:pPr>
      <w:r>
        <w:rPr>
          <w:rFonts w:ascii="Rockwell" w:hAnsi="Rockwell" w:cs="Times New Roman"/>
          <w:sz w:val="26"/>
          <w:szCs w:val="26"/>
        </w:rPr>
        <w:t>Un comité de réflexion a été mis en place et les concertations, qui se sont poursuivies entre les différents acteurs, ont permis l’élaboration de textes consensuels devant régir l’instance d’autorégulation. Cet organe d’autorégulation, dénommé « </w:t>
      </w:r>
      <w:r>
        <w:rPr>
          <w:rFonts w:ascii="Rockwell" w:hAnsi="Rockwell" w:cs="Times New Roman"/>
          <w:i/>
          <w:sz w:val="26"/>
          <w:szCs w:val="26"/>
        </w:rPr>
        <w:t>Observatoire Burkinabè de la Publicité/</w:t>
      </w:r>
      <w:proofErr w:type="spellStart"/>
      <w:r>
        <w:rPr>
          <w:rFonts w:ascii="Rockwell" w:hAnsi="Rockwell" w:cs="Times New Roman"/>
          <w:i/>
          <w:sz w:val="26"/>
          <w:szCs w:val="26"/>
        </w:rPr>
        <w:t>OBPub</w:t>
      </w:r>
      <w:proofErr w:type="spellEnd"/>
      <w:r>
        <w:rPr>
          <w:rFonts w:ascii="Rockwell" w:hAnsi="Rockwell" w:cs="Times New Roman"/>
          <w:sz w:val="26"/>
          <w:szCs w:val="26"/>
        </w:rPr>
        <w:t> »</w:t>
      </w:r>
      <w:r>
        <w:rPr>
          <w:rFonts w:ascii="Rockwell" w:hAnsi="Rockwell" w:cs="Times New Roman"/>
          <w:color w:val="FF0000"/>
          <w:sz w:val="26"/>
          <w:szCs w:val="26"/>
        </w:rPr>
        <w:t xml:space="preserve">, </w:t>
      </w:r>
      <w:r>
        <w:rPr>
          <w:rFonts w:ascii="Rockwell" w:hAnsi="Rockwell" w:cs="Times New Roman"/>
          <w:sz w:val="26"/>
          <w:szCs w:val="26"/>
        </w:rPr>
        <w:t>a été porté sur les fonts baptismaux dans le cadre d’une assemblée générale, tenue le 12 juillet 2023, à Ouagadougou.</w:t>
      </w:r>
    </w:p>
    <w:p w14:paraId="50CD1DF4" w14:textId="77777777" w:rsidR="00733207" w:rsidRDefault="00912BAE">
      <w:pPr>
        <w:spacing w:before="120" w:after="120" w:line="360" w:lineRule="auto"/>
        <w:jc w:val="both"/>
        <w:rPr>
          <w:rFonts w:ascii="Rockwell" w:hAnsi="Rockwell" w:cs="Times New Roman"/>
          <w:b/>
          <w:sz w:val="26"/>
          <w:szCs w:val="26"/>
        </w:rPr>
      </w:pPr>
      <w:r>
        <w:rPr>
          <w:rFonts w:ascii="Rockwell" w:hAnsi="Rockwell" w:cs="Times New Roman"/>
          <w:b/>
          <w:sz w:val="26"/>
          <w:szCs w:val="26"/>
        </w:rPr>
        <w:br w:type="page"/>
      </w:r>
    </w:p>
    <w:p w14:paraId="6802F0B5" w14:textId="77777777" w:rsidR="00733207" w:rsidRDefault="00912BAE">
      <w:pPr>
        <w:pStyle w:val="Titre2"/>
        <w:spacing w:before="240" w:after="240" w:line="360" w:lineRule="auto"/>
        <w:jc w:val="center"/>
        <w:rPr>
          <w:rFonts w:ascii="Rockwell" w:hAnsi="Rockwell"/>
          <w:b/>
          <w:color w:val="auto"/>
          <w:sz w:val="30"/>
          <w:szCs w:val="30"/>
        </w:rPr>
      </w:pPr>
      <w:bookmarkStart w:id="191" w:name="_Toc169855129"/>
      <w:bookmarkStart w:id="192" w:name="_Toc169854373"/>
      <w:bookmarkStart w:id="193" w:name="_Toc175128468"/>
      <w:bookmarkStart w:id="194" w:name="_Toc170209334"/>
      <w:r>
        <w:rPr>
          <w:rFonts w:ascii="Rockwell" w:hAnsi="Rockwell"/>
          <w:b/>
          <w:color w:val="auto"/>
          <w:sz w:val="30"/>
          <w:szCs w:val="30"/>
        </w:rPr>
        <w:lastRenderedPageBreak/>
        <w:t>CHAPITRE III : REGULATION DE L’OFFRE MEDIATIQUE</w:t>
      </w:r>
      <w:bookmarkEnd w:id="191"/>
      <w:bookmarkEnd w:id="192"/>
      <w:r>
        <w:rPr>
          <w:rFonts w:ascii="Rockwell" w:hAnsi="Rockwell"/>
          <w:b/>
          <w:color w:val="auto"/>
          <w:sz w:val="30"/>
          <w:szCs w:val="30"/>
        </w:rPr>
        <w:t xml:space="preserve"> ET GESTION DU CONTENTIEUX</w:t>
      </w:r>
      <w:bookmarkEnd w:id="193"/>
      <w:bookmarkEnd w:id="194"/>
    </w:p>
    <w:p w14:paraId="53D92C24" w14:textId="77777777" w:rsidR="00733207" w:rsidRDefault="00733207">
      <w:pPr>
        <w:jc w:val="both"/>
        <w:rPr>
          <w:rFonts w:ascii="Rockwell" w:hAnsi="Rockwell"/>
        </w:rPr>
      </w:pPr>
    </w:p>
    <w:p w14:paraId="4D7F397E"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Au cours de l’année 2023, le Conseil supérieur de la communication a reçu des demandes d’autorisation d’exploitation de fréquences, procédé à la signature de conventions et réceptionné des déclarations d’existence de médias. Il a également suivi des dossiers contentieux pendants et nouveaux.</w:t>
      </w:r>
    </w:p>
    <w:p w14:paraId="24CD7D81"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 xml:space="preserve"> </w:t>
      </w:r>
    </w:p>
    <w:p w14:paraId="7A547276" w14:textId="77777777" w:rsidR="00733207" w:rsidRPr="004A66A2" w:rsidRDefault="00912BAE">
      <w:pPr>
        <w:pStyle w:val="Titre3"/>
        <w:spacing w:before="240" w:after="240" w:line="360" w:lineRule="auto"/>
        <w:jc w:val="center"/>
        <w:rPr>
          <w:rFonts w:ascii="Rockwell" w:hAnsi="Rockwell"/>
          <w:b/>
          <w:i/>
          <w:color w:val="auto"/>
          <w:sz w:val="28"/>
          <w:szCs w:val="28"/>
        </w:rPr>
      </w:pPr>
      <w:bookmarkStart w:id="195" w:name="_Toc169854374"/>
      <w:bookmarkStart w:id="196" w:name="_Toc170209335"/>
      <w:bookmarkStart w:id="197" w:name="_Toc175128469"/>
      <w:bookmarkStart w:id="198" w:name="_Toc169855130"/>
      <w:r w:rsidRPr="004A66A2">
        <w:rPr>
          <w:rFonts w:ascii="Rockwell" w:hAnsi="Rockwell"/>
          <w:b/>
          <w:i/>
          <w:color w:val="auto"/>
          <w:sz w:val="28"/>
          <w:szCs w:val="28"/>
        </w:rPr>
        <w:t>SECTION 1 : ACTIVITES D’AUTORISATION ET DE RENOUVELLEMENT DE CONVENTIONS</w:t>
      </w:r>
      <w:bookmarkEnd w:id="195"/>
      <w:bookmarkEnd w:id="196"/>
      <w:bookmarkEnd w:id="197"/>
      <w:bookmarkEnd w:id="198"/>
    </w:p>
    <w:p w14:paraId="14B80657" w14:textId="77777777" w:rsidR="00733207" w:rsidRDefault="00733207">
      <w:pPr>
        <w:spacing w:before="120" w:after="120" w:line="360" w:lineRule="auto"/>
        <w:jc w:val="both"/>
        <w:rPr>
          <w:rFonts w:ascii="Rockwell" w:hAnsi="Rockwell"/>
          <w:sz w:val="26"/>
          <w:szCs w:val="26"/>
        </w:rPr>
      </w:pPr>
    </w:p>
    <w:p w14:paraId="72D7F99D" w14:textId="77777777" w:rsidR="00733207" w:rsidRDefault="00912BAE">
      <w:pPr>
        <w:pStyle w:val="Titre4"/>
        <w:spacing w:before="120" w:after="120" w:line="360" w:lineRule="auto"/>
        <w:jc w:val="center"/>
        <w:rPr>
          <w:rFonts w:ascii="Rockwell" w:hAnsi="Rockwell"/>
          <w:b/>
          <w:i w:val="0"/>
          <w:color w:val="auto"/>
          <w:sz w:val="28"/>
          <w:szCs w:val="28"/>
        </w:rPr>
      </w:pPr>
      <w:bookmarkStart w:id="199" w:name="_Toc169855131"/>
      <w:bookmarkStart w:id="200" w:name="_Toc175128470"/>
      <w:r>
        <w:rPr>
          <w:rFonts w:ascii="Rockwell" w:hAnsi="Rockwell"/>
          <w:b/>
          <w:i w:val="0"/>
          <w:color w:val="auto"/>
          <w:sz w:val="28"/>
          <w:szCs w:val="28"/>
        </w:rPr>
        <w:t>Paragraphe 1 : Activités d’autorisation</w:t>
      </w:r>
      <w:bookmarkEnd w:id="199"/>
      <w:bookmarkEnd w:id="200"/>
    </w:p>
    <w:p w14:paraId="628FFD36" w14:textId="77777777" w:rsidR="00733207" w:rsidRDefault="00733207">
      <w:pPr>
        <w:pStyle w:val="Titre4"/>
        <w:spacing w:before="120" w:after="120" w:line="360" w:lineRule="auto"/>
        <w:jc w:val="both"/>
        <w:rPr>
          <w:rFonts w:ascii="Rockwell" w:hAnsi="Rockwell"/>
          <w:i w:val="0"/>
          <w:color w:val="auto"/>
          <w:sz w:val="10"/>
          <w:szCs w:val="10"/>
        </w:rPr>
      </w:pPr>
    </w:p>
    <w:p w14:paraId="48F1E027" w14:textId="1CF1F67F" w:rsidR="00733207" w:rsidRDefault="00912BAE">
      <w:pPr>
        <w:spacing w:before="120" w:after="120" w:line="360" w:lineRule="auto"/>
        <w:ind w:left="-284"/>
        <w:jc w:val="both"/>
        <w:rPr>
          <w:rFonts w:ascii="Rockwell" w:hAnsi="Rockwell"/>
          <w:sz w:val="26"/>
          <w:szCs w:val="26"/>
        </w:rPr>
      </w:pPr>
      <w:r>
        <w:rPr>
          <w:rFonts w:ascii="Rockwell" w:hAnsi="Rockwell"/>
          <w:sz w:val="26"/>
          <w:szCs w:val="26"/>
        </w:rPr>
        <w:t>Ce sont au total vingt-deux demandes de fréquences ou d’autorisation d’exploitation qui ont été reçues. Elles se présentent comme suit :</w:t>
      </w:r>
    </w:p>
    <w:p w14:paraId="0231025A" w14:textId="71D895A6" w:rsidR="00733207" w:rsidRDefault="00912BAE">
      <w:pPr>
        <w:numPr>
          <w:ilvl w:val="0"/>
          <w:numId w:val="14"/>
        </w:numPr>
        <w:suppressAutoHyphens/>
        <w:autoSpaceDN w:val="0"/>
        <w:spacing w:before="120" w:after="120" w:line="360" w:lineRule="auto"/>
        <w:jc w:val="both"/>
        <w:rPr>
          <w:rFonts w:ascii="Rockwell" w:hAnsi="Rockwell"/>
          <w:sz w:val="26"/>
          <w:szCs w:val="26"/>
        </w:rPr>
      </w:pPr>
      <w:proofErr w:type="gramStart"/>
      <w:r>
        <w:rPr>
          <w:rFonts w:ascii="Rockwell" w:hAnsi="Rockwell"/>
          <w:sz w:val="26"/>
          <w:szCs w:val="26"/>
        </w:rPr>
        <w:t>une</w:t>
      </w:r>
      <w:proofErr w:type="gramEnd"/>
      <w:r>
        <w:rPr>
          <w:rFonts w:ascii="Rockwell" w:hAnsi="Rockwell"/>
          <w:sz w:val="26"/>
          <w:szCs w:val="26"/>
        </w:rPr>
        <w:t xml:space="preserve"> demande d’exercice de distributeur de services audiovisuels à péage ;</w:t>
      </w:r>
    </w:p>
    <w:p w14:paraId="2D33E36E" w14:textId="5D3BC2FB" w:rsidR="00733207" w:rsidRDefault="00912BAE">
      <w:pPr>
        <w:numPr>
          <w:ilvl w:val="0"/>
          <w:numId w:val="14"/>
        </w:numPr>
        <w:suppressAutoHyphens/>
        <w:autoSpaceDN w:val="0"/>
        <w:spacing w:before="120" w:after="120" w:line="360" w:lineRule="auto"/>
        <w:jc w:val="both"/>
        <w:rPr>
          <w:rFonts w:ascii="Rockwell" w:hAnsi="Rockwell"/>
          <w:sz w:val="26"/>
          <w:szCs w:val="26"/>
        </w:rPr>
      </w:pPr>
      <w:proofErr w:type="gramStart"/>
      <w:r>
        <w:rPr>
          <w:rFonts w:ascii="Rockwell" w:hAnsi="Rockwell"/>
          <w:sz w:val="26"/>
          <w:szCs w:val="26"/>
        </w:rPr>
        <w:t>une  demande</w:t>
      </w:r>
      <w:proofErr w:type="gramEnd"/>
      <w:r>
        <w:rPr>
          <w:rFonts w:ascii="Rockwell" w:hAnsi="Rockwell"/>
          <w:sz w:val="26"/>
          <w:szCs w:val="26"/>
        </w:rPr>
        <w:t xml:space="preserve"> pour la création de télévision éducative ;</w:t>
      </w:r>
    </w:p>
    <w:p w14:paraId="3AA8B74C" w14:textId="5DE7332A" w:rsidR="00733207" w:rsidRDefault="00912BAE">
      <w:pPr>
        <w:numPr>
          <w:ilvl w:val="0"/>
          <w:numId w:val="14"/>
        </w:numPr>
        <w:suppressAutoHyphens/>
        <w:autoSpaceDN w:val="0"/>
        <w:spacing w:before="120" w:after="120" w:line="360" w:lineRule="auto"/>
        <w:jc w:val="both"/>
        <w:rPr>
          <w:rFonts w:ascii="Rockwell" w:hAnsi="Rockwell"/>
          <w:sz w:val="26"/>
          <w:szCs w:val="26"/>
        </w:rPr>
      </w:pPr>
      <w:proofErr w:type="gramStart"/>
      <w:r>
        <w:rPr>
          <w:rFonts w:ascii="Rockwell" w:hAnsi="Rockwell"/>
          <w:sz w:val="26"/>
          <w:szCs w:val="26"/>
        </w:rPr>
        <w:t>seize</w:t>
      </w:r>
      <w:proofErr w:type="gramEnd"/>
      <w:r>
        <w:rPr>
          <w:rFonts w:ascii="Rockwell" w:hAnsi="Rockwell"/>
          <w:sz w:val="26"/>
          <w:szCs w:val="26"/>
        </w:rPr>
        <w:t xml:space="preserve"> demandes de création de radiodiffusion sonore ;</w:t>
      </w:r>
    </w:p>
    <w:p w14:paraId="758CC243" w14:textId="5CD6AC9F" w:rsidR="00733207" w:rsidRDefault="00912BAE">
      <w:pPr>
        <w:numPr>
          <w:ilvl w:val="0"/>
          <w:numId w:val="14"/>
        </w:numPr>
        <w:suppressAutoHyphens/>
        <w:autoSpaceDN w:val="0"/>
        <w:spacing w:before="120" w:after="120" w:line="360" w:lineRule="auto"/>
        <w:jc w:val="both"/>
        <w:rPr>
          <w:rFonts w:ascii="Rockwell" w:hAnsi="Rockwell"/>
          <w:sz w:val="26"/>
          <w:szCs w:val="26"/>
        </w:rPr>
      </w:pPr>
      <w:proofErr w:type="gramStart"/>
      <w:r>
        <w:rPr>
          <w:rFonts w:ascii="Rockwell" w:hAnsi="Rockwell"/>
          <w:sz w:val="26"/>
          <w:szCs w:val="26"/>
        </w:rPr>
        <w:t>quatre  demandes</w:t>
      </w:r>
      <w:proofErr w:type="gramEnd"/>
      <w:r>
        <w:rPr>
          <w:rFonts w:ascii="Rockwell" w:hAnsi="Rockwell"/>
          <w:sz w:val="26"/>
          <w:szCs w:val="26"/>
        </w:rPr>
        <w:t xml:space="preserve"> de fréquences relais.</w:t>
      </w:r>
    </w:p>
    <w:p w14:paraId="34057482" w14:textId="098A1CEA" w:rsidR="00733207" w:rsidRDefault="00912BAE">
      <w:pPr>
        <w:spacing w:before="120" w:after="120" w:line="360" w:lineRule="auto"/>
        <w:ind w:left="-284"/>
        <w:jc w:val="both"/>
        <w:rPr>
          <w:rFonts w:ascii="Rockwell" w:hAnsi="Rockwell"/>
          <w:sz w:val="26"/>
          <w:szCs w:val="26"/>
        </w:rPr>
      </w:pPr>
      <w:r>
        <w:rPr>
          <w:rFonts w:ascii="Rockwell" w:hAnsi="Rockwell"/>
          <w:sz w:val="26"/>
          <w:szCs w:val="26"/>
        </w:rPr>
        <w:t>Par ailleurs, à la suite de la réduction des redevances de diffusion par la SBT, six éditeurs de services télévisuels ont revu leur option de couverture. Ainsi, les télévisions El Bethel, Bf1, Impact TV, Savane TV, Télé Citoyenne de Ouagadougou et Télé Citoyenne de Tenkodogo ont reçu l’autorisation du CSC de couvrir désormais l’ensemble du territoire national.</w:t>
      </w:r>
    </w:p>
    <w:p w14:paraId="505375EB" w14:textId="77777777" w:rsidR="00733207" w:rsidRDefault="00733207">
      <w:pPr>
        <w:spacing w:before="120" w:after="120" w:line="360" w:lineRule="auto"/>
        <w:ind w:left="-284"/>
        <w:jc w:val="both"/>
        <w:rPr>
          <w:rFonts w:ascii="Rockwell" w:hAnsi="Rockwell"/>
          <w:sz w:val="26"/>
          <w:szCs w:val="26"/>
        </w:rPr>
      </w:pPr>
    </w:p>
    <w:p w14:paraId="2CDF9848" w14:textId="77777777" w:rsidR="00733207" w:rsidRDefault="00912BAE">
      <w:pPr>
        <w:pStyle w:val="Titre4"/>
        <w:spacing w:before="120" w:after="120" w:line="360" w:lineRule="auto"/>
        <w:jc w:val="center"/>
        <w:rPr>
          <w:rFonts w:ascii="Rockwell" w:hAnsi="Rockwell"/>
          <w:b/>
          <w:i w:val="0"/>
          <w:color w:val="auto"/>
          <w:sz w:val="28"/>
          <w:szCs w:val="28"/>
        </w:rPr>
      </w:pPr>
      <w:bookmarkStart w:id="201" w:name="_Toc175128471"/>
      <w:bookmarkStart w:id="202" w:name="_Toc169855132"/>
      <w:r>
        <w:rPr>
          <w:rFonts w:ascii="Rockwell" w:hAnsi="Rockwell"/>
          <w:b/>
          <w:i w:val="0"/>
          <w:color w:val="auto"/>
          <w:sz w:val="28"/>
          <w:szCs w:val="28"/>
        </w:rPr>
        <w:lastRenderedPageBreak/>
        <w:t>Paragraphe 2 : Renouvellement de conventions</w:t>
      </w:r>
      <w:bookmarkEnd w:id="201"/>
      <w:bookmarkEnd w:id="202"/>
    </w:p>
    <w:p w14:paraId="18E1C8D1" w14:textId="77777777" w:rsidR="00733207" w:rsidRDefault="00733207">
      <w:pPr>
        <w:pStyle w:val="Titre4"/>
        <w:spacing w:before="120" w:after="120" w:line="360" w:lineRule="auto"/>
        <w:jc w:val="both"/>
        <w:rPr>
          <w:rFonts w:ascii="Rockwell" w:hAnsi="Rockwell"/>
          <w:i w:val="0"/>
          <w:color w:val="auto"/>
          <w:sz w:val="10"/>
          <w:szCs w:val="10"/>
        </w:rPr>
      </w:pPr>
    </w:p>
    <w:p w14:paraId="28E1B86B"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Selon la situation des conventions arrivées à expiration en 2023 et devant faire l’objet de renouvellement, onze (11) médias audiovisuels dont huit (08) radios et trois (03) télévisions étaient concernés par le renouvellement de leurs conventions avec le CSC. Cependant, seule la Délégation spéciale de la commune de Tanghin-Dassouri a introduit une demande de renouvellement de la convention.</w:t>
      </w:r>
    </w:p>
    <w:p w14:paraId="41528BAC" w14:textId="77777777" w:rsidR="00733207" w:rsidRDefault="00912BAE">
      <w:pPr>
        <w:pStyle w:val="Titre4"/>
        <w:spacing w:before="240" w:after="240" w:line="360" w:lineRule="auto"/>
        <w:jc w:val="center"/>
        <w:rPr>
          <w:rFonts w:ascii="Rockwell" w:hAnsi="Rockwell"/>
          <w:b/>
          <w:i w:val="0"/>
          <w:color w:val="auto"/>
          <w:sz w:val="28"/>
          <w:szCs w:val="28"/>
        </w:rPr>
      </w:pPr>
      <w:bookmarkStart w:id="203" w:name="_Toc175128472"/>
      <w:bookmarkStart w:id="204" w:name="_Toc169855133"/>
      <w:r>
        <w:rPr>
          <w:rFonts w:ascii="Rockwell" w:hAnsi="Rockwell"/>
          <w:b/>
          <w:i w:val="0"/>
          <w:color w:val="auto"/>
          <w:sz w:val="28"/>
          <w:szCs w:val="28"/>
        </w:rPr>
        <w:t>Paragraphe 3 : Déclarations d’existence</w:t>
      </w:r>
      <w:bookmarkEnd w:id="203"/>
      <w:bookmarkEnd w:id="204"/>
    </w:p>
    <w:p w14:paraId="16C5246C" w14:textId="77777777" w:rsidR="00733207" w:rsidRDefault="00733207">
      <w:pPr>
        <w:pStyle w:val="Titre5"/>
        <w:spacing w:before="120" w:after="120" w:line="360" w:lineRule="auto"/>
        <w:jc w:val="both"/>
        <w:rPr>
          <w:rFonts w:ascii="Rockwell" w:hAnsi="Rockwell"/>
          <w:color w:val="auto"/>
          <w:sz w:val="10"/>
          <w:szCs w:val="10"/>
        </w:rPr>
      </w:pPr>
    </w:p>
    <w:p w14:paraId="2412FC08" w14:textId="77777777" w:rsidR="00733207" w:rsidRDefault="00912BAE" w:rsidP="004A66A2">
      <w:pPr>
        <w:pStyle w:val="Titre5"/>
        <w:spacing w:before="120" w:after="120" w:line="360" w:lineRule="auto"/>
        <w:jc w:val="center"/>
        <w:rPr>
          <w:rFonts w:ascii="Rockwell" w:hAnsi="Rockwell"/>
          <w:i w:val="0"/>
          <w:color w:val="auto"/>
          <w:sz w:val="26"/>
          <w:szCs w:val="26"/>
        </w:rPr>
      </w:pPr>
      <w:bookmarkStart w:id="205" w:name="_Toc175128473"/>
      <w:bookmarkStart w:id="206" w:name="_Toc169855134"/>
      <w:r>
        <w:rPr>
          <w:rFonts w:ascii="Rockwell" w:hAnsi="Rockwell"/>
          <w:i w:val="0"/>
          <w:color w:val="auto"/>
          <w:sz w:val="26"/>
          <w:szCs w:val="26"/>
        </w:rPr>
        <w:t>3.1.</w:t>
      </w:r>
      <w:r>
        <w:rPr>
          <w:rFonts w:ascii="Rockwell" w:hAnsi="Rockwell"/>
          <w:color w:val="auto"/>
          <w:sz w:val="26"/>
          <w:szCs w:val="26"/>
        </w:rPr>
        <w:t xml:space="preserve"> </w:t>
      </w:r>
      <w:r>
        <w:rPr>
          <w:rFonts w:ascii="Rockwell" w:hAnsi="Rockwell"/>
          <w:i w:val="0"/>
          <w:color w:val="auto"/>
          <w:sz w:val="26"/>
          <w:szCs w:val="26"/>
        </w:rPr>
        <w:t>Presse écrite et presse en ligne</w:t>
      </w:r>
      <w:bookmarkEnd w:id="205"/>
      <w:bookmarkEnd w:id="206"/>
    </w:p>
    <w:p w14:paraId="075B8C9C" w14:textId="77777777" w:rsidR="00733207" w:rsidRDefault="00733207">
      <w:pPr>
        <w:spacing w:before="120" w:after="120" w:line="360" w:lineRule="auto"/>
        <w:jc w:val="both"/>
        <w:rPr>
          <w:rFonts w:ascii="Rockwell" w:hAnsi="Rockwell"/>
          <w:sz w:val="10"/>
          <w:szCs w:val="10"/>
        </w:rPr>
      </w:pPr>
    </w:p>
    <w:p w14:paraId="5E2DFE02"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Au titre de l’année 2023, le CSC a réceptionné quarante-une (41) déclarations d’existence dont six (06) déclarations de presse écrite et trente-cinq (35) déclarations de presse en ligne, conformément à la loi</w:t>
      </w:r>
      <w:r>
        <w:rPr>
          <w:rStyle w:val="Appelnotedebasdep"/>
          <w:rFonts w:ascii="Rockwell" w:hAnsi="Rockwell"/>
          <w:sz w:val="26"/>
          <w:szCs w:val="26"/>
        </w:rPr>
        <w:footnoteReference w:id="4"/>
      </w:r>
      <w:r>
        <w:rPr>
          <w:rFonts w:ascii="Rockwell" w:hAnsi="Rockwell"/>
          <w:sz w:val="26"/>
          <w:szCs w:val="26"/>
        </w:rPr>
        <w:t>.</w:t>
      </w:r>
    </w:p>
    <w:p w14:paraId="25767B8E" w14:textId="77777777" w:rsidR="00733207" w:rsidRDefault="00912BAE">
      <w:pPr>
        <w:spacing w:before="120" w:after="120" w:line="360" w:lineRule="auto"/>
        <w:ind w:left="-284"/>
        <w:jc w:val="both"/>
        <w:rPr>
          <w:rFonts w:ascii="Rockwell" w:hAnsi="Rockwell"/>
          <w:b/>
          <w:color w:val="FF0000"/>
          <w:sz w:val="26"/>
          <w:szCs w:val="26"/>
        </w:rPr>
      </w:pPr>
      <w:r>
        <w:rPr>
          <w:rFonts w:ascii="Rockwell" w:hAnsi="Rockwell"/>
          <w:sz w:val="26"/>
          <w:szCs w:val="26"/>
        </w:rPr>
        <w:t>Sur les trente-cinq (35) déclarations de presse en ligne, onze (11) sont en réalité des web-médias.</w:t>
      </w:r>
      <w:r>
        <w:rPr>
          <w:rFonts w:ascii="Rockwell" w:hAnsi="Rockwell"/>
          <w:b/>
          <w:color w:val="FF0000"/>
          <w:sz w:val="26"/>
          <w:szCs w:val="26"/>
        </w:rPr>
        <w:t xml:space="preserve"> </w:t>
      </w:r>
      <w:bookmarkStart w:id="207" w:name="_Toc33705358"/>
      <w:bookmarkStart w:id="208" w:name="_Toc33610274"/>
      <w:bookmarkStart w:id="209" w:name="_Toc33704842"/>
    </w:p>
    <w:p w14:paraId="2A2891DB" w14:textId="77777777" w:rsidR="00733207" w:rsidRDefault="00912BAE" w:rsidP="004A66A2">
      <w:pPr>
        <w:pStyle w:val="Titre5"/>
        <w:spacing w:before="240" w:after="240" w:line="360" w:lineRule="auto"/>
        <w:jc w:val="center"/>
        <w:rPr>
          <w:rFonts w:ascii="Rockwell" w:hAnsi="Rockwell"/>
          <w:i w:val="0"/>
          <w:color w:val="auto"/>
          <w:sz w:val="26"/>
          <w:szCs w:val="26"/>
        </w:rPr>
      </w:pPr>
      <w:bookmarkStart w:id="210" w:name="_Toc175128474"/>
      <w:bookmarkStart w:id="211" w:name="_Toc169855135"/>
      <w:r>
        <w:rPr>
          <w:rFonts w:ascii="Rockwell" w:hAnsi="Rockwell"/>
          <w:i w:val="0"/>
          <w:color w:val="auto"/>
          <w:sz w:val="26"/>
          <w:szCs w:val="26"/>
        </w:rPr>
        <w:t>3.2</w:t>
      </w:r>
      <w:r>
        <w:rPr>
          <w:rFonts w:ascii="Rockwell" w:hAnsi="Rockwell"/>
          <w:color w:val="auto"/>
          <w:sz w:val="26"/>
          <w:szCs w:val="26"/>
        </w:rPr>
        <w:t xml:space="preserve">. </w:t>
      </w:r>
      <w:r>
        <w:rPr>
          <w:rFonts w:ascii="Rockwell" w:hAnsi="Rockwell"/>
          <w:i w:val="0"/>
          <w:color w:val="auto"/>
          <w:sz w:val="26"/>
          <w:szCs w:val="26"/>
        </w:rPr>
        <w:t>Entreprises de publicité</w:t>
      </w:r>
      <w:bookmarkEnd w:id="207"/>
      <w:bookmarkEnd w:id="208"/>
      <w:bookmarkEnd w:id="209"/>
      <w:bookmarkEnd w:id="210"/>
      <w:bookmarkEnd w:id="211"/>
    </w:p>
    <w:p w14:paraId="71704AFC" w14:textId="77777777" w:rsidR="00733207" w:rsidRDefault="00733207">
      <w:pPr>
        <w:jc w:val="both"/>
        <w:rPr>
          <w:rFonts w:ascii="Rockwell" w:hAnsi="Rockwell"/>
          <w:sz w:val="10"/>
          <w:szCs w:val="10"/>
        </w:rPr>
      </w:pPr>
    </w:p>
    <w:p w14:paraId="7BF989DF" w14:textId="77777777" w:rsidR="00733207" w:rsidRDefault="00912BAE">
      <w:pPr>
        <w:spacing w:before="120" w:after="120" w:line="360" w:lineRule="auto"/>
        <w:jc w:val="both"/>
        <w:rPr>
          <w:rFonts w:ascii="Rockwell" w:hAnsi="Rockwell"/>
          <w:b/>
          <w:i/>
          <w:sz w:val="26"/>
          <w:szCs w:val="26"/>
        </w:rPr>
      </w:pPr>
      <w:r>
        <w:rPr>
          <w:rFonts w:ascii="Rockwell" w:hAnsi="Rockwell"/>
          <w:sz w:val="26"/>
          <w:szCs w:val="26"/>
        </w:rPr>
        <w:t>Après analyse des dossiers de déclaration d’entreprises de publicité reçus, à la date du 30 septembre 2023, cent-neuf (109) ont été jugés conformes à la réglementation</w:t>
      </w:r>
      <w:r>
        <w:rPr>
          <w:rStyle w:val="Appelnotedebasdep"/>
          <w:rFonts w:ascii="Rockwell" w:hAnsi="Rockwell"/>
          <w:sz w:val="26"/>
          <w:szCs w:val="26"/>
        </w:rPr>
        <w:footnoteReference w:id="5"/>
      </w:r>
      <w:r>
        <w:rPr>
          <w:rFonts w:ascii="Rockwell" w:hAnsi="Rockwell"/>
          <w:sz w:val="26"/>
          <w:szCs w:val="26"/>
        </w:rPr>
        <w:t>. Le CSC a délivré des récépissés à ces entreprises pour leur permettre d’exercer légalement leurs activités. Cf. arrêté</w:t>
      </w:r>
      <w:r>
        <w:rPr>
          <w:rFonts w:ascii="Rockwell" w:hAnsi="Rockwell"/>
          <w:b/>
          <w:i/>
          <w:sz w:val="26"/>
          <w:szCs w:val="26"/>
        </w:rPr>
        <w:t xml:space="preserve"> (Annexe 1)</w:t>
      </w:r>
    </w:p>
    <w:p w14:paraId="001BF69D" w14:textId="77777777" w:rsidR="00733207" w:rsidRDefault="00733207">
      <w:pPr>
        <w:spacing w:before="120" w:after="120" w:line="360" w:lineRule="auto"/>
        <w:jc w:val="both"/>
        <w:rPr>
          <w:rFonts w:ascii="Rockwell" w:hAnsi="Rockwell"/>
          <w:b/>
          <w:i/>
          <w:sz w:val="26"/>
          <w:szCs w:val="26"/>
        </w:rPr>
        <w:sectPr w:rsidR="00733207" w:rsidSect="00912BAE">
          <w:pgSz w:w="11906" w:h="16838"/>
          <w:pgMar w:top="993" w:right="1133" w:bottom="1418" w:left="1418" w:header="737" w:footer="737" w:gutter="0"/>
          <w:cols w:space="708"/>
          <w:docGrid w:linePitch="360"/>
        </w:sectPr>
      </w:pPr>
    </w:p>
    <w:p w14:paraId="2827713F" w14:textId="77777777" w:rsidR="00733207" w:rsidRDefault="00912BAE">
      <w:pPr>
        <w:pStyle w:val="Titre3"/>
        <w:spacing w:before="240" w:after="240"/>
        <w:jc w:val="center"/>
        <w:rPr>
          <w:rFonts w:ascii="Rockwell" w:hAnsi="Rockwell"/>
          <w:i/>
          <w:color w:val="auto"/>
          <w:sz w:val="28"/>
          <w:szCs w:val="28"/>
        </w:rPr>
      </w:pPr>
      <w:bookmarkStart w:id="212" w:name="_Toc175128475"/>
      <w:bookmarkStart w:id="213" w:name="_Toc170209336"/>
      <w:bookmarkStart w:id="214" w:name="_Toc169854375"/>
      <w:bookmarkStart w:id="215" w:name="_Toc169855136"/>
      <w:r>
        <w:rPr>
          <w:rFonts w:ascii="Rockwell" w:hAnsi="Rockwell"/>
          <w:i/>
          <w:color w:val="auto"/>
          <w:sz w:val="28"/>
          <w:szCs w:val="28"/>
        </w:rPr>
        <w:lastRenderedPageBreak/>
        <w:t>SECTION 2 : SUIVI DU FONCTIONNEMENT DES MEDIAS</w:t>
      </w:r>
      <w:bookmarkEnd w:id="212"/>
      <w:bookmarkEnd w:id="213"/>
      <w:bookmarkEnd w:id="214"/>
      <w:bookmarkEnd w:id="215"/>
    </w:p>
    <w:p w14:paraId="0C3036B0" w14:textId="77777777" w:rsidR="00733207" w:rsidRDefault="00733207">
      <w:pPr>
        <w:spacing w:before="240" w:after="240" w:line="360" w:lineRule="auto"/>
        <w:jc w:val="both"/>
        <w:rPr>
          <w:rFonts w:ascii="Rockwell" w:hAnsi="Rockwell"/>
          <w:sz w:val="26"/>
          <w:szCs w:val="26"/>
        </w:rPr>
      </w:pPr>
    </w:p>
    <w:p w14:paraId="30AEA547" w14:textId="77777777" w:rsidR="00733207" w:rsidRDefault="00912BAE">
      <w:pPr>
        <w:pStyle w:val="Titre4"/>
        <w:spacing w:before="240" w:after="240" w:line="360" w:lineRule="auto"/>
        <w:jc w:val="center"/>
        <w:rPr>
          <w:rStyle w:val="Titre4Car"/>
          <w:rFonts w:ascii="Rockwell" w:hAnsi="Rockwell"/>
          <w:b/>
          <w:i/>
          <w:color w:val="auto"/>
          <w:sz w:val="28"/>
          <w:szCs w:val="28"/>
        </w:rPr>
      </w:pPr>
      <w:bookmarkStart w:id="216" w:name="_Toc175128476"/>
      <w:bookmarkStart w:id="217" w:name="_Toc169855137"/>
      <w:r>
        <w:rPr>
          <w:rFonts w:ascii="Rockwell" w:hAnsi="Rockwell"/>
          <w:b/>
          <w:i w:val="0"/>
          <w:color w:val="auto"/>
          <w:sz w:val="28"/>
          <w:szCs w:val="28"/>
        </w:rPr>
        <w:t>Paragraphe 1 : Elaboration des cahiers de charges de</w:t>
      </w:r>
      <w:r>
        <w:rPr>
          <w:rStyle w:val="Titre4Car"/>
          <w:rFonts w:ascii="Rockwell" w:hAnsi="Rockwell"/>
          <w:b/>
          <w:i/>
          <w:color w:val="auto"/>
          <w:sz w:val="28"/>
          <w:szCs w:val="28"/>
        </w:rPr>
        <w:t xml:space="preserve"> la RTB</w:t>
      </w:r>
      <w:bookmarkEnd w:id="216"/>
      <w:bookmarkEnd w:id="217"/>
    </w:p>
    <w:p w14:paraId="37075622" w14:textId="77777777" w:rsidR="00733207" w:rsidRDefault="00733207">
      <w:pPr>
        <w:spacing w:before="120" w:after="120" w:line="360" w:lineRule="auto"/>
        <w:jc w:val="both"/>
        <w:rPr>
          <w:rFonts w:ascii="Rockwell" w:hAnsi="Rockwell"/>
          <w:sz w:val="10"/>
          <w:szCs w:val="10"/>
        </w:rPr>
      </w:pPr>
    </w:p>
    <w:p w14:paraId="2F8018D0" w14:textId="23FF2D98" w:rsidR="00733207" w:rsidRDefault="00912BAE">
      <w:pPr>
        <w:spacing w:before="120" w:after="120" w:line="360" w:lineRule="auto"/>
        <w:jc w:val="both"/>
        <w:rPr>
          <w:rFonts w:ascii="Rockwell" w:hAnsi="Rockwell"/>
          <w:sz w:val="26"/>
          <w:szCs w:val="26"/>
        </w:rPr>
      </w:pPr>
      <w:r>
        <w:rPr>
          <w:rFonts w:ascii="Rockwell" w:hAnsi="Rockwell"/>
          <w:sz w:val="26"/>
          <w:szCs w:val="26"/>
        </w:rPr>
        <w:t>Suite à la rencontre d’échanges du 09 février 2023 entre le Conseil supérieur de la communication et la direction générale de la Radiodiffusion-Télévision du Burkina (RTB), il a été évoqué la nécessité d’élaborer de nouveaux cahiers de charges de la RTB. A cet effet, un groupe de travail constitué de cadres des deux structures a été mis en place. A l’issue des travaux, un arrêté y relatif a été signé par le Président du CSC.</w:t>
      </w:r>
    </w:p>
    <w:p w14:paraId="6044C1D2" w14:textId="77777777" w:rsidR="00733207" w:rsidRDefault="00733207">
      <w:pPr>
        <w:spacing w:before="120" w:after="120" w:line="360" w:lineRule="auto"/>
        <w:jc w:val="both"/>
        <w:rPr>
          <w:rFonts w:ascii="Rockwell" w:hAnsi="Rockwell"/>
          <w:sz w:val="26"/>
          <w:szCs w:val="26"/>
        </w:rPr>
      </w:pPr>
    </w:p>
    <w:p w14:paraId="48CC8276" w14:textId="77777777" w:rsidR="00733207" w:rsidRDefault="00912BAE">
      <w:pPr>
        <w:pStyle w:val="Titre4"/>
        <w:spacing w:before="240" w:after="240" w:line="360" w:lineRule="auto"/>
        <w:jc w:val="center"/>
        <w:rPr>
          <w:rFonts w:ascii="Rockwell" w:hAnsi="Rockwell"/>
          <w:b/>
          <w:i w:val="0"/>
          <w:color w:val="auto"/>
          <w:sz w:val="28"/>
          <w:szCs w:val="28"/>
        </w:rPr>
      </w:pPr>
      <w:bookmarkStart w:id="218" w:name="_Toc175128477"/>
      <w:bookmarkStart w:id="219" w:name="_Toc169855138"/>
      <w:r>
        <w:rPr>
          <w:rFonts w:ascii="Rockwell" w:hAnsi="Rockwell"/>
          <w:b/>
          <w:i w:val="0"/>
          <w:color w:val="auto"/>
          <w:sz w:val="28"/>
          <w:szCs w:val="28"/>
        </w:rPr>
        <w:t>Paragraphe 2 : Répartition de la subvention de l’Etat à la presse privée</w:t>
      </w:r>
      <w:bookmarkEnd w:id="218"/>
      <w:bookmarkEnd w:id="219"/>
    </w:p>
    <w:p w14:paraId="68B5B54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En application de l’arrêté conjoint n°2021-003/MCRP/MINEFID du 27 mai 2020 portant gestion, administration, répartition et justification de la subvention annuelle de l’État à la presse privée, le CSC a participé, les 11 et 25 mai 2023, aux travaux du comité.</w:t>
      </w:r>
    </w:p>
    <w:p w14:paraId="1DF8E29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Cent vingt-trois (123) dossiers d’entreprises de presse privées et deux (02) programmes d’activités budgétisées de l’Observatoire Burkinabè des Médias (OBM) et de l’Association des Editeurs et Publicateurs des Journaux en Langues Nationales (AEPJLN) ont été reçus. En définitive, cent (100) dossiers d’entreprises de presse ont été retenus.</w:t>
      </w:r>
    </w:p>
    <w:p w14:paraId="0AF65202" w14:textId="77777777" w:rsidR="00733207" w:rsidRDefault="00733207">
      <w:pPr>
        <w:spacing w:before="120" w:after="120" w:line="360" w:lineRule="auto"/>
        <w:jc w:val="both"/>
        <w:rPr>
          <w:rFonts w:ascii="Rockwell" w:hAnsi="Rockwell"/>
          <w:sz w:val="26"/>
          <w:szCs w:val="26"/>
        </w:rPr>
        <w:sectPr w:rsidR="00733207">
          <w:pgSz w:w="11906" w:h="16838"/>
          <w:pgMar w:top="993" w:right="1133" w:bottom="1418" w:left="1418" w:header="709" w:footer="23" w:gutter="0"/>
          <w:cols w:space="708"/>
          <w:docGrid w:linePitch="360"/>
        </w:sectPr>
      </w:pPr>
    </w:p>
    <w:p w14:paraId="0AAA5CD8" w14:textId="77777777" w:rsidR="00733207" w:rsidRDefault="00912BAE">
      <w:pPr>
        <w:pStyle w:val="Titre4"/>
        <w:spacing w:before="240" w:after="240" w:line="360" w:lineRule="auto"/>
        <w:jc w:val="center"/>
        <w:rPr>
          <w:rFonts w:ascii="Rockwell" w:hAnsi="Rockwell"/>
          <w:b/>
          <w:i w:val="0"/>
          <w:color w:val="auto"/>
          <w:sz w:val="28"/>
          <w:szCs w:val="28"/>
        </w:rPr>
      </w:pPr>
      <w:bookmarkStart w:id="220" w:name="_Toc169855139"/>
      <w:bookmarkStart w:id="221" w:name="_Toc175128478"/>
      <w:r>
        <w:rPr>
          <w:rFonts w:ascii="Rockwell" w:hAnsi="Rockwell"/>
          <w:b/>
          <w:i w:val="0"/>
          <w:color w:val="auto"/>
          <w:sz w:val="28"/>
          <w:szCs w:val="28"/>
        </w:rPr>
        <w:lastRenderedPageBreak/>
        <w:t>Paragraphe 3 : Analyse des bilans moraux et financiers des médias audiovisuels privés</w:t>
      </w:r>
      <w:bookmarkEnd w:id="220"/>
      <w:bookmarkEnd w:id="221"/>
    </w:p>
    <w:p w14:paraId="44B8807E" w14:textId="77777777" w:rsidR="00733207" w:rsidRDefault="00733207">
      <w:pPr>
        <w:spacing w:before="120" w:after="120" w:line="360" w:lineRule="auto"/>
        <w:jc w:val="both"/>
        <w:rPr>
          <w:rFonts w:ascii="Rockwell" w:hAnsi="Rockwell"/>
          <w:sz w:val="10"/>
          <w:szCs w:val="10"/>
        </w:rPr>
      </w:pPr>
    </w:p>
    <w:p w14:paraId="75263A30"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 xml:space="preserve">Les médias audiovisuels privés justifiant d’une année de fonctionnement sont tenus par l’obligation conventionnelle de déposer leurs rapports d’activités de l’année N-1 auprès de l’Instance nationale en charge de la régulation au plus tard le 30 juin de l’année en cours. L’objectif était de permettre une analyse économique et juridique de leurs bilans moraux et financiers, en vue d’un meilleur suivi de leur fonctionnement. </w:t>
      </w:r>
    </w:p>
    <w:p w14:paraId="56932A2A"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Toutefois, les médias publics, c’est-à-dire ceux appartenant à l’Etat ou à ses démembrements ne sont pas soumis à cette obligation.</w:t>
      </w:r>
    </w:p>
    <w:p w14:paraId="66C5684B"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Ainsi, au titre de l’année 2023, soixante-quinze (75) médias dont trois (03) télévisions et soixante-douze (72) radios ont transmis copie de leurs rapports d’activités au CSC. Soit un taux de 51% et une baisse de 5% comparativement à l’année précédente qui pourrait s’expliquer en partie par le contexte sécuritaire particulier dans certaines localités du pays.</w:t>
      </w:r>
    </w:p>
    <w:p w14:paraId="3E3EF9AF"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De l’analyse des différents rapports d’activités, il ressort que sur les soixante-quinze (75) médias, quatre (04) radios n’ont pas transmis de bilan financier. Par ailleurs, quarante-sept (47) radios et deux (02) télévisions ont présenté un bilan financier avec un solde positif tandis que vingt-et-une (21) radios et une (01) télévision ont présenté un bilan financier avec un solde déficitaire.</w:t>
      </w:r>
    </w:p>
    <w:p w14:paraId="10FD92C2" w14:textId="77777777" w:rsidR="00733207" w:rsidRDefault="00733207">
      <w:pPr>
        <w:spacing w:before="120" w:after="120" w:line="360" w:lineRule="auto"/>
        <w:ind w:left="-284"/>
        <w:jc w:val="both"/>
        <w:rPr>
          <w:rFonts w:ascii="Rockwell" w:hAnsi="Rockwell"/>
          <w:sz w:val="26"/>
          <w:szCs w:val="26"/>
        </w:rPr>
      </w:pPr>
    </w:p>
    <w:p w14:paraId="6AF3CA55" w14:textId="77777777" w:rsidR="00733207" w:rsidRDefault="00912BAE">
      <w:pPr>
        <w:pStyle w:val="Titre4"/>
        <w:spacing w:before="240" w:after="240" w:line="360" w:lineRule="auto"/>
        <w:jc w:val="center"/>
        <w:rPr>
          <w:rFonts w:ascii="Rockwell" w:hAnsi="Rockwell"/>
          <w:b/>
          <w:i w:val="0"/>
          <w:color w:val="auto"/>
          <w:sz w:val="28"/>
          <w:szCs w:val="28"/>
        </w:rPr>
      </w:pPr>
      <w:bookmarkStart w:id="222" w:name="_Toc169855140"/>
      <w:bookmarkStart w:id="223" w:name="_Toc175128479"/>
      <w:r>
        <w:rPr>
          <w:rFonts w:ascii="Rockwell" w:hAnsi="Rockwell"/>
          <w:b/>
          <w:i w:val="0"/>
          <w:color w:val="auto"/>
          <w:sz w:val="28"/>
          <w:szCs w:val="28"/>
        </w:rPr>
        <w:t>Paragraphe 4 : Analyse et délivrance des attestations de parution ou de diffusion régulière</w:t>
      </w:r>
      <w:bookmarkEnd w:id="222"/>
      <w:bookmarkEnd w:id="223"/>
    </w:p>
    <w:p w14:paraId="25A5FF04" w14:textId="77777777" w:rsidR="00733207" w:rsidRDefault="00733207">
      <w:pPr>
        <w:pStyle w:val="Titre4"/>
        <w:spacing w:before="120" w:after="120" w:line="360" w:lineRule="auto"/>
        <w:jc w:val="both"/>
        <w:rPr>
          <w:rFonts w:ascii="Rockwell" w:hAnsi="Rockwell"/>
          <w:i w:val="0"/>
          <w:color w:val="auto"/>
          <w:sz w:val="10"/>
          <w:szCs w:val="10"/>
        </w:rPr>
      </w:pPr>
    </w:p>
    <w:p w14:paraId="6C34F1BA" w14:textId="77777777" w:rsidR="00733207" w:rsidRDefault="00912BAE">
      <w:pPr>
        <w:tabs>
          <w:tab w:val="left" w:pos="5103"/>
          <w:tab w:val="left" w:pos="5245"/>
        </w:tabs>
        <w:spacing w:before="120" w:after="120" w:line="360" w:lineRule="auto"/>
        <w:ind w:left="-284"/>
        <w:jc w:val="both"/>
        <w:textAlignment w:val="baseline"/>
        <w:rPr>
          <w:rFonts w:ascii="Rockwell" w:hAnsi="Rockwell"/>
          <w:sz w:val="26"/>
          <w:szCs w:val="26"/>
        </w:rPr>
      </w:pPr>
      <w:r>
        <w:rPr>
          <w:rFonts w:ascii="Rockwell" w:hAnsi="Rockwell"/>
          <w:sz w:val="26"/>
          <w:szCs w:val="26"/>
        </w:rPr>
        <w:t xml:space="preserve">A la suite de l’ouverture du communiqué des dépôts de candidature pour la subvention de l’Etat à la presse privée par le </w:t>
      </w:r>
      <w:r>
        <w:rPr>
          <w:rFonts w:ascii="Rockwell" w:hAnsi="Rockwell"/>
          <w:color w:val="000000" w:themeColor="text1"/>
          <w:sz w:val="26"/>
          <w:szCs w:val="26"/>
        </w:rPr>
        <w:t xml:space="preserve">Fonds d’Appui à la Presse Privée (FAPP), </w:t>
      </w:r>
      <w:r>
        <w:rPr>
          <w:rFonts w:ascii="Rockwell" w:hAnsi="Rockwell"/>
          <w:sz w:val="26"/>
          <w:szCs w:val="26"/>
        </w:rPr>
        <w:t xml:space="preserve">le CSC a enregistré plusieurs demandes d’attestations de parution ou de diffusion régulière de la part des médias toutes typologies confondues. </w:t>
      </w:r>
      <w:r>
        <w:rPr>
          <w:rFonts w:ascii="Rockwell" w:hAnsi="Rockwell"/>
          <w:sz w:val="26"/>
          <w:szCs w:val="26"/>
        </w:rPr>
        <w:lastRenderedPageBreak/>
        <w:t>Conformément à l’arrêté N</w:t>
      </w:r>
      <w:r>
        <w:rPr>
          <w:rFonts w:ascii="Rockwell" w:hAnsi="Rockwell"/>
          <w:sz w:val="26"/>
          <w:szCs w:val="26"/>
          <w:vertAlign w:val="superscript"/>
        </w:rPr>
        <w:t>o</w:t>
      </w:r>
      <w:r>
        <w:rPr>
          <w:rFonts w:ascii="Rockwell" w:hAnsi="Rockwell"/>
          <w:sz w:val="26"/>
          <w:szCs w:val="26"/>
        </w:rPr>
        <w:t>2021-047/CSC portant définition des critères de délivrance de l’attestation de parution ou de diffusion régulière des organes de presse écrite, en ligne et des médias audiovisuels, il a délivré cent onze (111) attestations de parution ou de diffusion régulière dont soixante-huit (68) à des radios, six (06) à des télévisions, trente-six (36) à des entreprises de presse en ligne et une (01) attestation à un organe de presse écrite.</w:t>
      </w:r>
    </w:p>
    <w:p w14:paraId="462A4C07" w14:textId="77777777" w:rsidR="00733207" w:rsidRDefault="00733207">
      <w:pPr>
        <w:tabs>
          <w:tab w:val="left" w:pos="5103"/>
          <w:tab w:val="left" w:pos="5245"/>
        </w:tabs>
        <w:spacing w:before="120" w:after="120" w:line="360" w:lineRule="auto"/>
        <w:ind w:left="-284"/>
        <w:jc w:val="both"/>
        <w:textAlignment w:val="baseline"/>
        <w:rPr>
          <w:rFonts w:ascii="Rockwell" w:hAnsi="Rockwell"/>
          <w:sz w:val="26"/>
          <w:szCs w:val="26"/>
        </w:rPr>
      </w:pPr>
    </w:p>
    <w:p w14:paraId="5FB39244" w14:textId="77777777" w:rsidR="00733207" w:rsidRDefault="00912BAE">
      <w:pPr>
        <w:pStyle w:val="Titre4"/>
        <w:spacing w:before="240" w:after="240" w:line="360" w:lineRule="auto"/>
        <w:jc w:val="center"/>
        <w:rPr>
          <w:rFonts w:ascii="Rockwell" w:hAnsi="Rockwell"/>
          <w:b/>
          <w:i w:val="0"/>
          <w:color w:val="000000" w:themeColor="text1"/>
          <w:sz w:val="28"/>
          <w:szCs w:val="28"/>
        </w:rPr>
      </w:pPr>
      <w:bookmarkStart w:id="224" w:name="_Toc169855141"/>
      <w:bookmarkStart w:id="225" w:name="_Toc175128480"/>
      <w:r>
        <w:rPr>
          <w:rFonts w:ascii="Rockwell" w:eastAsia="Calibri" w:hAnsi="Rockwell"/>
          <w:b/>
          <w:i w:val="0"/>
          <w:color w:val="000000" w:themeColor="text1"/>
          <w:sz w:val="28"/>
          <w:szCs w:val="28"/>
        </w:rPr>
        <w:t>Paragraphe 5 : A</w:t>
      </w:r>
      <w:r>
        <w:rPr>
          <w:rFonts w:ascii="Rockwell" w:hAnsi="Rockwell"/>
          <w:b/>
          <w:i w:val="0"/>
          <w:color w:val="000000" w:themeColor="text1"/>
          <w:sz w:val="28"/>
          <w:szCs w:val="28"/>
        </w:rPr>
        <w:t>ppel du CSC à plus de tolérance, de responsabilité sociale et de protection des acteurs des médias</w:t>
      </w:r>
      <w:bookmarkEnd w:id="224"/>
      <w:bookmarkEnd w:id="225"/>
    </w:p>
    <w:p w14:paraId="06FF1FDC" w14:textId="77777777" w:rsidR="00733207" w:rsidRDefault="00733207">
      <w:pPr>
        <w:pStyle w:val="Titre4"/>
        <w:spacing w:before="120" w:after="120" w:line="360" w:lineRule="auto"/>
        <w:jc w:val="both"/>
        <w:rPr>
          <w:rFonts w:ascii="Rockwell" w:hAnsi="Rockwell"/>
          <w:i w:val="0"/>
          <w:sz w:val="10"/>
          <w:szCs w:val="10"/>
        </w:rPr>
      </w:pPr>
    </w:p>
    <w:p w14:paraId="0475F6A5" w14:textId="77777777" w:rsidR="00733207" w:rsidRDefault="00912BAE">
      <w:pPr>
        <w:spacing w:before="120" w:after="120" w:line="360" w:lineRule="auto"/>
        <w:ind w:left="-284"/>
        <w:jc w:val="both"/>
        <w:rPr>
          <w:rFonts w:ascii="Rockwell" w:hAnsi="Rockwell" w:cs="Times New Roman"/>
          <w:sz w:val="26"/>
          <w:szCs w:val="26"/>
        </w:rPr>
      </w:pPr>
      <w:r>
        <w:rPr>
          <w:rFonts w:ascii="Rockwell" w:hAnsi="Rockwell" w:cs="Times New Roman"/>
          <w:sz w:val="26"/>
          <w:szCs w:val="26"/>
        </w:rPr>
        <w:t xml:space="preserve">Le CSC, ayant constaté la récurrence des menaces proférées à l’endroit d’organes de presse et d’acteurs des médias dans l’exercice de leur profession, a appelé les citoyens et citoyennes à la tolérance, à la pondération et à la retenue. Il a exhorté les autorités administratives étatiques à prendre les mesures idoines pour assurer la sécurité des médias et des journalistes dans l’exercice de leur profession. </w:t>
      </w:r>
    </w:p>
    <w:p w14:paraId="3C83C280" w14:textId="77777777" w:rsidR="00733207" w:rsidRDefault="00912BAE">
      <w:pPr>
        <w:spacing w:before="120" w:after="120" w:line="360" w:lineRule="auto"/>
        <w:ind w:left="-284"/>
        <w:jc w:val="both"/>
        <w:rPr>
          <w:rFonts w:ascii="Rockwell" w:hAnsi="Rockwell" w:cs="Times New Roman"/>
          <w:sz w:val="26"/>
          <w:szCs w:val="26"/>
        </w:rPr>
      </w:pPr>
      <w:r>
        <w:rPr>
          <w:rFonts w:ascii="Rockwell" w:hAnsi="Rockwell" w:cs="Times New Roman"/>
          <w:sz w:val="26"/>
          <w:szCs w:val="26"/>
        </w:rPr>
        <w:t xml:space="preserve">L’instance de régulation a également, encouragé les professionnels de l’information et de la communication à mettre leur responsabilité sociale au cœur de leurs pratiques dans ce contexte national marqué par des crises. Il les a invités, au regard de l’extrême fragilité de notre pays, à plus de prudence et à persévérer dans leurs actions de sensibilisation en faveur de la solidarité, de la cohésion sociale et de la paix. </w:t>
      </w:r>
    </w:p>
    <w:p w14:paraId="09A813C8" w14:textId="77777777" w:rsidR="00733207" w:rsidRDefault="00733207">
      <w:pPr>
        <w:spacing w:before="120" w:after="120" w:line="360" w:lineRule="auto"/>
        <w:ind w:left="-284"/>
        <w:jc w:val="both"/>
        <w:rPr>
          <w:rFonts w:ascii="Rockwell" w:hAnsi="Rockwell" w:cs="Times New Roman"/>
          <w:sz w:val="26"/>
          <w:szCs w:val="26"/>
        </w:rPr>
        <w:sectPr w:rsidR="00733207">
          <w:pgSz w:w="11906" w:h="16838"/>
          <w:pgMar w:top="993" w:right="1133" w:bottom="1418" w:left="1418" w:header="709" w:footer="23" w:gutter="0"/>
          <w:cols w:space="708"/>
          <w:docGrid w:linePitch="360"/>
        </w:sectPr>
      </w:pPr>
    </w:p>
    <w:p w14:paraId="3F9709E6" w14:textId="77777777" w:rsidR="00733207" w:rsidRPr="00A43A5A" w:rsidRDefault="00912BAE">
      <w:pPr>
        <w:pStyle w:val="Titre3"/>
        <w:jc w:val="center"/>
        <w:rPr>
          <w:rFonts w:ascii="Rockwell" w:hAnsi="Rockwell"/>
          <w:b/>
          <w:i/>
          <w:color w:val="auto"/>
          <w:sz w:val="28"/>
          <w:szCs w:val="28"/>
        </w:rPr>
      </w:pPr>
      <w:bookmarkStart w:id="226" w:name="_Toc170209337"/>
      <w:bookmarkStart w:id="227" w:name="_Toc175128481"/>
      <w:r w:rsidRPr="00A43A5A">
        <w:rPr>
          <w:rFonts w:ascii="Rockwell" w:hAnsi="Rockwell"/>
          <w:b/>
          <w:i/>
          <w:color w:val="auto"/>
          <w:sz w:val="28"/>
          <w:szCs w:val="28"/>
        </w:rPr>
        <w:lastRenderedPageBreak/>
        <w:t>SECTION 3 : SUIVI ET GESTION DU CONTENTIEUX</w:t>
      </w:r>
      <w:bookmarkEnd w:id="226"/>
      <w:bookmarkEnd w:id="227"/>
    </w:p>
    <w:p w14:paraId="20638490" w14:textId="77777777" w:rsidR="00733207" w:rsidRDefault="00733207">
      <w:pPr>
        <w:jc w:val="center"/>
        <w:rPr>
          <w:rFonts w:ascii="Rockwell" w:hAnsi="Rockwell"/>
        </w:rPr>
      </w:pPr>
    </w:p>
    <w:p w14:paraId="24E15125"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Au cours de l’année 2023, les dossiers contentieux pendants et nouveaux impliquant le CSC se présentent de la façon suivante :</w:t>
      </w:r>
    </w:p>
    <w:p w14:paraId="72F2C132" w14:textId="77777777" w:rsidR="00733207" w:rsidRDefault="00912BAE">
      <w:pPr>
        <w:numPr>
          <w:ilvl w:val="0"/>
          <w:numId w:val="15"/>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l’affaire</w:t>
      </w:r>
      <w:proofErr w:type="gramEnd"/>
      <w:r>
        <w:rPr>
          <w:rFonts w:ascii="Rockwell" w:hAnsi="Rockwell"/>
          <w:sz w:val="26"/>
          <w:szCs w:val="26"/>
        </w:rPr>
        <w:t xml:space="preserve"> Nathalie Edwige SOME/HIEN contre le CSC devant le Tribunal Administratif de Ouagadougou  puis devant la Cour Administrative d’appel ;</w:t>
      </w:r>
    </w:p>
    <w:p w14:paraId="65EA8350" w14:textId="77777777" w:rsidR="00733207" w:rsidRDefault="00912BAE">
      <w:pPr>
        <w:numPr>
          <w:ilvl w:val="0"/>
          <w:numId w:val="15"/>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l’affaire</w:t>
      </w:r>
      <w:proofErr w:type="gramEnd"/>
      <w:r>
        <w:rPr>
          <w:rFonts w:ascii="Rockwell" w:hAnsi="Rockwell"/>
          <w:sz w:val="26"/>
          <w:szCs w:val="26"/>
        </w:rPr>
        <w:t xml:space="preserve"> Bank of </w:t>
      </w:r>
      <w:proofErr w:type="spellStart"/>
      <w:r>
        <w:rPr>
          <w:rFonts w:ascii="Rockwell" w:hAnsi="Rockwell"/>
          <w:sz w:val="26"/>
          <w:szCs w:val="26"/>
        </w:rPr>
        <w:t>Africa</w:t>
      </w:r>
      <w:proofErr w:type="spellEnd"/>
      <w:r>
        <w:rPr>
          <w:rFonts w:ascii="Rockwell" w:hAnsi="Rockwell"/>
          <w:sz w:val="26"/>
          <w:szCs w:val="26"/>
        </w:rPr>
        <w:t xml:space="preserve"> et ADF Charles KABORE contre CSC ;</w:t>
      </w:r>
    </w:p>
    <w:p w14:paraId="70BC807B" w14:textId="77777777" w:rsidR="00733207" w:rsidRDefault="00912BAE">
      <w:pPr>
        <w:numPr>
          <w:ilvl w:val="0"/>
          <w:numId w:val="15"/>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l’affaire</w:t>
      </w:r>
      <w:proofErr w:type="gramEnd"/>
      <w:r>
        <w:rPr>
          <w:rFonts w:ascii="Rockwell" w:hAnsi="Rockwell"/>
          <w:sz w:val="26"/>
          <w:szCs w:val="26"/>
        </w:rPr>
        <w:t xml:space="preserve"> du Ministère Public contre le sieur Issa Mermoz</w:t>
      </w:r>
      <w:r>
        <w:rPr>
          <w:rFonts w:ascii="Rockwell" w:hAnsi="Rockwell"/>
          <w:color w:val="000000"/>
          <w:sz w:val="26"/>
          <w:szCs w:val="26"/>
        </w:rPr>
        <w:t xml:space="preserve"> SANFO</w:t>
      </w:r>
      <w:r>
        <w:rPr>
          <w:rFonts w:ascii="Rockwell" w:hAnsi="Rockwell"/>
          <w:sz w:val="26"/>
          <w:szCs w:val="26"/>
        </w:rPr>
        <w:t xml:space="preserve"> ;</w:t>
      </w:r>
    </w:p>
    <w:p w14:paraId="0A99E885" w14:textId="77777777" w:rsidR="00733207" w:rsidRDefault="00912BAE">
      <w:pPr>
        <w:numPr>
          <w:ilvl w:val="0"/>
          <w:numId w:val="15"/>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l’affaire</w:t>
      </w:r>
      <w:proofErr w:type="gramEnd"/>
      <w:r>
        <w:rPr>
          <w:rFonts w:ascii="Rockwell" w:hAnsi="Rockwell"/>
          <w:sz w:val="26"/>
          <w:szCs w:val="26"/>
        </w:rPr>
        <w:t xml:space="preserve"> El Hadj Adama TRAORE et Ousmane OUEDRAOGO contre l’association du Succès Islamique pour l’Appel (ASIA) et le CSC.</w:t>
      </w:r>
    </w:p>
    <w:p w14:paraId="4D79F747" w14:textId="77777777" w:rsidR="00733207" w:rsidRDefault="00733207">
      <w:pPr>
        <w:tabs>
          <w:tab w:val="left" w:pos="1033"/>
        </w:tabs>
        <w:suppressAutoHyphens/>
        <w:autoSpaceDN w:val="0"/>
        <w:spacing w:before="120" w:after="120" w:line="360" w:lineRule="auto"/>
        <w:ind w:left="1140"/>
        <w:jc w:val="both"/>
        <w:textAlignment w:val="baseline"/>
        <w:rPr>
          <w:rFonts w:ascii="Rockwell" w:hAnsi="Rockwell"/>
          <w:sz w:val="26"/>
          <w:szCs w:val="26"/>
        </w:rPr>
      </w:pPr>
    </w:p>
    <w:p w14:paraId="5B104B23" w14:textId="2369FE23" w:rsidR="00733207" w:rsidRDefault="00912BAE">
      <w:pPr>
        <w:pStyle w:val="Titre4"/>
        <w:spacing w:before="240" w:after="240"/>
        <w:jc w:val="center"/>
        <w:rPr>
          <w:rFonts w:ascii="Rockwell" w:hAnsi="Rockwell"/>
          <w:b/>
          <w:i w:val="0"/>
          <w:color w:val="auto"/>
          <w:sz w:val="28"/>
          <w:szCs w:val="28"/>
        </w:rPr>
      </w:pPr>
      <w:bookmarkStart w:id="228" w:name="_Toc175128482"/>
      <w:r>
        <w:rPr>
          <w:rFonts w:ascii="Rockwell" w:hAnsi="Rockwell"/>
          <w:b/>
          <w:i w:val="0"/>
          <w:color w:val="auto"/>
          <w:sz w:val="28"/>
          <w:szCs w:val="28"/>
        </w:rPr>
        <w:t xml:space="preserve">Paragraphe 1 : </w:t>
      </w:r>
      <w:r w:rsidR="00A43A5A">
        <w:rPr>
          <w:rFonts w:ascii="Rockwell" w:hAnsi="Rockwell"/>
          <w:b/>
          <w:i w:val="0"/>
          <w:color w:val="auto"/>
          <w:sz w:val="28"/>
          <w:szCs w:val="28"/>
        </w:rPr>
        <w:t xml:space="preserve">Affaire </w:t>
      </w:r>
      <w:r>
        <w:rPr>
          <w:rFonts w:ascii="Rockwell" w:hAnsi="Rockwell"/>
          <w:b/>
          <w:i w:val="0"/>
          <w:color w:val="auto"/>
          <w:sz w:val="28"/>
          <w:szCs w:val="28"/>
        </w:rPr>
        <w:t>SOME/HIEN Nathalie Edwige contre le CSC</w:t>
      </w:r>
      <w:bookmarkEnd w:id="228"/>
    </w:p>
    <w:p w14:paraId="1B1F7095" w14:textId="77777777" w:rsidR="00733207" w:rsidRDefault="00733207">
      <w:pPr>
        <w:jc w:val="both"/>
        <w:rPr>
          <w:rFonts w:ascii="Rockwell" w:hAnsi="Rockwell"/>
        </w:rPr>
      </w:pPr>
    </w:p>
    <w:p w14:paraId="202EC911"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En rappel, il s’agit d’une affaire dans laquelle Mme SOME, ancienne Présidente du CSC a exercé un recours en annulation de l’arrêté n° 2018-008/CSC/CAB du 26 mars 2018 portant suspension de ses fonctions de Président du CSC (requête en date du 25 mai 2018).</w:t>
      </w:r>
    </w:p>
    <w:p w14:paraId="3DE448D9"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Elle estime que ledit arrêté est illégal :</w:t>
      </w:r>
    </w:p>
    <w:p w14:paraId="79CB8518" w14:textId="77777777" w:rsidR="00733207" w:rsidRDefault="00912BAE">
      <w:pPr>
        <w:numPr>
          <w:ilvl w:val="0"/>
          <w:numId w:val="16"/>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d’une</w:t>
      </w:r>
      <w:proofErr w:type="gramEnd"/>
      <w:r>
        <w:rPr>
          <w:rFonts w:ascii="Rockwell" w:hAnsi="Rockwell"/>
          <w:sz w:val="26"/>
          <w:szCs w:val="26"/>
        </w:rPr>
        <w:t xml:space="preserve"> part en ce qu’il viole la loi organique n° 015-2013/AN du 14 mai 2013 portant attributions, composition, organisation et fonctionnement du CSC, notamment en son article 37 qui prescrit que les fautes des membres du CSC, pouvant donner lieu à révocation, soient constatées par le Conseil Constitutionnel avant toute sanction ; </w:t>
      </w:r>
    </w:p>
    <w:p w14:paraId="0FBDE8E0" w14:textId="77777777" w:rsidR="00733207" w:rsidRDefault="00912BAE">
      <w:pPr>
        <w:numPr>
          <w:ilvl w:val="0"/>
          <w:numId w:val="16"/>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et</w:t>
      </w:r>
      <w:proofErr w:type="gramEnd"/>
      <w:r>
        <w:rPr>
          <w:rFonts w:ascii="Rockwell" w:hAnsi="Rockwell"/>
          <w:sz w:val="26"/>
          <w:szCs w:val="26"/>
        </w:rPr>
        <w:t xml:space="preserve"> d’autre part en ce que le Vice-président, signataire de l’acte, n’avait pas compétence pour le prendre (article 28 loi organique).</w:t>
      </w:r>
    </w:p>
    <w:p w14:paraId="039B964C"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 xml:space="preserve">Il faut noter que ce dossier avait été confié au cabinet d’avocats </w:t>
      </w:r>
      <w:proofErr w:type="spellStart"/>
      <w:r>
        <w:rPr>
          <w:rFonts w:ascii="Rockwell" w:hAnsi="Rockwell"/>
          <w:i/>
          <w:sz w:val="26"/>
          <w:szCs w:val="26"/>
        </w:rPr>
        <w:t>Loyalty</w:t>
      </w:r>
      <w:proofErr w:type="spellEnd"/>
      <w:r>
        <w:rPr>
          <w:rFonts w:ascii="Rockwell" w:hAnsi="Rockwell"/>
          <w:sz w:val="26"/>
          <w:szCs w:val="26"/>
        </w:rPr>
        <w:t xml:space="preserve"> par le Vice-président assurant l’intérim de la présidence du CSC au moment des faits. </w:t>
      </w:r>
    </w:p>
    <w:p w14:paraId="02E18893"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lastRenderedPageBreak/>
        <w:t>L’audience initialement programmée le 20 décembre 2022 a finalement eu lieu le 24 janvier 2023 sur demande du conseil de la requérante.</w:t>
      </w:r>
    </w:p>
    <w:p w14:paraId="21413443"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Par jugement n° 094/2023 en date du 23 février 2023, le Tribunal a rendu sa décision en disant qu’il n’y avait pas lieu de statuer sur la requête et a déclaré l’instance éteinte. Les dépens ont été mis à la charge de la requérante.</w:t>
      </w:r>
    </w:p>
    <w:p w14:paraId="5D7EC568"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Contre cette décision, Madame SOME a interjeté appel devant la Cour Administrative d’appel. Le CSC a demandé l’assistance de l’Agent judiciaire de l’Etat à qui le dossier a été transmis.</w:t>
      </w:r>
    </w:p>
    <w:p w14:paraId="63681A2B" w14:textId="77777777" w:rsidR="00733207" w:rsidRDefault="00733207">
      <w:pPr>
        <w:tabs>
          <w:tab w:val="left" w:pos="1033"/>
        </w:tabs>
        <w:spacing w:before="120" w:after="120" w:line="360" w:lineRule="auto"/>
        <w:jc w:val="both"/>
        <w:rPr>
          <w:rFonts w:ascii="Rockwell" w:hAnsi="Rockwell"/>
          <w:sz w:val="26"/>
          <w:szCs w:val="26"/>
        </w:rPr>
      </w:pPr>
    </w:p>
    <w:p w14:paraId="2BC0D956" w14:textId="682D69D1" w:rsidR="00733207" w:rsidRDefault="00912BAE">
      <w:pPr>
        <w:pStyle w:val="Titre4"/>
        <w:spacing w:before="240" w:after="240"/>
        <w:jc w:val="center"/>
        <w:rPr>
          <w:rFonts w:ascii="Rockwell" w:hAnsi="Rockwell"/>
          <w:b/>
          <w:i w:val="0"/>
          <w:color w:val="auto"/>
          <w:sz w:val="28"/>
          <w:szCs w:val="28"/>
        </w:rPr>
      </w:pPr>
      <w:bookmarkStart w:id="229" w:name="_Toc175128483"/>
      <w:r>
        <w:rPr>
          <w:rFonts w:ascii="Rockwell" w:hAnsi="Rockwell"/>
          <w:b/>
          <w:i w:val="0"/>
          <w:color w:val="auto"/>
          <w:sz w:val="28"/>
          <w:szCs w:val="28"/>
        </w:rPr>
        <w:t xml:space="preserve">Paragraphe 2 : </w:t>
      </w:r>
      <w:r w:rsidR="00556251">
        <w:rPr>
          <w:rFonts w:ascii="Rockwell" w:hAnsi="Rockwell"/>
          <w:b/>
          <w:i w:val="0"/>
          <w:color w:val="auto"/>
          <w:sz w:val="28"/>
          <w:szCs w:val="28"/>
        </w:rPr>
        <w:t xml:space="preserve">Affaire </w:t>
      </w:r>
      <w:r>
        <w:rPr>
          <w:rFonts w:ascii="Rockwell" w:hAnsi="Rockwell"/>
          <w:b/>
          <w:i w:val="0"/>
          <w:color w:val="auto"/>
          <w:sz w:val="28"/>
          <w:szCs w:val="28"/>
        </w:rPr>
        <w:t xml:space="preserve">Bank of </w:t>
      </w:r>
      <w:proofErr w:type="spellStart"/>
      <w:r>
        <w:rPr>
          <w:rFonts w:ascii="Rockwell" w:hAnsi="Rockwell"/>
          <w:b/>
          <w:i w:val="0"/>
          <w:color w:val="auto"/>
          <w:sz w:val="28"/>
          <w:szCs w:val="28"/>
        </w:rPr>
        <w:t>Africa</w:t>
      </w:r>
      <w:proofErr w:type="spellEnd"/>
      <w:r>
        <w:rPr>
          <w:rFonts w:ascii="Rockwell" w:hAnsi="Rockwell"/>
          <w:b/>
          <w:i w:val="0"/>
          <w:color w:val="auto"/>
          <w:sz w:val="28"/>
          <w:szCs w:val="28"/>
        </w:rPr>
        <w:t xml:space="preserve"> et ayants-droit de feu Charles KABORE contre CSC</w:t>
      </w:r>
      <w:bookmarkEnd w:id="229"/>
    </w:p>
    <w:p w14:paraId="205E796F" w14:textId="77777777" w:rsidR="00733207" w:rsidRDefault="00733207">
      <w:pPr>
        <w:jc w:val="both"/>
        <w:rPr>
          <w:rFonts w:ascii="Rockwell" w:hAnsi="Rockwell"/>
          <w:b/>
          <w:i/>
        </w:rPr>
      </w:pPr>
    </w:p>
    <w:p w14:paraId="63654BD9" w14:textId="0D2303C8"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 xml:space="preserve">Le suivi de ce dossier a porté sur les rencontres d’échanges initiées par le CSC, d’une part avec les conseils de la Bank of </w:t>
      </w:r>
      <w:proofErr w:type="spellStart"/>
      <w:r>
        <w:rPr>
          <w:rFonts w:ascii="Rockwell" w:hAnsi="Rockwell"/>
          <w:sz w:val="26"/>
          <w:szCs w:val="26"/>
        </w:rPr>
        <w:t>Africa</w:t>
      </w:r>
      <w:proofErr w:type="spellEnd"/>
      <w:r>
        <w:rPr>
          <w:rFonts w:ascii="Rockwell" w:hAnsi="Rockwell"/>
          <w:sz w:val="26"/>
          <w:szCs w:val="26"/>
        </w:rPr>
        <w:t xml:space="preserve"> (BOA), sur l’exécution des décisions de justice condamnant le CSC à verser à la Banque la somme de 81 123 434,34 FCFA à l’issue de la procédure de la saisie initiée par cette dernière et, d’autre part, avec le cabinet ARDI-architectes Conseils sur ses honoraires en souffrance à l’issue des travaux </w:t>
      </w:r>
      <w:r w:rsidR="00556251">
        <w:rPr>
          <w:rFonts w:ascii="Rockwell" w:hAnsi="Rockwell"/>
          <w:sz w:val="26"/>
          <w:szCs w:val="26"/>
        </w:rPr>
        <w:t>effectués à</w:t>
      </w:r>
      <w:r>
        <w:rPr>
          <w:rFonts w:ascii="Rockwell" w:hAnsi="Rockwell"/>
          <w:sz w:val="26"/>
          <w:szCs w:val="26"/>
        </w:rPr>
        <w:t xml:space="preserve"> la Délégation Régionale de l’Ouest (DRO).</w:t>
      </w:r>
    </w:p>
    <w:p w14:paraId="401BAA56"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Ces rencontres, tenues le 24 février 2023, avaient pour but de trouver des pistes de solution afin de vider ces dossiers.</w:t>
      </w:r>
    </w:p>
    <w:p w14:paraId="00626B4E"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Concernant le dossier BOA contre le CSC, il ressort globalement des échanges, les propositions suivantes :</w:t>
      </w:r>
    </w:p>
    <w:p w14:paraId="5ABB3C71" w14:textId="77777777" w:rsidR="00733207" w:rsidRDefault="00912BAE">
      <w:pPr>
        <w:numPr>
          <w:ilvl w:val="0"/>
          <w:numId w:val="17"/>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demander</w:t>
      </w:r>
      <w:proofErr w:type="gramEnd"/>
      <w:r>
        <w:rPr>
          <w:rFonts w:ascii="Rockwell" w:hAnsi="Rockwell"/>
          <w:sz w:val="26"/>
          <w:szCs w:val="26"/>
        </w:rPr>
        <w:t xml:space="preserve"> au Ministère en charge des finances l’aménagement de certaines lignes du budget avec la possibilité de différer des marchés ;</w:t>
      </w:r>
    </w:p>
    <w:p w14:paraId="5C0AA23A" w14:textId="77777777" w:rsidR="00733207" w:rsidRDefault="00912BAE">
      <w:pPr>
        <w:numPr>
          <w:ilvl w:val="0"/>
          <w:numId w:val="17"/>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demander</w:t>
      </w:r>
      <w:proofErr w:type="gramEnd"/>
      <w:r>
        <w:rPr>
          <w:rFonts w:ascii="Rockwell" w:hAnsi="Rockwell"/>
          <w:sz w:val="26"/>
          <w:szCs w:val="26"/>
        </w:rPr>
        <w:t xml:space="preserve"> au Ministère en charge des finances la prise en charge de ces condamnations par l’Agent Judiciaire de l’Etat ;</w:t>
      </w:r>
    </w:p>
    <w:p w14:paraId="1EFE77DE" w14:textId="77777777" w:rsidR="00733207" w:rsidRDefault="00912BAE">
      <w:pPr>
        <w:numPr>
          <w:ilvl w:val="0"/>
          <w:numId w:val="17"/>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inscrire</w:t>
      </w:r>
      <w:proofErr w:type="gramEnd"/>
      <w:r>
        <w:rPr>
          <w:rFonts w:ascii="Rockwell" w:hAnsi="Rockwell"/>
          <w:sz w:val="26"/>
          <w:szCs w:val="26"/>
        </w:rPr>
        <w:t xml:space="preserve"> la dette dans le budget 2024.</w:t>
      </w:r>
    </w:p>
    <w:p w14:paraId="23494F99"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lastRenderedPageBreak/>
        <w:t xml:space="preserve">Le montant exact dû </w:t>
      </w:r>
      <w:proofErr w:type="spellStart"/>
      <w:r>
        <w:rPr>
          <w:rFonts w:ascii="Rockwell" w:hAnsi="Rockwell"/>
          <w:sz w:val="26"/>
          <w:szCs w:val="26"/>
        </w:rPr>
        <w:t>a</w:t>
      </w:r>
      <w:proofErr w:type="spellEnd"/>
      <w:r>
        <w:rPr>
          <w:rFonts w:ascii="Rockwell" w:hAnsi="Rockwell"/>
          <w:sz w:val="26"/>
          <w:szCs w:val="26"/>
        </w:rPr>
        <w:t xml:space="preserve"> été confirmé avec le Conseil de la BOA, à savoir la somme de quatre-vingt millions cent vingt-trois mille quatre cent trente-quatre virgule trente-quatre (80 123 434, 34) FCFA représentant les causes de la saisie et un million (1 000 000) FCFA au titre des frais non compris dans les dépens, soit quatre-vingt-un millions cent vingt-trois mille quatre cent trente-quatre virgule trente-quatre (81 123 434, 34) FCFA.</w:t>
      </w:r>
    </w:p>
    <w:p w14:paraId="4E7F7327"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Quant au dossier ARDI/</w:t>
      </w:r>
      <w:proofErr w:type="spellStart"/>
      <w:r>
        <w:rPr>
          <w:rFonts w:ascii="Rockwell" w:hAnsi="Rockwell"/>
          <w:sz w:val="26"/>
          <w:szCs w:val="26"/>
        </w:rPr>
        <w:t>Architects</w:t>
      </w:r>
      <w:proofErr w:type="spellEnd"/>
      <w:r>
        <w:rPr>
          <w:rFonts w:ascii="Rockwell" w:hAnsi="Rockwell"/>
          <w:sz w:val="26"/>
          <w:szCs w:val="26"/>
        </w:rPr>
        <w:t xml:space="preserve"> Conseil</w:t>
      </w:r>
      <w:r>
        <w:rPr>
          <w:rFonts w:ascii="Rockwell" w:hAnsi="Rockwell"/>
          <w:sz w:val="26"/>
          <w:szCs w:val="26"/>
          <w:u w:val="single"/>
        </w:rPr>
        <w:t>,</w:t>
      </w:r>
      <w:r>
        <w:rPr>
          <w:rFonts w:ascii="Rockwell" w:hAnsi="Rockwell"/>
          <w:sz w:val="26"/>
          <w:szCs w:val="26"/>
        </w:rPr>
        <w:t xml:space="preserve"> il ressort que les honoraires dus sont relatifs à des travaux supplémentaires qui devaient faire l’objet d’un avenant avec le CSC. </w:t>
      </w:r>
    </w:p>
    <w:p w14:paraId="0A717F74" w14:textId="77777777" w:rsidR="00733207" w:rsidRDefault="00733207">
      <w:pPr>
        <w:tabs>
          <w:tab w:val="left" w:pos="1033"/>
        </w:tabs>
        <w:spacing w:before="120" w:after="120" w:line="360" w:lineRule="auto"/>
        <w:jc w:val="both"/>
        <w:rPr>
          <w:rFonts w:ascii="Rockwell" w:hAnsi="Rockwell"/>
          <w:sz w:val="26"/>
          <w:szCs w:val="26"/>
        </w:rPr>
      </w:pPr>
    </w:p>
    <w:p w14:paraId="3F334847" w14:textId="77777777" w:rsidR="00733207" w:rsidRDefault="00912BAE">
      <w:pPr>
        <w:pStyle w:val="Titre4"/>
        <w:spacing w:before="240" w:after="240"/>
        <w:jc w:val="center"/>
        <w:rPr>
          <w:rFonts w:ascii="Rockwell" w:hAnsi="Rockwell"/>
          <w:b/>
          <w:i w:val="0"/>
          <w:color w:val="auto"/>
          <w:sz w:val="28"/>
          <w:szCs w:val="28"/>
        </w:rPr>
      </w:pPr>
      <w:bookmarkStart w:id="230" w:name="_Toc175128484"/>
      <w:r>
        <w:rPr>
          <w:rFonts w:ascii="Rockwell" w:hAnsi="Rockwell"/>
          <w:b/>
          <w:i w:val="0"/>
          <w:color w:val="auto"/>
          <w:sz w:val="28"/>
          <w:szCs w:val="28"/>
        </w:rPr>
        <w:t>Paragraphe 3 : Affaire Ministère Public contre le sieur Issa Mermoz SANFO</w:t>
      </w:r>
      <w:bookmarkEnd w:id="230"/>
    </w:p>
    <w:p w14:paraId="2D689C0B" w14:textId="77777777" w:rsidR="00733207" w:rsidRDefault="00733207">
      <w:pPr>
        <w:jc w:val="both"/>
        <w:rPr>
          <w:rFonts w:ascii="Rockwell" w:hAnsi="Rockwell"/>
          <w:sz w:val="10"/>
          <w:szCs w:val="10"/>
        </w:rPr>
      </w:pPr>
    </w:p>
    <w:p w14:paraId="21371A14"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 xml:space="preserve">L’affaire Ministère Public contre le Sieur Issa Mermoz SANFO a été portée devant le TGI de </w:t>
      </w:r>
      <w:proofErr w:type="spellStart"/>
      <w:r>
        <w:rPr>
          <w:rFonts w:ascii="Rockwell" w:hAnsi="Rockwell"/>
          <w:sz w:val="26"/>
          <w:szCs w:val="26"/>
        </w:rPr>
        <w:t>Yako</w:t>
      </w:r>
      <w:proofErr w:type="spellEnd"/>
      <w:r>
        <w:rPr>
          <w:rFonts w:ascii="Rockwell" w:hAnsi="Rockwell"/>
          <w:sz w:val="26"/>
          <w:szCs w:val="26"/>
        </w:rPr>
        <w:t xml:space="preserve">. Il était question de l’utilisation frauduleuse de la fréquence 101.7 MHZ par le Sieur Issa Mermoz SANFO, sous le couvert d’une association dénommée Réseau des Journalistes en Langues pour l’Élimination des Mutilations Génitales Féminines et d’enfants (RJLPE/MGF), pour l’exploitation d’une radio non conventionnée dénommée </w:t>
      </w:r>
      <w:r>
        <w:rPr>
          <w:rFonts w:ascii="Rockwell" w:hAnsi="Rockwell"/>
          <w:i/>
          <w:sz w:val="26"/>
          <w:szCs w:val="26"/>
        </w:rPr>
        <w:t>Voix du Nord</w:t>
      </w:r>
      <w:r>
        <w:rPr>
          <w:rFonts w:ascii="Rockwell" w:hAnsi="Rockwell"/>
          <w:sz w:val="26"/>
          <w:szCs w:val="26"/>
        </w:rPr>
        <w:t>.</w:t>
      </w:r>
    </w:p>
    <w:p w14:paraId="59F04110"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L’affaire a été appelée le 20 avril 2023, cependant, le prévenu a sollicité un renvoi pour permettre à son Conseil de prendre connaissance du dossier. Le Tribunal a accédé à cette requête et le dossier a été renvoyé au 11 mai 2023.</w:t>
      </w:r>
    </w:p>
    <w:p w14:paraId="70FCEDCF"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Suite aux renvois successifs au 11 mai puis au 1</w:t>
      </w:r>
      <w:r>
        <w:rPr>
          <w:rFonts w:ascii="Rockwell" w:hAnsi="Rockwell"/>
          <w:sz w:val="26"/>
          <w:szCs w:val="26"/>
          <w:vertAlign w:val="superscript"/>
        </w:rPr>
        <w:t>er</w:t>
      </w:r>
      <w:r>
        <w:rPr>
          <w:rFonts w:ascii="Rockwell" w:hAnsi="Rockwell"/>
          <w:sz w:val="26"/>
          <w:szCs w:val="26"/>
        </w:rPr>
        <w:t xml:space="preserve"> juin 2023 et à l’issue des débats entre le Procureur, les représentants du CSC et le prévenu à l’audience, l’affaire a connu les requises de peines du Procureur qui sont : </w:t>
      </w:r>
      <w:r>
        <w:rPr>
          <w:rFonts w:ascii="Rockwell" w:hAnsi="Rockwell"/>
          <w:sz w:val="26"/>
          <w:szCs w:val="26"/>
        </w:rPr>
        <w:tab/>
      </w:r>
    </w:p>
    <w:p w14:paraId="323C06BA" w14:textId="77777777" w:rsidR="00733207" w:rsidRDefault="00912BAE">
      <w:pPr>
        <w:numPr>
          <w:ilvl w:val="0"/>
          <w:numId w:val="18"/>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un</w:t>
      </w:r>
      <w:proofErr w:type="gramEnd"/>
      <w:r>
        <w:rPr>
          <w:rFonts w:ascii="Rockwell" w:hAnsi="Rockwell"/>
          <w:sz w:val="26"/>
          <w:szCs w:val="26"/>
        </w:rPr>
        <w:t xml:space="preserve"> emprisonnement de douze (12) mois  avec sursis ;</w:t>
      </w:r>
    </w:p>
    <w:p w14:paraId="43DAD008" w14:textId="77777777" w:rsidR="00733207" w:rsidRDefault="00912BAE">
      <w:pPr>
        <w:numPr>
          <w:ilvl w:val="0"/>
          <w:numId w:val="18"/>
        </w:numPr>
        <w:tabs>
          <w:tab w:val="left" w:pos="1033"/>
        </w:tabs>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une</w:t>
      </w:r>
      <w:proofErr w:type="gramEnd"/>
      <w:r>
        <w:rPr>
          <w:rFonts w:ascii="Rockwell" w:hAnsi="Rockwell"/>
          <w:sz w:val="26"/>
          <w:szCs w:val="26"/>
        </w:rPr>
        <w:t xml:space="preserve"> amende ferme de dix millions (10 000 000) francs CFA assortie d’une contrainte judiciaire de trois (03) mois d’emprisonnement en cas d’inexécution.</w:t>
      </w:r>
    </w:p>
    <w:p w14:paraId="3C6BA12B"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lastRenderedPageBreak/>
        <w:t>Le délibéré de l’affaire a été vidé le 15 juin 2023. Le prévenu a été reconnu coupable des faits à lui reprochés et condamné à une amende de cinq millions (5 000 000) de FCFA avec sursis, ainsi qu’à un franc symbolique, et aux dépens. Aucune des parties n’a exercé de recours.</w:t>
      </w:r>
    </w:p>
    <w:p w14:paraId="0812B56F" w14:textId="77777777" w:rsidR="00733207" w:rsidRDefault="00733207">
      <w:pPr>
        <w:tabs>
          <w:tab w:val="left" w:pos="1033"/>
        </w:tabs>
        <w:spacing w:before="120" w:after="120" w:line="360" w:lineRule="auto"/>
        <w:ind w:left="-284" w:hanging="284"/>
        <w:jc w:val="both"/>
        <w:rPr>
          <w:rFonts w:ascii="Rockwell" w:hAnsi="Rockwell"/>
          <w:sz w:val="26"/>
          <w:szCs w:val="26"/>
        </w:rPr>
      </w:pPr>
    </w:p>
    <w:p w14:paraId="50C70963" w14:textId="34FFCA56" w:rsidR="00733207" w:rsidRDefault="00912BAE">
      <w:pPr>
        <w:pStyle w:val="Titre4"/>
        <w:spacing w:before="240" w:after="240"/>
        <w:jc w:val="center"/>
        <w:rPr>
          <w:rFonts w:ascii="Rockwell" w:hAnsi="Rockwell"/>
          <w:b/>
          <w:i w:val="0"/>
          <w:color w:val="auto"/>
          <w:sz w:val="28"/>
          <w:szCs w:val="28"/>
        </w:rPr>
      </w:pPr>
      <w:bookmarkStart w:id="231" w:name="_Toc175128485"/>
      <w:r>
        <w:rPr>
          <w:rFonts w:ascii="Rockwell" w:hAnsi="Rockwell"/>
          <w:b/>
          <w:i w:val="0"/>
          <w:color w:val="auto"/>
          <w:sz w:val="28"/>
          <w:szCs w:val="28"/>
        </w:rPr>
        <w:t xml:space="preserve">Paragraphe 4 : </w:t>
      </w:r>
      <w:r w:rsidR="00556251">
        <w:rPr>
          <w:rFonts w:ascii="Rockwell" w:hAnsi="Rockwell"/>
          <w:b/>
          <w:i w:val="0"/>
          <w:color w:val="auto"/>
          <w:sz w:val="28"/>
          <w:szCs w:val="28"/>
        </w:rPr>
        <w:t xml:space="preserve">Affaire </w:t>
      </w:r>
      <w:r>
        <w:rPr>
          <w:rFonts w:ascii="Rockwell" w:hAnsi="Rockwell"/>
          <w:b/>
          <w:i w:val="0"/>
          <w:color w:val="auto"/>
          <w:sz w:val="28"/>
          <w:szCs w:val="28"/>
        </w:rPr>
        <w:t>El Hadj Adama TRAORE &amp; Ousmane OUEDRAOGO contre l’Association du Succès Islamique pour l’Appel (ASIA) &amp; CSC</w:t>
      </w:r>
      <w:bookmarkEnd w:id="231"/>
    </w:p>
    <w:p w14:paraId="7EBFFF4A" w14:textId="77777777" w:rsidR="00733207" w:rsidRDefault="00733207">
      <w:pPr>
        <w:tabs>
          <w:tab w:val="left" w:pos="1033"/>
        </w:tabs>
        <w:spacing w:before="240" w:after="240" w:line="360" w:lineRule="auto"/>
        <w:jc w:val="both"/>
        <w:rPr>
          <w:rFonts w:ascii="Rockwell" w:hAnsi="Rockwell"/>
          <w:b/>
          <w:sz w:val="10"/>
          <w:szCs w:val="10"/>
        </w:rPr>
      </w:pPr>
    </w:p>
    <w:p w14:paraId="26B1C267"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 xml:space="preserve"> Ce contentieux, qui a débuté en 2015, est relatif à la propriété de la radio </w:t>
      </w:r>
      <w:r>
        <w:rPr>
          <w:rFonts w:ascii="Rockwell" w:hAnsi="Rockwell"/>
          <w:i/>
          <w:sz w:val="26"/>
          <w:szCs w:val="26"/>
        </w:rPr>
        <w:t xml:space="preserve">Al </w:t>
      </w:r>
      <w:proofErr w:type="spellStart"/>
      <w:r>
        <w:rPr>
          <w:rFonts w:ascii="Rockwell" w:hAnsi="Rockwell"/>
          <w:i/>
          <w:sz w:val="26"/>
          <w:szCs w:val="26"/>
        </w:rPr>
        <w:t>Mafaz</w:t>
      </w:r>
      <w:proofErr w:type="spellEnd"/>
      <w:r>
        <w:rPr>
          <w:rFonts w:ascii="Rockwell" w:hAnsi="Rockwell"/>
          <w:sz w:val="26"/>
          <w:szCs w:val="26"/>
        </w:rPr>
        <w:t>, sis à Bobo-Dioulasso. En effet, le CSC avait donné son autorisation à l’Association du Succès Islamique pour l’Appel (ASIA) en 2003. En 2012, il a été rapporté à l’instance de régulation par le Directeur de la radio (OUEDRAOGO Ousmane à l’époque), que cette association avait été dissoute et remplacée par une autre dénommée « Comité d’Appel Islamique et de Développement Socio-économique » avec pour président Adama TRAORE. Cette information, qui avait été accompagnée par un certain nombre de documents, a conduit le CSC à prendre un avenant à la convention pour matérialiser le changement opéré en prenant en compte la nouvelle dénomination de l’organe dirigeant de la radio.</w:t>
      </w:r>
    </w:p>
    <w:p w14:paraId="0C7BC176"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En 2015, cet avenant a été dénoncé par les responsables de la première association (ASIA), supposée être dissoute mais qui en réalité ne l’avait jamais été.</w:t>
      </w:r>
    </w:p>
    <w:p w14:paraId="02B98FC2"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 xml:space="preserve">Le tribunal administratif de Bobo-Dioulasso, ayant été saisi de l’affaire, a annulé, par jugement n°118/2015 du 25 août 2016, l’avenant en cause et a condamné les nommés Ousmane OUEDRAOGO (ancien directeur de la radio) et Adama TRAORE (Président du CAIDES) aux dépens. </w:t>
      </w:r>
    </w:p>
    <w:p w14:paraId="23CCA852"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C’est ce jugement qui a fait l’objet d’appel par devant le Conseil d’Etat.</w:t>
      </w:r>
    </w:p>
    <w:p w14:paraId="7D621706"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 xml:space="preserve">Sur ce dossier, le CSC s’en tient aux écritures qui ont été produites en première instance par lesquelles, il a rapporté au tribunal qu’il a été trompé par les sieurs </w:t>
      </w:r>
      <w:r>
        <w:rPr>
          <w:rFonts w:ascii="Rockwell" w:hAnsi="Rockwell"/>
          <w:sz w:val="26"/>
          <w:szCs w:val="26"/>
        </w:rPr>
        <w:lastRenderedPageBreak/>
        <w:t xml:space="preserve">Ousmane OUEDRAOGO et Adama TRAORE. Du reste, la convention de cette radio a été renouvelée avec l’ASIA dans le courant de l’année 2020. </w:t>
      </w:r>
    </w:p>
    <w:p w14:paraId="371A2BBB" w14:textId="77777777" w:rsidR="00733207" w:rsidRDefault="00733207">
      <w:pPr>
        <w:tabs>
          <w:tab w:val="left" w:pos="2330"/>
        </w:tabs>
        <w:spacing w:before="120" w:after="120" w:line="360" w:lineRule="auto"/>
        <w:jc w:val="both"/>
        <w:rPr>
          <w:rFonts w:ascii="Rockwell" w:hAnsi="Rockwell"/>
          <w:sz w:val="26"/>
          <w:szCs w:val="26"/>
        </w:rPr>
      </w:pPr>
    </w:p>
    <w:p w14:paraId="114BDE6B" w14:textId="77777777" w:rsidR="00733207" w:rsidRDefault="00912BAE">
      <w:pPr>
        <w:tabs>
          <w:tab w:val="left" w:pos="2330"/>
        </w:tabs>
        <w:spacing w:before="120" w:after="120" w:line="360" w:lineRule="auto"/>
        <w:jc w:val="both"/>
        <w:rPr>
          <w:rFonts w:ascii="Rockwell" w:hAnsi="Rockwell"/>
          <w:sz w:val="26"/>
          <w:szCs w:val="26"/>
        </w:rPr>
        <w:sectPr w:rsidR="00733207" w:rsidSect="000F5D96">
          <w:pgSz w:w="11906" w:h="16838"/>
          <w:pgMar w:top="993" w:right="1133" w:bottom="1418" w:left="1418" w:header="709" w:footer="680" w:gutter="0"/>
          <w:cols w:space="708"/>
          <w:docGrid w:linePitch="360"/>
        </w:sectPr>
      </w:pPr>
      <w:r>
        <w:rPr>
          <w:rFonts w:ascii="Rockwell" w:hAnsi="Rockwell"/>
          <w:sz w:val="26"/>
          <w:szCs w:val="26"/>
        </w:rPr>
        <w:tab/>
      </w:r>
    </w:p>
    <w:p w14:paraId="305D7229" w14:textId="77777777" w:rsidR="00733207" w:rsidRDefault="00912BAE">
      <w:pPr>
        <w:pStyle w:val="Titre2"/>
        <w:spacing w:before="240" w:after="240"/>
        <w:jc w:val="center"/>
        <w:rPr>
          <w:rFonts w:ascii="Rockwell" w:hAnsi="Rockwell"/>
          <w:b/>
          <w:color w:val="auto"/>
          <w:sz w:val="30"/>
          <w:szCs w:val="30"/>
        </w:rPr>
      </w:pPr>
      <w:bookmarkStart w:id="232" w:name="_Toc169855142"/>
      <w:bookmarkStart w:id="233" w:name="_Toc175128486"/>
      <w:bookmarkStart w:id="234" w:name="_Toc169854376"/>
      <w:bookmarkStart w:id="235" w:name="_Toc170209338"/>
      <w:r>
        <w:rPr>
          <w:rFonts w:ascii="Rockwell" w:hAnsi="Rockwell"/>
          <w:b/>
          <w:color w:val="auto"/>
          <w:sz w:val="30"/>
          <w:szCs w:val="30"/>
        </w:rPr>
        <w:lastRenderedPageBreak/>
        <w:t>CHAPITRE V : MONITORING DES MEDIAS AUDIOVISUELS, DE LA PRESSE ECRITE ET DE LA PRESSE EN LIGNE</w:t>
      </w:r>
      <w:bookmarkEnd w:id="232"/>
      <w:bookmarkEnd w:id="233"/>
      <w:bookmarkEnd w:id="234"/>
      <w:bookmarkEnd w:id="235"/>
    </w:p>
    <w:p w14:paraId="0BF15BB4" w14:textId="77777777" w:rsidR="00733207" w:rsidRDefault="00733207">
      <w:pPr>
        <w:spacing w:before="120" w:after="120" w:line="360" w:lineRule="auto"/>
        <w:jc w:val="both"/>
        <w:rPr>
          <w:rFonts w:ascii="Rockwell" w:hAnsi="Rockwell"/>
          <w:sz w:val="30"/>
          <w:szCs w:val="30"/>
        </w:rPr>
      </w:pPr>
    </w:p>
    <w:p w14:paraId="4557B379" w14:textId="54021471" w:rsidR="00733207" w:rsidRDefault="00912BAE">
      <w:pPr>
        <w:spacing w:before="120" w:after="120" w:line="360" w:lineRule="auto"/>
        <w:jc w:val="both"/>
        <w:rPr>
          <w:rFonts w:ascii="Rockwell" w:hAnsi="Rockwell"/>
          <w:sz w:val="26"/>
          <w:szCs w:val="26"/>
        </w:rPr>
      </w:pPr>
      <w:r>
        <w:rPr>
          <w:rFonts w:ascii="Rockwell" w:hAnsi="Rockwell"/>
          <w:sz w:val="26"/>
          <w:szCs w:val="26"/>
        </w:rPr>
        <w:t>Pour l’année 2023, l’observation des médias a porté d’une part, sur le contrôle du respect du pluralisme et de l’équilibre de l’information et</w:t>
      </w:r>
      <w:r w:rsidR="00556251">
        <w:rPr>
          <w:rFonts w:ascii="Rockwell" w:hAnsi="Rockwell"/>
          <w:sz w:val="26"/>
          <w:szCs w:val="26"/>
        </w:rPr>
        <w:t>,</w:t>
      </w:r>
      <w:r>
        <w:rPr>
          <w:rFonts w:ascii="Rockwell" w:hAnsi="Rockwell"/>
          <w:sz w:val="26"/>
          <w:szCs w:val="26"/>
        </w:rPr>
        <w:t xml:space="preserve"> d’autre part, sur le respect de la loi, de l’éthique et de la déontologie. </w:t>
      </w:r>
    </w:p>
    <w:p w14:paraId="508D13CE"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La collecte des données, qui a permis d’évaluer le pluralisme et l’équilibre de l’information dans les médias audiovisuels, s'est concentrée sur le temps d’antenne (TA) et le temps de parole (TP) obtenus par les acteurs sociopolitiques. Dans la presse écrite, cette évaluation s’est faite sur la base du nombre de pages (NP) et du nombre d’illustrations (NI). Pour la presse en ligne, l’analyse a porté sur le nombre d’articles (NA) et le nombre d’illustrations (NI).</w:t>
      </w:r>
    </w:p>
    <w:p w14:paraId="4F3DA06C" w14:textId="590F4780" w:rsidR="00733207" w:rsidRDefault="00912BAE">
      <w:pPr>
        <w:spacing w:before="120" w:after="120" w:line="360" w:lineRule="auto"/>
        <w:jc w:val="both"/>
        <w:rPr>
          <w:rFonts w:ascii="Rockwell" w:hAnsi="Rockwell"/>
          <w:sz w:val="26"/>
          <w:szCs w:val="26"/>
        </w:rPr>
      </w:pPr>
      <w:r>
        <w:rPr>
          <w:rFonts w:ascii="Rockwell" w:hAnsi="Rockwell"/>
          <w:bCs/>
          <w:sz w:val="26"/>
          <w:szCs w:val="26"/>
        </w:rPr>
        <w:t xml:space="preserve">Les acteurs sociopolitiques qui ont fait l’objet de l’observation sont au nombre de six (06). </w:t>
      </w:r>
      <w:r w:rsidR="00556251">
        <w:rPr>
          <w:rFonts w:ascii="Rockwell" w:hAnsi="Rockwell"/>
          <w:bCs/>
          <w:sz w:val="26"/>
          <w:szCs w:val="26"/>
        </w:rPr>
        <w:t>Ce sont</w:t>
      </w:r>
      <w:r>
        <w:rPr>
          <w:rFonts w:ascii="Rockwell" w:hAnsi="Rockwell"/>
          <w:bCs/>
          <w:sz w:val="26"/>
          <w:szCs w:val="26"/>
        </w:rPr>
        <w:t xml:space="preserve"> : </w:t>
      </w:r>
    </w:p>
    <w:p w14:paraId="0A40403B" w14:textId="77777777" w:rsidR="00733207" w:rsidRDefault="00912BAE">
      <w:pPr>
        <w:numPr>
          <w:ilvl w:val="0"/>
          <w:numId w:val="19"/>
        </w:numPr>
        <w:spacing w:before="120" w:after="120" w:line="360" w:lineRule="auto"/>
        <w:jc w:val="both"/>
        <w:rPr>
          <w:rFonts w:ascii="Rockwell" w:hAnsi="Rockwell"/>
          <w:sz w:val="26"/>
          <w:szCs w:val="26"/>
        </w:rPr>
      </w:pPr>
      <w:proofErr w:type="gramStart"/>
      <w:r>
        <w:rPr>
          <w:rFonts w:ascii="Rockwell" w:hAnsi="Rockwell"/>
          <w:sz w:val="26"/>
          <w:szCs w:val="26"/>
        </w:rPr>
        <w:t>le</w:t>
      </w:r>
      <w:proofErr w:type="gramEnd"/>
      <w:r>
        <w:rPr>
          <w:rFonts w:ascii="Rockwell" w:hAnsi="Rockwell"/>
          <w:sz w:val="26"/>
          <w:szCs w:val="26"/>
        </w:rPr>
        <w:t xml:space="preserve"> Gouvernement ; </w:t>
      </w:r>
    </w:p>
    <w:p w14:paraId="5DECC79C" w14:textId="77777777" w:rsidR="00733207" w:rsidRDefault="00912BAE">
      <w:pPr>
        <w:numPr>
          <w:ilvl w:val="0"/>
          <w:numId w:val="19"/>
        </w:numPr>
        <w:spacing w:before="120" w:after="120" w:line="360" w:lineRule="auto"/>
        <w:jc w:val="both"/>
        <w:rPr>
          <w:rFonts w:ascii="Rockwell" w:hAnsi="Rockwell"/>
          <w:sz w:val="26"/>
          <w:szCs w:val="26"/>
        </w:rPr>
      </w:pPr>
      <w:proofErr w:type="gramStart"/>
      <w:r>
        <w:rPr>
          <w:rFonts w:ascii="Rockwell" w:hAnsi="Rockwell"/>
          <w:sz w:val="26"/>
          <w:szCs w:val="26"/>
        </w:rPr>
        <w:t>l’Assemblée</w:t>
      </w:r>
      <w:proofErr w:type="gramEnd"/>
      <w:r>
        <w:rPr>
          <w:rFonts w:ascii="Rockwell" w:hAnsi="Rockwell"/>
          <w:sz w:val="26"/>
          <w:szCs w:val="26"/>
        </w:rPr>
        <w:t xml:space="preserve"> législative de Transition ;</w:t>
      </w:r>
    </w:p>
    <w:p w14:paraId="5FB2A401" w14:textId="77777777" w:rsidR="00733207" w:rsidRDefault="00912BAE">
      <w:pPr>
        <w:numPr>
          <w:ilvl w:val="0"/>
          <w:numId w:val="19"/>
        </w:numPr>
        <w:spacing w:before="120" w:after="120" w:line="360" w:lineRule="auto"/>
        <w:jc w:val="both"/>
        <w:rPr>
          <w:rFonts w:ascii="Rockwell" w:hAnsi="Rockwell"/>
          <w:sz w:val="26"/>
          <w:szCs w:val="26"/>
        </w:rPr>
      </w:pPr>
      <w:proofErr w:type="gramStart"/>
      <w:r>
        <w:rPr>
          <w:rFonts w:ascii="Rockwell" w:hAnsi="Rockwell"/>
          <w:sz w:val="26"/>
          <w:szCs w:val="26"/>
        </w:rPr>
        <w:t>les</w:t>
      </w:r>
      <w:proofErr w:type="gramEnd"/>
      <w:r>
        <w:rPr>
          <w:rFonts w:ascii="Rockwell" w:hAnsi="Rockwell"/>
          <w:sz w:val="26"/>
          <w:szCs w:val="26"/>
        </w:rPr>
        <w:t xml:space="preserve"> partis politiques ; </w:t>
      </w:r>
    </w:p>
    <w:p w14:paraId="634AAFA0" w14:textId="77777777" w:rsidR="00733207" w:rsidRDefault="00912BAE">
      <w:pPr>
        <w:numPr>
          <w:ilvl w:val="0"/>
          <w:numId w:val="19"/>
        </w:numPr>
        <w:spacing w:before="120" w:after="120" w:line="360" w:lineRule="auto"/>
        <w:jc w:val="both"/>
        <w:rPr>
          <w:rFonts w:ascii="Rockwell" w:hAnsi="Rockwell"/>
          <w:sz w:val="26"/>
          <w:szCs w:val="26"/>
        </w:rPr>
      </w:pPr>
      <w:proofErr w:type="gramStart"/>
      <w:r>
        <w:rPr>
          <w:rFonts w:ascii="Rockwell" w:hAnsi="Rockwell"/>
          <w:sz w:val="26"/>
          <w:szCs w:val="26"/>
        </w:rPr>
        <w:t>la</w:t>
      </w:r>
      <w:proofErr w:type="gramEnd"/>
      <w:r>
        <w:rPr>
          <w:rFonts w:ascii="Rockwell" w:hAnsi="Rockwell"/>
          <w:sz w:val="26"/>
          <w:szCs w:val="26"/>
        </w:rPr>
        <w:t xml:space="preserve"> Présidence du Faso ; </w:t>
      </w:r>
    </w:p>
    <w:p w14:paraId="4340713B" w14:textId="77777777" w:rsidR="00733207" w:rsidRDefault="00912BAE">
      <w:pPr>
        <w:numPr>
          <w:ilvl w:val="0"/>
          <w:numId w:val="19"/>
        </w:numPr>
        <w:spacing w:before="120" w:after="120" w:line="360" w:lineRule="auto"/>
        <w:jc w:val="both"/>
        <w:rPr>
          <w:rFonts w:ascii="Rockwell" w:hAnsi="Rockwell"/>
          <w:sz w:val="26"/>
          <w:szCs w:val="26"/>
        </w:rPr>
      </w:pPr>
      <w:proofErr w:type="gramStart"/>
      <w:r>
        <w:rPr>
          <w:rFonts w:ascii="Rockwell" w:hAnsi="Rockwell"/>
          <w:sz w:val="26"/>
          <w:szCs w:val="26"/>
        </w:rPr>
        <w:t>les</w:t>
      </w:r>
      <w:proofErr w:type="gramEnd"/>
      <w:r>
        <w:rPr>
          <w:rFonts w:ascii="Rockwell" w:hAnsi="Rockwell"/>
          <w:sz w:val="26"/>
          <w:szCs w:val="26"/>
        </w:rPr>
        <w:t xml:space="preserve"> Organisations de la société civile (associations, syndicats, patronat, organisations non gouvernementales ) ;</w:t>
      </w:r>
    </w:p>
    <w:p w14:paraId="1A44B1B0" w14:textId="77777777" w:rsidR="00733207" w:rsidRDefault="00912BAE">
      <w:pPr>
        <w:numPr>
          <w:ilvl w:val="0"/>
          <w:numId w:val="19"/>
        </w:numPr>
        <w:spacing w:before="120" w:after="120" w:line="360" w:lineRule="auto"/>
        <w:jc w:val="both"/>
        <w:rPr>
          <w:rFonts w:ascii="Rockwell" w:hAnsi="Rockwell"/>
          <w:sz w:val="26"/>
          <w:szCs w:val="26"/>
        </w:rPr>
      </w:pPr>
      <w:proofErr w:type="gramStart"/>
      <w:r>
        <w:rPr>
          <w:rFonts w:ascii="Rockwell" w:hAnsi="Rockwell"/>
          <w:sz w:val="26"/>
          <w:szCs w:val="26"/>
        </w:rPr>
        <w:t>les</w:t>
      </w:r>
      <w:proofErr w:type="gramEnd"/>
      <w:r>
        <w:rPr>
          <w:rFonts w:ascii="Rockwell" w:hAnsi="Rockwell"/>
          <w:sz w:val="26"/>
          <w:szCs w:val="26"/>
        </w:rPr>
        <w:t xml:space="preserve"> autres institutions constitutionnelles (CSC, CENI, Conseil Constitutionnel, CES, CIL, ASCE/LC et Médiateur du Faso).</w:t>
      </w:r>
    </w:p>
    <w:p w14:paraId="58616AD4" w14:textId="149CC832" w:rsidR="00733207" w:rsidRDefault="00912BAE">
      <w:pPr>
        <w:spacing w:before="120" w:after="120" w:line="360" w:lineRule="auto"/>
        <w:jc w:val="both"/>
        <w:rPr>
          <w:rFonts w:ascii="Rockwell" w:hAnsi="Rockwell"/>
          <w:sz w:val="26"/>
          <w:szCs w:val="26"/>
        </w:rPr>
      </w:pPr>
      <w:r>
        <w:rPr>
          <w:rFonts w:ascii="Rockwell" w:hAnsi="Rockwell"/>
          <w:sz w:val="26"/>
          <w:szCs w:val="26"/>
        </w:rPr>
        <w:t>Il faut rappeler qu</w:t>
      </w:r>
      <w:r w:rsidR="00556251">
        <w:rPr>
          <w:rFonts w:ascii="Rockwell" w:hAnsi="Rockwell"/>
          <w:sz w:val="26"/>
          <w:szCs w:val="26"/>
        </w:rPr>
        <w:t>’au</w:t>
      </w:r>
      <w:r>
        <w:rPr>
          <w:rFonts w:ascii="Rockwell" w:hAnsi="Rockwell"/>
          <w:sz w:val="26"/>
          <w:szCs w:val="26"/>
        </w:rPr>
        <w:t xml:space="preserve"> premier trimestre</w:t>
      </w:r>
      <w:r w:rsidR="00556251">
        <w:rPr>
          <w:rFonts w:ascii="Rockwell" w:hAnsi="Rockwell"/>
          <w:sz w:val="26"/>
          <w:szCs w:val="26"/>
        </w:rPr>
        <w:t>,</w:t>
      </w:r>
      <w:r>
        <w:rPr>
          <w:rFonts w:ascii="Rockwell" w:hAnsi="Rockwell"/>
          <w:sz w:val="26"/>
          <w:szCs w:val="26"/>
        </w:rPr>
        <w:t xml:space="preserve"> l’analyse a porté sur les partis politiques tandis qu’au deuxième trimestre, l’on a procédé à l’analyse des acteurs sociopolitiques.</w:t>
      </w:r>
    </w:p>
    <w:p w14:paraId="2C4C2234" w14:textId="62FEF845" w:rsidR="00733207" w:rsidRDefault="00912BAE">
      <w:pPr>
        <w:spacing w:before="120" w:after="120" w:line="360" w:lineRule="auto"/>
        <w:jc w:val="both"/>
        <w:rPr>
          <w:rFonts w:ascii="Rockwell" w:hAnsi="Rockwell"/>
          <w:sz w:val="26"/>
          <w:szCs w:val="26"/>
        </w:rPr>
      </w:pPr>
      <w:r>
        <w:rPr>
          <w:rFonts w:ascii="Rockwell" w:hAnsi="Rockwell"/>
          <w:bCs/>
          <w:sz w:val="26"/>
          <w:szCs w:val="26"/>
        </w:rPr>
        <w:t xml:space="preserve">Dans la seconde moitié de l’année, en raison du contexte de transition politique, le CSC a élargi sa collecte de données </w:t>
      </w:r>
      <w:r w:rsidR="00A87587">
        <w:rPr>
          <w:rFonts w:ascii="Rockwell" w:hAnsi="Rockwell"/>
          <w:bCs/>
          <w:sz w:val="26"/>
          <w:szCs w:val="26"/>
        </w:rPr>
        <w:t>en vue</w:t>
      </w:r>
      <w:r>
        <w:rPr>
          <w:rFonts w:ascii="Rockwell" w:hAnsi="Rockwell"/>
          <w:bCs/>
          <w:sz w:val="26"/>
          <w:szCs w:val="26"/>
        </w:rPr>
        <w:t xml:space="preserve"> de faire une cartographie </w:t>
      </w:r>
      <w:r>
        <w:rPr>
          <w:rFonts w:ascii="Rockwell" w:hAnsi="Rockwell"/>
          <w:bCs/>
          <w:sz w:val="26"/>
          <w:szCs w:val="26"/>
        </w:rPr>
        <w:lastRenderedPageBreak/>
        <w:t xml:space="preserve">permanente des thématiques traitées par les médias. Ainsi, les six (6) thèmes suivants ont été retenus : </w:t>
      </w:r>
      <w:r>
        <w:rPr>
          <w:rFonts w:ascii="Rockwell" w:hAnsi="Rockwell"/>
          <w:sz w:val="26"/>
          <w:szCs w:val="26"/>
        </w:rPr>
        <w:t>la politique,</w:t>
      </w:r>
      <w:r>
        <w:rPr>
          <w:rFonts w:ascii="Rockwell" w:hAnsi="Rockwell"/>
          <w:bCs/>
          <w:sz w:val="26"/>
          <w:szCs w:val="26"/>
        </w:rPr>
        <w:t xml:space="preserve"> </w:t>
      </w:r>
      <w:r>
        <w:rPr>
          <w:rFonts w:ascii="Rockwell" w:hAnsi="Rockwell"/>
          <w:sz w:val="26"/>
          <w:szCs w:val="26"/>
        </w:rPr>
        <w:t>la sécurité,</w:t>
      </w:r>
      <w:r>
        <w:rPr>
          <w:rFonts w:ascii="Rockwell" w:hAnsi="Rockwell"/>
          <w:bCs/>
          <w:sz w:val="26"/>
          <w:szCs w:val="26"/>
        </w:rPr>
        <w:t xml:space="preserve"> </w:t>
      </w:r>
      <w:r>
        <w:rPr>
          <w:rFonts w:ascii="Rockwell" w:hAnsi="Rockwell"/>
          <w:sz w:val="26"/>
          <w:szCs w:val="26"/>
        </w:rPr>
        <w:t>la religion,</w:t>
      </w:r>
      <w:r>
        <w:rPr>
          <w:rFonts w:ascii="Rockwell" w:hAnsi="Rockwell"/>
          <w:bCs/>
          <w:sz w:val="26"/>
          <w:szCs w:val="26"/>
        </w:rPr>
        <w:t xml:space="preserve"> </w:t>
      </w:r>
      <w:r>
        <w:rPr>
          <w:rFonts w:ascii="Rockwell" w:hAnsi="Rockwell"/>
          <w:sz w:val="26"/>
          <w:szCs w:val="26"/>
        </w:rPr>
        <w:t>la société,</w:t>
      </w:r>
      <w:r>
        <w:rPr>
          <w:rFonts w:ascii="Rockwell" w:hAnsi="Rockwell"/>
          <w:bCs/>
          <w:sz w:val="26"/>
          <w:szCs w:val="26"/>
        </w:rPr>
        <w:t xml:space="preserve"> </w:t>
      </w:r>
      <w:r>
        <w:rPr>
          <w:rFonts w:ascii="Rockwell" w:hAnsi="Rockwell"/>
          <w:sz w:val="26"/>
          <w:szCs w:val="26"/>
        </w:rPr>
        <w:t>l’économie,</w:t>
      </w:r>
      <w:r>
        <w:rPr>
          <w:rFonts w:ascii="Rockwell" w:hAnsi="Rockwell"/>
          <w:bCs/>
          <w:sz w:val="26"/>
          <w:szCs w:val="26"/>
        </w:rPr>
        <w:t xml:space="preserve"> </w:t>
      </w:r>
      <w:r>
        <w:rPr>
          <w:rFonts w:ascii="Rockwell" w:hAnsi="Rockwell"/>
          <w:sz w:val="26"/>
          <w:szCs w:val="26"/>
        </w:rPr>
        <w:t>la culture,</w:t>
      </w:r>
      <w:r>
        <w:rPr>
          <w:rFonts w:ascii="Rockwell" w:hAnsi="Rockwell"/>
          <w:bCs/>
          <w:sz w:val="26"/>
          <w:szCs w:val="26"/>
        </w:rPr>
        <w:t xml:space="preserve"> </w:t>
      </w:r>
      <w:r>
        <w:rPr>
          <w:rFonts w:ascii="Rockwell" w:hAnsi="Rockwell"/>
          <w:sz w:val="26"/>
          <w:szCs w:val="26"/>
        </w:rPr>
        <w:t>la santé et le genre.</w:t>
      </w:r>
    </w:p>
    <w:p w14:paraId="7FC900E6" w14:textId="77777777" w:rsidR="00733207" w:rsidRDefault="00733207">
      <w:pPr>
        <w:spacing w:before="120" w:after="120" w:line="360" w:lineRule="auto"/>
        <w:jc w:val="both"/>
        <w:rPr>
          <w:rFonts w:ascii="Rockwell" w:hAnsi="Rockwell"/>
          <w:sz w:val="26"/>
          <w:szCs w:val="26"/>
        </w:rPr>
      </w:pPr>
    </w:p>
    <w:p w14:paraId="5D3479DB" w14:textId="77777777" w:rsidR="00733207" w:rsidRPr="00A87587" w:rsidRDefault="00912BAE">
      <w:pPr>
        <w:pStyle w:val="Titre3"/>
        <w:spacing w:before="240" w:after="240" w:line="360" w:lineRule="auto"/>
        <w:jc w:val="center"/>
        <w:rPr>
          <w:rFonts w:ascii="Rockwell" w:hAnsi="Rockwell"/>
          <w:b/>
          <w:i/>
          <w:color w:val="000000" w:themeColor="text1"/>
          <w:sz w:val="28"/>
          <w:szCs w:val="28"/>
        </w:rPr>
      </w:pPr>
      <w:bookmarkStart w:id="236" w:name="_Toc175128487"/>
      <w:bookmarkStart w:id="237" w:name="_Toc169855156"/>
      <w:bookmarkStart w:id="238" w:name="_Toc169854378"/>
      <w:bookmarkStart w:id="239" w:name="_Toc170209339"/>
      <w:r w:rsidRPr="00A87587">
        <w:rPr>
          <w:rFonts w:ascii="Rockwell" w:hAnsi="Rockwell"/>
          <w:b/>
          <w:i/>
          <w:color w:val="000000" w:themeColor="text1"/>
          <w:sz w:val="28"/>
          <w:szCs w:val="28"/>
        </w:rPr>
        <w:t>SECTION 1 : MONITORING DE LA PRESSE ECRITE ET DE LA PRESSE EN LIGNE</w:t>
      </w:r>
      <w:bookmarkEnd w:id="236"/>
      <w:bookmarkEnd w:id="237"/>
      <w:bookmarkEnd w:id="238"/>
      <w:bookmarkEnd w:id="239"/>
    </w:p>
    <w:p w14:paraId="41339B9A" w14:textId="77777777" w:rsidR="00733207" w:rsidRDefault="00733207">
      <w:pPr>
        <w:spacing w:before="120" w:after="120" w:line="360" w:lineRule="auto"/>
        <w:jc w:val="both"/>
        <w:rPr>
          <w:rFonts w:ascii="Rockwell" w:hAnsi="Rockwell"/>
          <w:sz w:val="26"/>
          <w:szCs w:val="26"/>
        </w:rPr>
      </w:pPr>
    </w:p>
    <w:p w14:paraId="73E54300" w14:textId="77777777" w:rsidR="00733207" w:rsidRDefault="00912BAE">
      <w:pPr>
        <w:pStyle w:val="Titre4"/>
        <w:spacing w:before="120" w:after="120" w:line="360" w:lineRule="auto"/>
        <w:ind w:firstLine="142"/>
        <w:jc w:val="center"/>
        <w:rPr>
          <w:rFonts w:ascii="Rockwell" w:hAnsi="Rockwell"/>
          <w:b/>
          <w:i w:val="0"/>
          <w:color w:val="000000" w:themeColor="text1"/>
          <w:sz w:val="28"/>
          <w:szCs w:val="28"/>
        </w:rPr>
      </w:pPr>
      <w:bookmarkStart w:id="240" w:name="_Toc161320207"/>
      <w:bookmarkStart w:id="241" w:name="_Toc169855157"/>
      <w:bookmarkStart w:id="242" w:name="_Toc175128488"/>
      <w:r>
        <w:rPr>
          <w:rFonts w:ascii="Rockwell" w:hAnsi="Rockwell"/>
          <w:b/>
          <w:i w:val="0"/>
          <w:color w:val="000000" w:themeColor="text1"/>
          <w:sz w:val="28"/>
          <w:szCs w:val="28"/>
        </w:rPr>
        <w:t>Paragraphe 1 : Presse écrite</w:t>
      </w:r>
      <w:bookmarkEnd w:id="240"/>
      <w:bookmarkEnd w:id="241"/>
      <w:bookmarkEnd w:id="242"/>
    </w:p>
    <w:p w14:paraId="3D4851F5" w14:textId="77777777" w:rsidR="00733207" w:rsidRDefault="00733207">
      <w:pPr>
        <w:spacing w:before="120" w:after="120" w:line="360" w:lineRule="auto"/>
        <w:jc w:val="both"/>
        <w:rPr>
          <w:rFonts w:ascii="Rockwell" w:hAnsi="Rockwell"/>
          <w:sz w:val="10"/>
          <w:szCs w:val="10"/>
        </w:rPr>
      </w:pPr>
    </w:p>
    <w:p w14:paraId="1A7D00B1" w14:textId="77777777" w:rsidR="00733207" w:rsidRDefault="00912BAE">
      <w:pPr>
        <w:pStyle w:val="Titre5"/>
        <w:numPr>
          <w:ilvl w:val="1"/>
          <w:numId w:val="20"/>
        </w:numPr>
        <w:spacing w:before="120" w:after="120" w:line="360" w:lineRule="auto"/>
        <w:jc w:val="center"/>
        <w:rPr>
          <w:rFonts w:ascii="Rockwell" w:hAnsi="Rockwell"/>
          <w:i w:val="0"/>
          <w:color w:val="auto"/>
          <w:sz w:val="26"/>
          <w:szCs w:val="26"/>
        </w:rPr>
      </w:pPr>
      <w:bookmarkStart w:id="243" w:name="_Toc161320208"/>
      <w:bookmarkStart w:id="244" w:name="_Toc169855158"/>
      <w:bookmarkStart w:id="245" w:name="_Toc175128489"/>
      <w:r>
        <w:rPr>
          <w:rFonts w:ascii="Rockwell" w:hAnsi="Rockwell"/>
          <w:i w:val="0"/>
          <w:color w:val="auto"/>
          <w:sz w:val="26"/>
          <w:szCs w:val="26"/>
        </w:rPr>
        <w:t xml:space="preserve">Observation </w:t>
      </w:r>
      <w:bookmarkEnd w:id="243"/>
      <w:bookmarkEnd w:id="244"/>
      <w:r>
        <w:rPr>
          <w:rFonts w:ascii="Rockwell" w:hAnsi="Rockwell"/>
          <w:i w:val="0"/>
          <w:color w:val="auto"/>
          <w:sz w:val="26"/>
          <w:szCs w:val="26"/>
        </w:rPr>
        <w:t>de la presse écrite</w:t>
      </w:r>
      <w:bookmarkEnd w:id="245"/>
    </w:p>
    <w:p w14:paraId="4890543A" w14:textId="77777777" w:rsidR="00733207" w:rsidRDefault="00733207">
      <w:pPr>
        <w:spacing w:before="120" w:after="120" w:line="360" w:lineRule="auto"/>
        <w:jc w:val="both"/>
        <w:rPr>
          <w:rFonts w:ascii="Rockwell" w:hAnsi="Rockwell"/>
          <w:sz w:val="10"/>
          <w:szCs w:val="10"/>
        </w:rPr>
      </w:pPr>
    </w:p>
    <w:p w14:paraId="63FC0B50" w14:textId="77777777" w:rsidR="00733207" w:rsidRDefault="00912BAE">
      <w:pPr>
        <w:pStyle w:val="Paragraphedeliste"/>
        <w:spacing w:before="120" w:after="120" w:line="360" w:lineRule="auto"/>
        <w:ind w:left="0" w:right="-284"/>
        <w:jc w:val="both"/>
        <w:rPr>
          <w:rFonts w:ascii="Rockwell" w:hAnsi="Rockwell"/>
          <w:sz w:val="26"/>
          <w:szCs w:val="26"/>
        </w:rPr>
      </w:pPr>
      <w:r>
        <w:rPr>
          <w:rFonts w:ascii="Rockwell" w:hAnsi="Rockwell"/>
          <w:sz w:val="26"/>
          <w:szCs w:val="26"/>
        </w:rPr>
        <w:t xml:space="preserve">L’observation de la presse écrite a concerné les six (06) quotidiens d’informations burkinabè à savoir : </w:t>
      </w:r>
    </w:p>
    <w:p w14:paraId="574AD886" w14:textId="77777777" w:rsidR="00733207" w:rsidRDefault="00912BAE">
      <w:pPr>
        <w:pStyle w:val="Paragraphedeliste"/>
        <w:numPr>
          <w:ilvl w:val="0"/>
          <w:numId w:val="21"/>
        </w:numPr>
        <w:spacing w:before="120" w:after="120" w:line="360" w:lineRule="auto"/>
        <w:ind w:left="1418" w:right="-284"/>
        <w:jc w:val="both"/>
        <w:rPr>
          <w:rFonts w:ascii="Rockwell" w:hAnsi="Rockwell"/>
          <w:i/>
          <w:sz w:val="26"/>
          <w:szCs w:val="26"/>
        </w:rPr>
      </w:pPr>
      <w:proofErr w:type="spellStart"/>
      <w:r>
        <w:rPr>
          <w:rFonts w:ascii="Rockwell" w:hAnsi="Rockwell"/>
          <w:i/>
          <w:sz w:val="26"/>
          <w:szCs w:val="26"/>
        </w:rPr>
        <w:t>Sidwaya</w:t>
      </w:r>
      <w:proofErr w:type="spellEnd"/>
      <w:r>
        <w:rPr>
          <w:rFonts w:ascii="Rockwell" w:hAnsi="Rockwell"/>
          <w:i/>
          <w:sz w:val="26"/>
          <w:szCs w:val="26"/>
        </w:rPr>
        <w:t>,</w:t>
      </w:r>
    </w:p>
    <w:p w14:paraId="6D616C10" w14:textId="77777777" w:rsidR="00733207" w:rsidRDefault="00912BAE">
      <w:pPr>
        <w:pStyle w:val="Paragraphedeliste"/>
        <w:numPr>
          <w:ilvl w:val="0"/>
          <w:numId w:val="21"/>
        </w:numPr>
        <w:spacing w:before="120" w:after="120" w:line="360" w:lineRule="auto"/>
        <w:ind w:left="1418" w:right="-284"/>
        <w:jc w:val="both"/>
        <w:rPr>
          <w:rFonts w:ascii="Rockwell" w:hAnsi="Rockwell"/>
          <w:i/>
          <w:sz w:val="26"/>
          <w:szCs w:val="26"/>
        </w:rPr>
      </w:pPr>
      <w:r>
        <w:rPr>
          <w:rFonts w:ascii="Rockwell" w:hAnsi="Rockwell"/>
          <w:i/>
          <w:sz w:val="26"/>
          <w:szCs w:val="26"/>
        </w:rPr>
        <w:t xml:space="preserve">L’Observateur </w:t>
      </w:r>
      <w:proofErr w:type="spellStart"/>
      <w:r>
        <w:rPr>
          <w:rFonts w:ascii="Rockwell" w:hAnsi="Rockwell"/>
          <w:i/>
          <w:sz w:val="26"/>
          <w:szCs w:val="26"/>
        </w:rPr>
        <w:t>Paalga</w:t>
      </w:r>
      <w:proofErr w:type="spellEnd"/>
      <w:r>
        <w:rPr>
          <w:rFonts w:ascii="Rockwell" w:hAnsi="Rockwell"/>
          <w:i/>
          <w:sz w:val="26"/>
          <w:szCs w:val="26"/>
        </w:rPr>
        <w:t>,</w:t>
      </w:r>
    </w:p>
    <w:p w14:paraId="4D7B846B" w14:textId="77777777" w:rsidR="00733207" w:rsidRDefault="00912BAE">
      <w:pPr>
        <w:pStyle w:val="Paragraphedeliste"/>
        <w:numPr>
          <w:ilvl w:val="0"/>
          <w:numId w:val="21"/>
        </w:numPr>
        <w:spacing w:before="120" w:after="120" w:line="360" w:lineRule="auto"/>
        <w:ind w:left="1418" w:right="-284"/>
        <w:jc w:val="both"/>
        <w:rPr>
          <w:rFonts w:ascii="Rockwell" w:hAnsi="Rockwell"/>
          <w:i/>
          <w:sz w:val="26"/>
          <w:szCs w:val="26"/>
        </w:rPr>
      </w:pPr>
      <w:r>
        <w:rPr>
          <w:rFonts w:ascii="Rockwell" w:hAnsi="Rockwell"/>
          <w:i/>
          <w:sz w:val="26"/>
          <w:szCs w:val="26"/>
        </w:rPr>
        <w:t>Le Pays,</w:t>
      </w:r>
    </w:p>
    <w:p w14:paraId="1693D836" w14:textId="77777777" w:rsidR="00733207" w:rsidRDefault="00912BAE">
      <w:pPr>
        <w:pStyle w:val="Paragraphedeliste"/>
        <w:numPr>
          <w:ilvl w:val="0"/>
          <w:numId w:val="21"/>
        </w:numPr>
        <w:spacing w:before="120" w:after="120" w:line="360" w:lineRule="auto"/>
        <w:ind w:left="1418" w:right="-284"/>
        <w:jc w:val="both"/>
        <w:rPr>
          <w:rFonts w:ascii="Rockwell" w:hAnsi="Rockwell"/>
          <w:i/>
          <w:sz w:val="26"/>
          <w:szCs w:val="26"/>
        </w:rPr>
      </w:pPr>
      <w:r>
        <w:rPr>
          <w:rFonts w:ascii="Rockwell" w:hAnsi="Rockwell"/>
          <w:i/>
          <w:sz w:val="26"/>
          <w:szCs w:val="26"/>
        </w:rPr>
        <w:t>L’Express du Faso,</w:t>
      </w:r>
    </w:p>
    <w:p w14:paraId="40DA5334" w14:textId="77777777" w:rsidR="00733207" w:rsidRDefault="00912BAE">
      <w:pPr>
        <w:pStyle w:val="Paragraphedeliste"/>
        <w:numPr>
          <w:ilvl w:val="0"/>
          <w:numId w:val="21"/>
        </w:numPr>
        <w:spacing w:before="120" w:after="120" w:line="360" w:lineRule="auto"/>
        <w:ind w:left="1418" w:right="-284"/>
        <w:jc w:val="both"/>
        <w:rPr>
          <w:rFonts w:ascii="Rockwell" w:hAnsi="Rockwell"/>
          <w:i/>
          <w:sz w:val="26"/>
          <w:szCs w:val="26"/>
        </w:rPr>
      </w:pPr>
      <w:r>
        <w:rPr>
          <w:rFonts w:ascii="Rockwell" w:hAnsi="Rockwell"/>
          <w:i/>
          <w:sz w:val="26"/>
          <w:szCs w:val="26"/>
        </w:rPr>
        <w:t>Aujourd’hui au Faso,</w:t>
      </w:r>
    </w:p>
    <w:p w14:paraId="12B6C597" w14:textId="77777777" w:rsidR="00733207" w:rsidRDefault="00912BAE">
      <w:pPr>
        <w:pStyle w:val="Paragraphedeliste"/>
        <w:numPr>
          <w:ilvl w:val="0"/>
          <w:numId w:val="21"/>
        </w:numPr>
        <w:spacing w:before="120" w:after="120" w:line="360" w:lineRule="auto"/>
        <w:ind w:left="1418" w:right="-284"/>
        <w:jc w:val="both"/>
        <w:rPr>
          <w:rFonts w:ascii="Rockwell" w:hAnsi="Rockwell"/>
          <w:i/>
          <w:sz w:val="26"/>
          <w:szCs w:val="26"/>
        </w:rPr>
      </w:pPr>
      <w:r>
        <w:rPr>
          <w:rFonts w:ascii="Rockwell" w:hAnsi="Rockwell"/>
          <w:i/>
          <w:sz w:val="26"/>
          <w:szCs w:val="26"/>
        </w:rPr>
        <w:t>Le Quotidien.</w:t>
      </w:r>
    </w:p>
    <w:p w14:paraId="08C6E137" w14:textId="77777777" w:rsidR="00733207" w:rsidRDefault="00912BAE">
      <w:pPr>
        <w:spacing w:before="120" w:after="120" w:line="360" w:lineRule="auto"/>
        <w:ind w:right="-284"/>
        <w:jc w:val="both"/>
        <w:rPr>
          <w:rFonts w:ascii="Rockwell" w:hAnsi="Rockwell"/>
          <w:i/>
          <w:sz w:val="26"/>
          <w:szCs w:val="26"/>
        </w:rPr>
      </w:pPr>
      <w:r>
        <w:rPr>
          <w:rFonts w:ascii="Rockwell" w:hAnsi="Rockwell"/>
          <w:sz w:val="26"/>
          <w:szCs w:val="26"/>
        </w:rPr>
        <w:t>Cette observation a porté sur la couverture médiatique des activités des différents acteurs sociopolitiques pour l’appréciation du pluralisme et de l'équilibre de l'information. Elle a également porté sur le traitement, par ces médias, des thématiques (politique</w:t>
      </w:r>
      <w:r>
        <w:rPr>
          <w:rFonts w:ascii="Rockwell" w:hAnsi="Rockwell"/>
          <w:i/>
          <w:sz w:val="26"/>
          <w:szCs w:val="26"/>
        </w:rPr>
        <w:t>, société, santé, économie, sécurité, culture, religion et genre</w:t>
      </w:r>
      <w:r>
        <w:rPr>
          <w:rFonts w:ascii="Rockwell" w:hAnsi="Rockwell"/>
          <w:sz w:val="26"/>
          <w:szCs w:val="26"/>
        </w:rPr>
        <w:t>) qui ont été retenues.</w:t>
      </w:r>
    </w:p>
    <w:p w14:paraId="23989DA1" w14:textId="70211D3D" w:rsidR="00733207" w:rsidRDefault="00912BAE" w:rsidP="00A87587">
      <w:pPr>
        <w:pStyle w:val="Titre5"/>
        <w:numPr>
          <w:ilvl w:val="1"/>
          <w:numId w:val="20"/>
        </w:numPr>
        <w:spacing w:before="120" w:after="120" w:line="360" w:lineRule="auto"/>
        <w:jc w:val="center"/>
        <w:rPr>
          <w:rFonts w:ascii="Rockwell" w:hAnsi="Rockwell"/>
          <w:i w:val="0"/>
          <w:color w:val="auto"/>
          <w:sz w:val="26"/>
          <w:szCs w:val="26"/>
        </w:rPr>
      </w:pPr>
      <w:bookmarkStart w:id="246" w:name="_Toc161320213"/>
      <w:bookmarkStart w:id="247" w:name="_Toc169855159"/>
      <w:bookmarkStart w:id="248" w:name="_Toc175128490"/>
      <w:r>
        <w:rPr>
          <w:rFonts w:ascii="Rockwell" w:hAnsi="Rockwell"/>
          <w:i w:val="0"/>
          <w:color w:val="auto"/>
          <w:sz w:val="26"/>
          <w:szCs w:val="26"/>
        </w:rPr>
        <w:t xml:space="preserve">Présentation des </w:t>
      </w:r>
      <w:bookmarkEnd w:id="246"/>
      <w:bookmarkEnd w:id="247"/>
      <w:r>
        <w:rPr>
          <w:rFonts w:ascii="Rockwell" w:hAnsi="Rockwell"/>
          <w:i w:val="0"/>
          <w:color w:val="auto"/>
          <w:sz w:val="26"/>
          <w:szCs w:val="26"/>
        </w:rPr>
        <w:t>données récoltées dans les Quotidiens</w:t>
      </w:r>
      <w:bookmarkEnd w:id="248"/>
    </w:p>
    <w:p w14:paraId="416B91B7" w14:textId="51E9AB7D" w:rsidR="000F5D96" w:rsidRDefault="000F5D96" w:rsidP="000F5D96"/>
    <w:p w14:paraId="0C64ACD6" w14:textId="77777777" w:rsidR="000F5D96" w:rsidRPr="000F5D96" w:rsidRDefault="000F5D96" w:rsidP="000F5D96"/>
    <w:p w14:paraId="30E3E31C" w14:textId="77777777" w:rsidR="00733207" w:rsidRDefault="00733207">
      <w:pPr>
        <w:pStyle w:val="Paragraphedeliste"/>
        <w:spacing w:before="120" w:after="120" w:line="360" w:lineRule="auto"/>
        <w:jc w:val="both"/>
        <w:rPr>
          <w:rFonts w:ascii="Rockwell" w:hAnsi="Rockwell"/>
          <w:sz w:val="4"/>
          <w:szCs w:val="4"/>
        </w:rPr>
      </w:pPr>
    </w:p>
    <w:p w14:paraId="74B650D7" w14:textId="6793597C" w:rsidR="00733207" w:rsidRDefault="00912BAE" w:rsidP="000F5D96">
      <w:pPr>
        <w:pStyle w:val="Paragraphedeliste"/>
        <w:spacing w:before="120" w:after="120" w:line="240" w:lineRule="auto"/>
        <w:jc w:val="both"/>
        <w:rPr>
          <w:rStyle w:val="Titre2Car"/>
          <w:rFonts w:ascii="Rockwell" w:hAnsi="Rockwell"/>
          <w:b/>
          <w:color w:val="auto"/>
          <w:sz w:val="24"/>
          <w:szCs w:val="24"/>
        </w:rPr>
      </w:pPr>
      <w:r>
        <w:rPr>
          <w:rFonts w:ascii="Rockwell" w:hAnsi="Rockwell"/>
          <w:sz w:val="4"/>
          <w:szCs w:val="4"/>
        </w:rPr>
        <w:lastRenderedPageBreak/>
        <w:t>2</w:t>
      </w:r>
      <w:bookmarkStart w:id="249" w:name="_Toc170113240"/>
      <w:bookmarkStart w:id="250" w:name="_Toc169854379"/>
      <w:bookmarkStart w:id="251" w:name="_Toc170080247"/>
      <w:bookmarkStart w:id="252" w:name="_Toc161320215"/>
      <w:bookmarkStart w:id="253" w:name="_Toc169855161"/>
      <w:bookmarkStart w:id="254" w:name="_Toc175128491"/>
      <w:r>
        <w:rPr>
          <w:rStyle w:val="Titre6Car"/>
          <w:rFonts w:ascii="Rockwell" w:hAnsi="Rockwell"/>
          <w:b/>
          <w:color w:val="auto"/>
          <w:sz w:val="24"/>
          <w:szCs w:val="24"/>
        </w:rPr>
        <w:t>Classement des partis politiques</w:t>
      </w:r>
      <w:bookmarkEnd w:id="249"/>
      <w:bookmarkEnd w:id="250"/>
      <w:bookmarkEnd w:id="251"/>
      <w:bookmarkEnd w:id="252"/>
      <w:bookmarkEnd w:id="253"/>
      <w:r>
        <w:rPr>
          <w:rStyle w:val="Titre6Car"/>
          <w:rFonts w:ascii="Rockwell" w:hAnsi="Rockwell"/>
          <w:b/>
          <w:color w:val="auto"/>
          <w:sz w:val="24"/>
          <w:szCs w:val="24"/>
        </w:rPr>
        <w:t xml:space="preserve"> selon les NP et NI obtenus dans les</w:t>
      </w:r>
      <w:r>
        <w:rPr>
          <w:rStyle w:val="Titre2Car"/>
          <w:rFonts w:ascii="Rockwell" w:hAnsi="Rockwell"/>
          <w:b/>
          <w:color w:val="auto"/>
          <w:sz w:val="24"/>
          <w:szCs w:val="24"/>
        </w:rPr>
        <w:t xml:space="preserve"> quotidiens</w:t>
      </w:r>
      <w:bookmarkEnd w:id="254"/>
    </w:p>
    <w:p w14:paraId="1148350E" w14:textId="77777777" w:rsidR="00733207" w:rsidRDefault="00733207">
      <w:pPr>
        <w:jc w:val="both"/>
        <w:rPr>
          <w:rFonts w:ascii="Rockwell" w:hAnsi="Rockwell"/>
          <w:sz w:val="4"/>
          <w:szCs w:val="6"/>
        </w:rPr>
      </w:pPr>
    </w:p>
    <w:p w14:paraId="1A2811C3" w14:textId="77777777" w:rsidR="00733207" w:rsidRDefault="00912BAE">
      <w:pPr>
        <w:spacing w:before="120" w:after="120" w:line="360" w:lineRule="auto"/>
        <w:jc w:val="both"/>
        <w:rPr>
          <w:rFonts w:ascii="Rockwell" w:hAnsi="Rockwell"/>
          <w:i/>
          <w:szCs w:val="18"/>
        </w:rPr>
      </w:pPr>
      <w:r>
        <w:rPr>
          <w:rFonts w:ascii="Rockwell" w:hAnsi="Rockwell"/>
          <w:b/>
          <w:i/>
          <w:szCs w:val="18"/>
          <w:u w:val="single"/>
        </w:rPr>
        <w:t>Tableau n° 1 :</w:t>
      </w:r>
      <w:r>
        <w:rPr>
          <w:rFonts w:ascii="Rockwell" w:hAnsi="Rockwell"/>
          <w:b/>
          <w:i/>
          <w:szCs w:val="18"/>
        </w:rPr>
        <w:t xml:space="preserve"> </w:t>
      </w:r>
      <w:r>
        <w:rPr>
          <w:rFonts w:ascii="Rockwell" w:hAnsi="Rockwell"/>
          <w:i/>
          <w:szCs w:val="18"/>
        </w:rPr>
        <w:t>Classement des dix premiers partis politiques selon le NP et le NI publiés dans les Quotidiens</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9"/>
        <w:gridCol w:w="3261"/>
        <w:gridCol w:w="1185"/>
        <w:gridCol w:w="1333"/>
        <w:gridCol w:w="1131"/>
        <w:gridCol w:w="1685"/>
      </w:tblGrid>
      <w:tr w:rsidR="00733207" w14:paraId="1ED68DEA" w14:textId="77777777">
        <w:trPr>
          <w:trHeight w:val="484"/>
          <w:jc w:val="center"/>
        </w:trPr>
        <w:tc>
          <w:tcPr>
            <w:tcW w:w="1329" w:type="dxa"/>
            <w:shd w:val="clear" w:color="auto" w:fill="auto"/>
          </w:tcPr>
          <w:p w14:paraId="0E3E17BF"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RANG</w:t>
            </w:r>
          </w:p>
        </w:tc>
        <w:tc>
          <w:tcPr>
            <w:tcW w:w="3261" w:type="dxa"/>
            <w:shd w:val="clear" w:color="auto" w:fill="auto"/>
          </w:tcPr>
          <w:p w14:paraId="7F21ACCF"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ACTEURS POLITIQUES</w:t>
            </w:r>
          </w:p>
        </w:tc>
        <w:tc>
          <w:tcPr>
            <w:tcW w:w="1185" w:type="dxa"/>
            <w:shd w:val="clear" w:color="auto" w:fill="auto"/>
          </w:tcPr>
          <w:p w14:paraId="49EF8AC4"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NP</w:t>
            </w:r>
          </w:p>
        </w:tc>
        <w:tc>
          <w:tcPr>
            <w:tcW w:w="1333" w:type="dxa"/>
            <w:shd w:val="clear" w:color="auto" w:fill="auto"/>
          </w:tcPr>
          <w:p w14:paraId="05AB6DEE"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NP</w:t>
            </w:r>
          </w:p>
        </w:tc>
        <w:tc>
          <w:tcPr>
            <w:tcW w:w="1131" w:type="dxa"/>
            <w:shd w:val="clear" w:color="auto" w:fill="auto"/>
          </w:tcPr>
          <w:p w14:paraId="1CA4E615"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NI</w:t>
            </w:r>
          </w:p>
        </w:tc>
        <w:tc>
          <w:tcPr>
            <w:tcW w:w="1685" w:type="dxa"/>
            <w:shd w:val="clear" w:color="auto" w:fill="auto"/>
          </w:tcPr>
          <w:p w14:paraId="7D1B63F4"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NI</w:t>
            </w:r>
          </w:p>
        </w:tc>
      </w:tr>
      <w:tr w:rsidR="00733207" w14:paraId="596AB0E5" w14:textId="77777777">
        <w:trPr>
          <w:trHeight w:val="22"/>
          <w:jc w:val="center"/>
        </w:trPr>
        <w:tc>
          <w:tcPr>
            <w:tcW w:w="1329" w:type="dxa"/>
            <w:shd w:val="clear" w:color="auto" w:fill="auto"/>
            <w:noWrap/>
          </w:tcPr>
          <w:p w14:paraId="280F10AB"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1</w:t>
            </w:r>
            <w:r>
              <w:rPr>
                <w:rFonts w:ascii="Rockwell" w:eastAsia="Times New Roman" w:hAnsi="Rockwell"/>
                <w:b/>
                <w:bCs/>
                <w:color w:val="000000"/>
                <w:sz w:val="26"/>
                <w:szCs w:val="26"/>
                <w:vertAlign w:val="superscript"/>
              </w:rPr>
              <w:t>er</w:t>
            </w:r>
            <w:r>
              <w:rPr>
                <w:rFonts w:ascii="Rockwell" w:eastAsia="Times New Roman" w:hAnsi="Rockwell"/>
                <w:b/>
                <w:bCs/>
                <w:color w:val="000000"/>
                <w:sz w:val="26"/>
                <w:szCs w:val="26"/>
              </w:rPr>
              <w:t xml:space="preserve"> </w:t>
            </w:r>
          </w:p>
        </w:tc>
        <w:tc>
          <w:tcPr>
            <w:tcW w:w="3261" w:type="dxa"/>
            <w:shd w:val="clear" w:color="auto" w:fill="auto"/>
          </w:tcPr>
          <w:p w14:paraId="64FF2E9C"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RPR</w:t>
            </w:r>
          </w:p>
        </w:tc>
        <w:tc>
          <w:tcPr>
            <w:tcW w:w="1185" w:type="dxa"/>
            <w:shd w:val="clear" w:color="auto" w:fill="auto"/>
          </w:tcPr>
          <w:p w14:paraId="2CAC033F"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14 1/3</w:t>
            </w:r>
          </w:p>
        </w:tc>
        <w:tc>
          <w:tcPr>
            <w:tcW w:w="1333" w:type="dxa"/>
            <w:shd w:val="clear" w:color="auto" w:fill="auto"/>
          </w:tcPr>
          <w:p w14:paraId="5E0542EE"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19,27%</w:t>
            </w:r>
          </w:p>
        </w:tc>
        <w:tc>
          <w:tcPr>
            <w:tcW w:w="1131" w:type="dxa"/>
            <w:shd w:val="clear" w:color="auto" w:fill="auto"/>
          </w:tcPr>
          <w:p w14:paraId="0AE58366"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24</w:t>
            </w:r>
          </w:p>
        </w:tc>
        <w:tc>
          <w:tcPr>
            <w:tcW w:w="1685" w:type="dxa"/>
            <w:shd w:val="clear" w:color="auto" w:fill="auto"/>
          </w:tcPr>
          <w:p w14:paraId="21EE98DA"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19,20%</w:t>
            </w:r>
          </w:p>
        </w:tc>
      </w:tr>
      <w:tr w:rsidR="00733207" w14:paraId="1C3CDFF9" w14:textId="77777777">
        <w:trPr>
          <w:trHeight w:val="22"/>
          <w:jc w:val="center"/>
        </w:trPr>
        <w:tc>
          <w:tcPr>
            <w:tcW w:w="1329" w:type="dxa"/>
            <w:shd w:val="clear" w:color="auto" w:fill="auto"/>
            <w:noWrap/>
          </w:tcPr>
          <w:p w14:paraId="6D1128E4"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 xml:space="preserve">2è    </w:t>
            </w:r>
          </w:p>
        </w:tc>
        <w:tc>
          <w:tcPr>
            <w:tcW w:w="3261" w:type="dxa"/>
            <w:shd w:val="clear" w:color="auto" w:fill="auto"/>
          </w:tcPr>
          <w:p w14:paraId="465A9BA7"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MCR</w:t>
            </w:r>
          </w:p>
        </w:tc>
        <w:tc>
          <w:tcPr>
            <w:tcW w:w="1185" w:type="dxa"/>
            <w:shd w:val="clear" w:color="auto" w:fill="auto"/>
          </w:tcPr>
          <w:p w14:paraId="1D123401"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7    </w:t>
            </w:r>
          </w:p>
        </w:tc>
        <w:tc>
          <w:tcPr>
            <w:tcW w:w="1333" w:type="dxa"/>
            <w:shd w:val="clear" w:color="auto" w:fill="auto"/>
          </w:tcPr>
          <w:p w14:paraId="5E61D823"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9,29%</w:t>
            </w:r>
          </w:p>
        </w:tc>
        <w:tc>
          <w:tcPr>
            <w:tcW w:w="1131" w:type="dxa"/>
            <w:shd w:val="clear" w:color="auto" w:fill="auto"/>
          </w:tcPr>
          <w:p w14:paraId="6AADA562"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17</w:t>
            </w:r>
          </w:p>
        </w:tc>
        <w:tc>
          <w:tcPr>
            <w:tcW w:w="1685" w:type="dxa"/>
            <w:shd w:val="clear" w:color="auto" w:fill="auto"/>
          </w:tcPr>
          <w:p w14:paraId="22AE854F"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13,60%</w:t>
            </w:r>
          </w:p>
        </w:tc>
      </w:tr>
      <w:tr w:rsidR="00733207" w14:paraId="01FC462E" w14:textId="77777777">
        <w:trPr>
          <w:trHeight w:val="22"/>
          <w:jc w:val="center"/>
        </w:trPr>
        <w:tc>
          <w:tcPr>
            <w:tcW w:w="1329" w:type="dxa"/>
            <w:shd w:val="clear" w:color="auto" w:fill="auto"/>
            <w:noWrap/>
          </w:tcPr>
          <w:p w14:paraId="666916BE"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 xml:space="preserve">3è </w:t>
            </w:r>
          </w:p>
        </w:tc>
        <w:tc>
          <w:tcPr>
            <w:tcW w:w="3261" w:type="dxa"/>
            <w:shd w:val="clear" w:color="auto" w:fill="auto"/>
          </w:tcPr>
          <w:p w14:paraId="689A5535"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RPI</w:t>
            </w:r>
          </w:p>
        </w:tc>
        <w:tc>
          <w:tcPr>
            <w:tcW w:w="1185" w:type="dxa"/>
            <w:shd w:val="clear" w:color="auto" w:fill="auto"/>
          </w:tcPr>
          <w:p w14:paraId="03C3B876"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 2/7</w:t>
            </w:r>
          </w:p>
        </w:tc>
        <w:tc>
          <w:tcPr>
            <w:tcW w:w="1333" w:type="dxa"/>
            <w:shd w:val="clear" w:color="auto" w:fill="auto"/>
          </w:tcPr>
          <w:p w14:paraId="0688310E"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7,12%</w:t>
            </w:r>
          </w:p>
        </w:tc>
        <w:tc>
          <w:tcPr>
            <w:tcW w:w="1131" w:type="dxa"/>
            <w:shd w:val="clear" w:color="auto" w:fill="auto"/>
          </w:tcPr>
          <w:p w14:paraId="31CEA3AE"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10</w:t>
            </w:r>
          </w:p>
        </w:tc>
        <w:tc>
          <w:tcPr>
            <w:tcW w:w="1685" w:type="dxa"/>
            <w:shd w:val="clear" w:color="auto" w:fill="auto"/>
          </w:tcPr>
          <w:p w14:paraId="5F6A0986"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8,00%</w:t>
            </w:r>
          </w:p>
        </w:tc>
      </w:tr>
      <w:tr w:rsidR="00733207" w14:paraId="5C27EA73" w14:textId="77777777">
        <w:trPr>
          <w:trHeight w:val="22"/>
          <w:jc w:val="center"/>
        </w:trPr>
        <w:tc>
          <w:tcPr>
            <w:tcW w:w="1329" w:type="dxa"/>
            <w:shd w:val="clear" w:color="auto" w:fill="auto"/>
            <w:noWrap/>
          </w:tcPr>
          <w:p w14:paraId="461D06C9"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4è</w:t>
            </w:r>
          </w:p>
        </w:tc>
        <w:tc>
          <w:tcPr>
            <w:tcW w:w="3261" w:type="dxa"/>
            <w:shd w:val="clear" w:color="auto" w:fill="auto"/>
          </w:tcPr>
          <w:p w14:paraId="629A3013"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FPR</w:t>
            </w:r>
          </w:p>
        </w:tc>
        <w:tc>
          <w:tcPr>
            <w:tcW w:w="1185" w:type="dxa"/>
            <w:shd w:val="clear" w:color="auto" w:fill="auto"/>
          </w:tcPr>
          <w:p w14:paraId="50333EB0"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4 1/3</w:t>
            </w:r>
          </w:p>
        </w:tc>
        <w:tc>
          <w:tcPr>
            <w:tcW w:w="1333" w:type="dxa"/>
            <w:shd w:val="clear" w:color="auto" w:fill="auto"/>
          </w:tcPr>
          <w:p w14:paraId="58F8D475"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5,82%</w:t>
            </w:r>
          </w:p>
        </w:tc>
        <w:tc>
          <w:tcPr>
            <w:tcW w:w="1131" w:type="dxa"/>
            <w:shd w:val="clear" w:color="auto" w:fill="auto"/>
          </w:tcPr>
          <w:p w14:paraId="5CFB6345"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8</w:t>
            </w:r>
          </w:p>
        </w:tc>
        <w:tc>
          <w:tcPr>
            <w:tcW w:w="1685" w:type="dxa"/>
            <w:shd w:val="clear" w:color="auto" w:fill="auto"/>
          </w:tcPr>
          <w:p w14:paraId="331C34F2"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6,40%</w:t>
            </w:r>
          </w:p>
        </w:tc>
      </w:tr>
      <w:tr w:rsidR="00733207" w14:paraId="4FBBFC67" w14:textId="77777777">
        <w:trPr>
          <w:trHeight w:val="22"/>
          <w:jc w:val="center"/>
        </w:trPr>
        <w:tc>
          <w:tcPr>
            <w:tcW w:w="1329" w:type="dxa"/>
            <w:shd w:val="clear" w:color="auto" w:fill="auto"/>
            <w:noWrap/>
          </w:tcPr>
          <w:p w14:paraId="025A2302"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5è</w:t>
            </w:r>
          </w:p>
        </w:tc>
        <w:tc>
          <w:tcPr>
            <w:tcW w:w="3261" w:type="dxa"/>
            <w:shd w:val="clear" w:color="auto" w:fill="auto"/>
          </w:tcPr>
          <w:p w14:paraId="56FDC669"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ADP</w:t>
            </w:r>
          </w:p>
        </w:tc>
        <w:tc>
          <w:tcPr>
            <w:tcW w:w="1185" w:type="dxa"/>
            <w:shd w:val="clear" w:color="auto" w:fill="auto"/>
          </w:tcPr>
          <w:p w14:paraId="60B19D4F"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4 1/3</w:t>
            </w:r>
          </w:p>
        </w:tc>
        <w:tc>
          <w:tcPr>
            <w:tcW w:w="1333" w:type="dxa"/>
            <w:shd w:val="clear" w:color="auto" w:fill="auto"/>
          </w:tcPr>
          <w:p w14:paraId="18ECD783"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5,82%</w:t>
            </w:r>
          </w:p>
        </w:tc>
        <w:tc>
          <w:tcPr>
            <w:tcW w:w="1131" w:type="dxa"/>
            <w:shd w:val="clear" w:color="auto" w:fill="auto"/>
          </w:tcPr>
          <w:p w14:paraId="51148113"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6</w:t>
            </w:r>
          </w:p>
        </w:tc>
        <w:tc>
          <w:tcPr>
            <w:tcW w:w="1685" w:type="dxa"/>
            <w:shd w:val="clear" w:color="auto" w:fill="auto"/>
          </w:tcPr>
          <w:p w14:paraId="1AA8907E"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4,80%</w:t>
            </w:r>
          </w:p>
        </w:tc>
      </w:tr>
      <w:tr w:rsidR="00733207" w14:paraId="674623A1" w14:textId="77777777">
        <w:trPr>
          <w:trHeight w:val="22"/>
          <w:jc w:val="center"/>
        </w:trPr>
        <w:tc>
          <w:tcPr>
            <w:tcW w:w="1329" w:type="dxa"/>
            <w:shd w:val="clear" w:color="auto" w:fill="auto"/>
            <w:noWrap/>
          </w:tcPr>
          <w:p w14:paraId="79CED1F5"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6è</w:t>
            </w:r>
          </w:p>
        </w:tc>
        <w:tc>
          <w:tcPr>
            <w:tcW w:w="3261" w:type="dxa"/>
            <w:shd w:val="clear" w:color="auto" w:fill="auto"/>
          </w:tcPr>
          <w:p w14:paraId="0E599C58"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UNDD</w:t>
            </w:r>
          </w:p>
        </w:tc>
        <w:tc>
          <w:tcPr>
            <w:tcW w:w="1185" w:type="dxa"/>
            <w:shd w:val="clear" w:color="auto" w:fill="auto"/>
          </w:tcPr>
          <w:p w14:paraId="1ECF84A8"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4    </w:t>
            </w:r>
          </w:p>
        </w:tc>
        <w:tc>
          <w:tcPr>
            <w:tcW w:w="1333" w:type="dxa"/>
            <w:shd w:val="clear" w:color="auto" w:fill="auto"/>
          </w:tcPr>
          <w:p w14:paraId="1A20ECB6"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5,48%</w:t>
            </w:r>
          </w:p>
        </w:tc>
        <w:tc>
          <w:tcPr>
            <w:tcW w:w="1131" w:type="dxa"/>
            <w:shd w:val="clear" w:color="auto" w:fill="auto"/>
          </w:tcPr>
          <w:p w14:paraId="7C25C71F"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w:t>
            </w:r>
          </w:p>
        </w:tc>
        <w:tc>
          <w:tcPr>
            <w:tcW w:w="1685" w:type="dxa"/>
            <w:shd w:val="clear" w:color="auto" w:fill="auto"/>
          </w:tcPr>
          <w:p w14:paraId="5054FBA1"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4,00%</w:t>
            </w:r>
          </w:p>
        </w:tc>
      </w:tr>
      <w:tr w:rsidR="00733207" w14:paraId="4ECB2737" w14:textId="77777777">
        <w:trPr>
          <w:trHeight w:val="22"/>
          <w:jc w:val="center"/>
        </w:trPr>
        <w:tc>
          <w:tcPr>
            <w:tcW w:w="1329" w:type="dxa"/>
            <w:shd w:val="clear" w:color="auto" w:fill="auto"/>
            <w:noWrap/>
          </w:tcPr>
          <w:p w14:paraId="08D1D705"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7è</w:t>
            </w:r>
          </w:p>
        </w:tc>
        <w:tc>
          <w:tcPr>
            <w:tcW w:w="3261" w:type="dxa"/>
            <w:shd w:val="clear" w:color="auto" w:fill="auto"/>
          </w:tcPr>
          <w:p w14:paraId="75329422"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APC</w:t>
            </w:r>
          </w:p>
        </w:tc>
        <w:tc>
          <w:tcPr>
            <w:tcW w:w="1185" w:type="dxa"/>
            <w:shd w:val="clear" w:color="auto" w:fill="auto"/>
          </w:tcPr>
          <w:p w14:paraId="3069DAD5"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4    </w:t>
            </w:r>
          </w:p>
        </w:tc>
        <w:tc>
          <w:tcPr>
            <w:tcW w:w="1333" w:type="dxa"/>
            <w:shd w:val="clear" w:color="auto" w:fill="auto"/>
          </w:tcPr>
          <w:p w14:paraId="67FCE83B"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5,37%</w:t>
            </w:r>
          </w:p>
        </w:tc>
        <w:tc>
          <w:tcPr>
            <w:tcW w:w="1131" w:type="dxa"/>
            <w:shd w:val="clear" w:color="auto" w:fill="auto"/>
          </w:tcPr>
          <w:p w14:paraId="6C660AE1"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8</w:t>
            </w:r>
          </w:p>
        </w:tc>
        <w:tc>
          <w:tcPr>
            <w:tcW w:w="1685" w:type="dxa"/>
            <w:shd w:val="clear" w:color="auto" w:fill="auto"/>
          </w:tcPr>
          <w:p w14:paraId="21BC45B6"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6,40%</w:t>
            </w:r>
          </w:p>
        </w:tc>
      </w:tr>
      <w:tr w:rsidR="00733207" w14:paraId="1E40FC81" w14:textId="77777777">
        <w:trPr>
          <w:trHeight w:val="22"/>
          <w:jc w:val="center"/>
        </w:trPr>
        <w:tc>
          <w:tcPr>
            <w:tcW w:w="1329" w:type="dxa"/>
            <w:shd w:val="clear" w:color="auto" w:fill="auto"/>
            <w:noWrap/>
          </w:tcPr>
          <w:p w14:paraId="62AC497C"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8è</w:t>
            </w:r>
          </w:p>
        </w:tc>
        <w:tc>
          <w:tcPr>
            <w:tcW w:w="3261" w:type="dxa"/>
            <w:shd w:val="clear" w:color="auto" w:fill="auto"/>
          </w:tcPr>
          <w:p w14:paraId="068C1874"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CDP</w:t>
            </w:r>
          </w:p>
        </w:tc>
        <w:tc>
          <w:tcPr>
            <w:tcW w:w="1185" w:type="dxa"/>
            <w:shd w:val="clear" w:color="auto" w:fill="auto"/>
          </w:tcPr>
          <w:p w14:paraId="4792DE07"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3 3/4</w:t>
            </w:r>
          </w:p>
        </w:tc>
        <w:tc>
          <w:tcPr>
            <w:tcW w:w="1333" w:type="dxa"/>
            <w:shd w:val="clear" w:color="auto" w:fill="auto"/>
          </w:tcPr>
          <w:p w14:paraId="685C7BBF"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5,06%</w:t>
            </w:r>
          </w:p>
        </w:tc>
        <w:tc>
          <w:tcPr>
            <w:tcW w:w="1131" w:type="dxa"/>
            <w:shd w:val="clear" w:color="auto" w:fill="auto"/>
          </w:tcPr>
          <w:p w14:paraId="3F0439FC"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7</w:t>
            </w:r>
          </w:p>
        </w:tc>
        <w:tc>
          <w:tcPr>
            <w:tcW w:w="1685" w:type="dxa"/>
            <w:shd w:val="clear" w:color="auto" w:fill="auto"/>
          </w:tcPr>
          <w:p w14:paraId="20314C18"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5,60%</w:t>
            </w:r>
          </w:p>
        </w:tc>
      </w:tr>
      <w:tr w:rsidR="00733207" w14:paraId="70CF05DE" w14:textId="77777777">
        <w:trPr>
          <w:trHeight w:val="537"/>
          <w:jc w:val="center"/>
        </w:trPr>
        <w:tc>
          <w:tcPr>
            <w:tcW w:w="1329" w:type="dxa"/>
            <w:shd w:val="clear" w:color="auto" w:fill="auto"/>
            <w:noWrap/>
          </w:tcPr>
          <w:p w14:paraId="3E2394CA"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9è</w:t>
            </w:r>
          </w:p>
        </w:tc>
        <w:tc>
          <w:tcPr>
            <w:tcW w:w="3261" w:type="dxa"/>
            <w:shd w:val="clear" w:color="auto" w:fill="auto"/>
          </w:tcPr>
          <w:p w14:paraId="760FDE80"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MAE</w:t>
            </w:r>
          </w:p>
        </w:tc>
        <w:tc>
          <w:tcPr>
            <w:tcW w:w="1185" w:type="dxa"/>
            <w:shd w:val="clear" w:color="auto" w:fill="auto"/>
          </w:tcPr>
          <w:p w14:paraId="59D7BB86"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3 1/6</w:t>
            </w:r>
          </w:p>
        </w:tc>
        <w:tc>
          <w:tcPr>
            <w:tcW w:w="1333" w:type="dxa"/>
            <w:shd w:val="clear" w:color="auto" w:fill="auto"/>
          </w:tcPr>
          <w:p w14:paraId="4441FA97"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4,24%</w:t>
            </w:r>
          </w:p>
        </w:tc>
        <w:tc>
          <w:tcPr>
            <w:tcW w:w="1131" w:type="dxa"/>
            <w:shd w:val="clear" w:color="auto" w:fill="auto"/>
          </w:tcPr>
          <w:p w14:paraId="323756D0"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4</w:t>
            </w:r>
          </w:p>
        </w:tc>
        <w:tc>
          <w:tcPr>
            <w:tcW w:w="1685" w:type="dxa"/>
            <w:shd w:val="clear" w:color="auto" w:fill="auto"/>
          </w:tcPr>
          <w:p w14:paraId="100A28E1"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3,20%</w:t>
            </w:r>
          </w:p>
        </w:tc>
      </w:tr>
      <w:tr w:rsidR="00733207" w14:paraId="21FC9920" w14:textId="77777777">
        <w:trPr>
          <w:trHeight w:val="22"/>
          <w:jc w:val="center"/>
        </w:trPr>
        <w:tc>
          <w:tcPr>
            <w:tcW w:w="1329" w:type="dxa"/>
            <w:shd w:val="clear" w:color="auto" w:fill="auto"/>
            <w:noWrap/>
          </w:tcPr>
          <w:p w14:paraId="51211673"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10è</w:t>
            </w:r>
          </w:p>
        </w:tc>
        <w:tc>
          <w:tcPr>
            <w:tcW w:w="3261" w:type="dxa"/>
            <w:shd w:val="clear" w:color="auto" w:fill="auto"/>
          </w:tcPr>
          <w:p w14:paraId="7D671CE7" w14:textId="77777777" w:rsidR="00733207" w:rsidRDefault="00912BAE">
            <w:pPr>
              <w:spacing w:before="120" w:after="12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MRB</w:t>
            </w:r>
          </w:p>
        </w:tc>
        <w:tc>
          <w:tcPr>
            <w:tcW w:w="1185" w:type="dxa"/>
            <w:shd w:val="clear" w:color="auto" w:fill="auto"/>
          </w:tcPr>
          <w:p w14:paraId="77CCD608" w14:textId="77777777" w:rsidR="00733207" w:rsidRDefault="00912BAE">
            <w:pPr>
              <w:spacing w:before="120" w:after="120" w:line="360" w:lineRule="auto"/>
              <w:jc w:val="both"/>
              <w:rPr>
                <w:rFonts w:ascii="Rockwell" w:eastAsia="Times New Roman" w:hAnsi="Rockwell"/>
                <w:sz w:val="24"/>
                <w:szCs w:val="24"/>
              </w:rPr>
            </w:pPr>
            <w:r>
              <w:rPr>
                <w:rFonts w:ascii="Rockwell" w:eastAsia="Times New Roman" w:hAnsi="Rockwell"/>
                <w:sz w:val="24"/>
                <w:szCs w:val="24"/>
              </w:rPr>
              <w:t>2 1/2</w:t>
            </w:r>
          </w:p>
        </w:tc>
        <w:tc>
          <w:tcPr>
            <w:tcW w:w="1333" w:type="dxa"/>
            <w:shd w:val="clear" w:color="auto" w:fill="auto"/>
          </w:tcPr>
          <w:p w14:paraId="083BE486" w14:textId="77777777" w:rsidR="00733207" w:rsidRDefault="00912BAE">
            <w:pPr>
              <w:spacing w:before="120" w:after="120" w:line="360" w:lineRule="auto"/>
              <w:jc w:val="both"/>
              <w:rPr>
                <w:rFonts w:ascii="Rockwell" w:eastAsia="Times New Roman" w:hAnsi="Rockwell"/>
                <w:sz w:val="24"/>
                <w:szCs w:val="24"/>
              </w:rPr>
            </w:pPr>
            <w:r>
              <w:rPr>
                <w:rFonts w:ascii="Rockwell" w:eastAsia="Times New Roman" w:hAnsi="Rockwell"/>
                <w:sz w:val="24"/>
                <w:szCs w:val="24"/>
              </w:rPr>
              <w:t>3,36%</w:t>
            </w:r>
          </w:p>
        </w:tc>
        <w:tc>
          <w:tcPr>
            <w:tcW w:w="1131" w:type="dxa"/>
            <w:shd w:val="clear" w:color="auto" w:fill="auto"/>
          </w:tcPr>
          <w:p w14:paraId="7CBAA6A4" w14:textId="77777777" w:rsidR="00733207" w:rsidRDefault="00912BAE">
            <w:pPr>
              <w:spacing w:before="120" w:after="120" w:line="360" w:lineRule="auto"/>
              <w:jc w:val="both"/>
              <w:rPr>
                <w:rFonts w:ascii="Rockwell" w:eastAsia="Times New Roman" w:hAnsi="Rockwell"/>
                <w:sz w:val="24"/>
                <w:szCs w:val="24"/>
              </w:rPr>
            </w:pPr>
            <w:r>
              <w:rPr>
                <w:rFonts w:ascii="Rockwell" w:eastAsia="Times New Roman" w:hAnsi="Rockwell"/>
                <w:sz w:val="24"/>
                <w:szCs w:val="24"/>
              </w:rPr>
              <w:t>3</w:t>
            </w:r>
          </w:p>
        </w:tc>
        <w:tc>
          <w:tcPr>
            <w:tcW w:w="1685" w:type="dxa"/>
            <w:shd w:val="clear" w:color="auto" w:fill="auto"/>
          </w:tcPr>
          <w:p w14:paraId="1F97EA1A" w14:textId="77777777" w:rsidR="00733207" w:rsidRDefault="00912BAE">
            <w:pPr>
              <w:spacing w:before="120" w:after="120" w:line="360" w:lineRule="auto"/>
              <w:jc w:val="both"/>
              <w:rPr>
                <w:rFonts w:ascii="Rockwell" w:eastAsia="Times New Roman" w:hAnsi="Rockwell"/>
                <w:sz w:val="24"/>
                <w:szCs w:val="24"/>
              </w:rPr>
            </w:pPr>
            <w:r>
              <w:rPr>
                <w:rFonts w:ascii="Rockwell" w:eastAsia="Times New Roman" w:hAnsi="Rockwell"/>
                <w:sz w:val="24"/>
                <w:szCs w:val="24"/>
              </w:rPr>
              <w:t>2,40%</w:t>
            </w:r>
          </w:p>
        </w:tc>
      </w:tr>
    </w:tbl>
    <w:p w14:paraId="728B2482" w14:textId="77777777" w:rsidR="00733207" w:rsidRDefault="00912BAE">
      <w:pPr>
        <w:spacing w:before="120" w:after="120" w:line="360" w:lineRule="auto"/>
        <w:ind w:left="-142"/>
        <w:jc w:val="both"/>
        <w:rPr>
          <w:rFonts w:ascii="Rockwell" w:hAnsi="Rockwell"/>
          <w:i/>
          <w:color w:val="000000" w:themeColor="text1"/>
        </w:r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11A78919" w14:textId="77777777" w:rsidR="00733207" w:rsidRDefault="00733207">
      <w:pPr>
        <w:spacing w:before="120" w:after="120" w:line="360" w:lineRule="auto"/>
        <w:jc w:val="both"/>
        <w:rPr>
          <w:rFonts w:ascii="Rockwell" w:hAnsi="Rockwell"/>
          <w:i/>
          <w:color w:val="000000" w:themeColor="text1"/>
          <w:sz w:val="18"/>
          <w:szCs w:val="18"/>
        </w:rPr>
        <w:sectPr w:rsidR="00733207">
          <w:pgSz w:w="11906" w:h="16838"/>
          <w:pgMar w:top="1418" w:right="851" w:bottom="1560" w:left="1560" w:header="426" w:footer="567" w:gutter="0"/>
          <w:cols w:space="708"/>
          <w:docGrid w:linePitch="360"/>
        </w:sectPr>
      </w:pPr>
    </w:p>
    <w:p w14:paraId="4A811D6B" w14:textId="77777777" w:rsidR="00733207" w:rsidRDefault="00912BAE">
      <w:pPr>
        <w:spacing w:before="120" w:after="120" w:line="240" w:lineRule="auto"/>
        <w:ind w:left="284"/>
        <w:jc w:val="center"/>
        <w:rPr>
          <w:rFonts w:ascii="Rockwell" w:hAnsi="Rockwell"/>
          <w:i/>
          <w:szCs w:val="18"/>
        </w:rPr>
      </w:pPr>
      <w:r>
        <w:rPr>
          <w:rFonts w:ascii="Rockwell" w:hAnsi="Rockwell"/>
          <w:b/>
          <w:i/>
          <w:szCs w:val="18"/>
          <w:u w:val="single"/>
        </w:rPr>
        <w:lastRenderedPageBreak/>
        <w:t>Graphique n° 1</w:t>
      </w:r>
      <w:r>
        <w:rPr>
          <w:rFonts w:ascii="Rockwell" w:hAnsi="Rockwell"/>
          <w:b/>
          <w:i/>
          <w:szCs w:val="18"/>
        </w:rPr>
        <w:t> </w:t>
      </w:r>
      <w:r>
        <w:rPr>
          <w:rFonts w:ascii="Rockwell" w:hAnsi="Rockwell"/>
          <w:i/>
          <w:szCs w:val="18"/>
        </w:rPr>
        <w:t>: Représentation des dix premiers partis politiques selon le NP et le NI publiés dans les quotidiens</w:t>
      </w:r>
    </w:p>
    <w:p w14:paraId="56526C62" w14:textId="77777777" w:rsidR="00733207" w:rsidRDefault="00733207">
      <w:pPr>
        <w:spacing w:before="120" w:after="120" w:line="360" w:lineRule="auto"/>
        <w:ind w:left="720"/>
        <w:jc w:val="both"/>
        <w:rPr>
          <w:rFonts w:ascii="Rockwell" w:hAnsi="Rockwell"/>
          <w:b/>
          <w:sz w:val="10"/>
          <w:szCs w:val="10"/>
          <w:u w:val="single"/>
        </w:rPr>
      </w:pPr>
    </w:p>
    <w:p w14:paraId="3314D5A0" w14:textId="77777777" w:rsidR="00733207" w:rsidRDefault="00912BAE">
      <w:pPr>
        <w:spacing w:before="120" w:after="120" w:line="360" w:lineRule="auto"/>
        <w:ind w:left="284" w:right="564"/>
        <w:jc w:val="both"/>
        <w:rPr>
          <w:rFonts w:ascii="Rockwell" w:eastAsia="Times New Roman" w:hAnsi="Rockwell"/>
          <w:b/>
          <w:sz w:val="26"/>
          <w:szCs w:val="26"/>
        </w:rPr>
      </w:pPr>
      <w:r>
        <w:rPr>
          <w:rFonts w:ascii="Rockwell" w:hAnsi="Rockwell"/>
          <w:noProof/>
          <w:sz w:val="26"/>
          <w:szCs w:val="26"/>
          <w:lang w:eastAsia="fr-FR"/>
        </w:rPr>
        <w:drawing>
          <wp:inline distT="0" distB="0" distL="0" distR="0" wp14:anchorId="7A67AE79" wp14:editId="769D4BCB">
            <wp:extent cx="5494020" cy="3064510"/>
            <wp:effectExtent l="0" t="0" r="11430" b="2540"/>
            <wp:docPr id="30" name="Graphique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15435CA" w14:textId="77777777" w:rsidR="00733207" w:rsidRDefault="00733207">
      <w:pPr>
        <w:spacing w:before="120" w:after="120" w:line="360" w:lineRule="auto"/>
        <w:ind w:left="720" w:right="564"/>
        <w:jc w:val="both"/>
        <w:rPr>
          <w:rFonts w:ascii="Rockwell" w:eastAsia="Times New Roman" w:hAnsi="Rockwell"/>
          <w:b/>
          <w:sz w:val="26"/>
          <w:szCs w:val="26"/>
        </w:rPr>
      </w:pPr>
    </w:p>
    <w:p w14:paraId="56A057FB" w14:textId="77777777" w:rsidR="00733207" w:rsidRDefault="00733207">
      <w:pPr>
        <w:spacing w:before="120" w:after="120" w:line="360" w:lineRule="auto"/>
        <w:ind w:left="720"/>
        <w:jc w:val="both"/>
        <w:rPr>
          <w:rFonts w:ascii="Rockwell" w:eastAsia="Times New Roman" w:hAnsi="Rockwell"/>
          <w:b/>
          <w:sz w:val="10"/>
          <w:szCs w:val="10"/>
        </w:rPr>
      </w:pPr>
    </w:p>
    <w:p w14:paraId="605C0A9A" w14:textId="77777777" w:rsidR="00733207" w:rsidRDefault="00912BAE">
      <w:pPr>
        <w:pStyle w:val="Titre6"/>
        <w:numPr>
          <w:ilvl w:val="0"/>
          <w:numId w:val="22"/>
        </w:numPr>
        <w:jc w:val="center"/>
        <w:rPr>
          <w:rFonts w:ascii="Rockwell" w:hAnsi="Rockwell"/>
          <w:b/>
          <w:i/>
          <w:color w:val="auto"/>
          <w:sz w:val="24"/>
          <w:szCs w:val="24"/>
        </w:rPr>
      </w:pPr>
      <w:bookmarkStart w:id="255" w:name="_Toc161320216"/>
      <w:bookmarkStart w:id="256" w:name="_Toc175128492"/>
      <w:r>
        <w:rPr>
          <w:rFonts w:ascii="Rockwell" w:hAnsi="Rockwell"/>
          <w:b/>
          <w:i/>
          <w:color w:val="auto"/>
          <w:sz w:val="24"/>
          <w:szCs w:val="24"/>
        </w:rPr>
        <w:t>Classement des acteurs sociopolitiques</w:t>
      </w:r>
      <w:bookmarkEnd w:id="255"/>
      <w:r>
        <w:rPr>
          <w:rFonts w:ascii="Rockwell" w:hAnsi="Rockwell"/>
          <w:b/>
          <w:i/>
          <w:color w:val="auto"/>
          <w:sz w:val="24"/>
          <w:szCs w:val="24"/>
        </w:rPr>
        <w:t xml:space="preserve"> selon les NP et NI obtenus dans les Quotidiens</w:t>
      </w:r>
      <w:bookmarkEnd w:id="256"/>
    </w:p>
    <w:p w14:paraId="460FAEA8" w14:textId="77777777" w:rsidR="00733207" w:rsidRDefault="00733207">
      <w:pPr>
        <w:pStyle w:val="Paragraphedeliste"/>
        <w:jc w:val="both"/>
        <w:rPr>
          <w:rFonts w:ascii="Rockwell" w:hAnsi="Rockwell"/>
        </w:rPr>
      </w:pPr>
    </w:p>
    <w:p w14:paraId="62AC2E68" w14:textId="77777777" w:rsidR="00733207" w:rsidRDefault="00912BAE">
      <w:pPr>
        <w:spacing w:before="120" w:after="120" w:line="360" w:lineRule="auto"/>
        <w:ind w:left="284"/>
        <w:jc w:val="center"/>
        <w:rPr>
          <w:rFonts w:ascii="Rockwell" w:hAnsi="Rockwell"/>
          <w:i/>
        </w:rPr>
      </w:pPr>
      <w:r>
        <w:rPr>
          <w:rFonts w:ascii="Rockwell" w:hAnsi="Rockwell"/>
          <w:b/>
          <w:i/>
          <w:u w:val="single"/>
        </w:rPr>
        <w:t>Tableau n°2 :</w:t>
      </w:r>
      <w:r>
        <w:rPr>
          <w:rFonts w:ascii="Rockwell" w:hAnsi="Rockwell"/>
          <w:i/>
          <w:u w:val="single"/>
        </w:rPr>
        <w:t xml:space="preserve"> </w:t>
      </w:r>
      <w:r>
        <w:rPr>
          <w:rFonts w:ascii="Rockwell" w:hAnsi="Rockwell"/>
          <w:i/>
        </w:rPr>
        <w:t>Classement des six acteurs sociopolitiques selon le NP et le NI publiés dans les Quotidiens</w:t>
      </w:r>
    </w:p>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0"/>
        <w:gridCol w:w="1411"/>
        <w:gridCol w:w="1498"/>
        <w:gridCol w:w="1048"/>
        <w:gridCol w:w="1499"/>
      </w:tblGrid>
      <w:tr w:rsidR="00733207" w14:paraId="07C42898" w14:textId="77777777">
        <w:trPr>
          <w:trHeight w:val="111"/>
          <w:jc w:val="center"/>
        </w:trPr>
        <w:tc>
          <w:tcPr>
            <w:tcW w:w="4430" w:type="dxa"/>
            <w:shd w:val="clear" w:color="auto" w:fill="auto"/>
          </w:tcPr>
          <w:p w14:paraId="027D41A6"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ACTEURS SOCIOPOLITIQUES</w:t>
            </w:r>
          </w:p>
        </w:tc>
        <w:tc>
          <w:tcPr>
            <w:tcW w:w="1411" w:type="dxa"/>
            <w:shd w:val="clear" w:color="auto" w:fill="auto"/>
          </w:tcPr>
          <w:p w14:paraId="1A4C2611"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NP</w:t>
            </w:r>
          </w:p>
        </w:tc>
        <w:tc>
          <w:tcPr>
            <w:tcW w:w="1498" w:type="dxa"/>
            <w:shd w:val="clear" w:color="auto" w:fill="auto"/>
          </w:tcPr>
          <w:p w14:paraId="765D2CD2"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NP</w:t>
            </w:r>
          </w:p>
        </w:tc>
        <w:tc>
          <w:tcPr>
            <w:tcW w:w="1048" w:type="dxa"/>
            <w:shd w:val="clear" w:color="auto" w:fill="auto"/>
          </w:tcPr>
          <w:p w14:paraId="6F8D728A"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NI</w:t>
            </w:r>
          </w:p>
        </w:tc>
        <w:tc>
          <w:tcPr>
            <w:tcW w:w="1499" w:type="dxa"/>
            <w:shd w:val="clear" w:color="auto" w:fill="auto"/>
          </w:tcPr>
          <w:p w14:paraId="20701AE3"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NI</w:t>
            </w:r>
          </w:p>
        </w:tc>
      </w:tr>
      <w:tr w:rsidR="00733207" w14:paraId="00863A38" w14:textId="77777777">
        <w:trPr>
          <w:trHeight w:val="111"/>
          <w:jc w:val="center"/>
        </w:trPr>
        <w:tc>
          <w:tcPr>
            <w:tcW w:w="4430" w:type="dxa"/>
            <w:shd w:val="clear" w:color="auto" w:fill="auto"/>
          </w:tcPr>
          <w:p w14:paraId="0B56168E"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Gouvernement</w:t>
            </w:r>
          </w:p>
        </w:tc>
        <w:tc>
          <w:tcPr>
            <w:tcW w:w="1411" w:type="dxa"/>
            <w:shd w:val="clear" w:color="auto" w:fill="auto"/>
          </w:tcPr>
          <w:p w14:paraId="00ABF612"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380 1/2</w:t>
            </w:r>
          </w:p>
        </w:tc>
        <w:tc>
          <w:tcPr>
            <w:tcW w:w="1498" w:type="dxa"/>
            <w:shd w:val="clear" w:color="auto" w:fill="auto"/>
          </w:tcPr>
          <w:p w14:paraId="600BB1A8"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50,28%</w:t>
            </w:r>
          </w:p>
        </w:tc>
        <w:tc>
          <w:tcPr>
            <w:tcW w:w="1048" w:type="dxa"/>
            <w:shd w:val="clear" w:color="auto" w:fill="auto"/>
          </w:tcPr>
          <w:p w14:paraId="3BAB5ED0"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1005</w:t>
            </w:r>
          </w:p>
        </w:tc>
        <w:tc>
          <w:tcPr>
            <w:tcW w:w="1499" w:type="dxa"/>
            <w:shd w:val="clear" w:color="auto" w:fill="auto"/>
          </w:tcPr>
          <w:p w14:paraId="38611C44"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52,56%</w:t>
            </w:r>
          </w:p>
        </w:tc>
      </w:tr>
      <w:tr w:rsidR="00733207" w14:paraId="670B0269" w14:textId="77777777">
        <w:trPr>
          <w:trHeight w:val="68"/>
          <w:jc w:val="center"/>
        </w:trPr>
        <w:tc>
          <w:tcPr>
            <w:tcW w:w="4430" w:type="dxa"/>
            <w:shd w:val="clear" w:color="auto" w:fill="auto"/>
          </w:tcPr>
          <w:p w14:paraId="38741DD5"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OSC</w:t>
            </w:r>
          </w:p>
        </w:tc>
        <w:tc>
          <w:tcPr>
            <w:tcW w:w="1411" w:type="dxa"/>
            <w:shd w:val="clear" w:color="auto" w:fill="auto"/>
          </w:tcPr>
          <w:p w14:paraId="59A943A7"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123 1/2</w:t>
            </w:r>
          </w:p>
        </w:tc>
        <w:tc>
          <w:tcPr>
            <w:tcW w:w="1498" w:type="dxa"/>
            <w:shd w:val="clear" w:color="auto" w:fill="auto"/>
          </w:tcPr>
          <w:p w14:paraId="4D9549B7"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16,32%</w:t>
            </w:r>
          </w:p>
        </w:tc>
        <w:tc>
          <w:tcPr>
            <w:tcW w:w="1048" w:type="dxa"/>
            <w:shd w:val="clear" w:color="auto" w:fill="auto"/>
          </w:tcPr>
          <w:p w14:paraId="7339C878"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327</w:t>
            </w:r>
          </w:p>
        </w:tc>
        <w:tc>
          <w:tcPr>
            <w:tcW w:w="1499" w:type="dxa"/>
            <w:shd w:val="clear" w:color="auto" w:fill="auto"/>
          </w:tcPr>
          <w:p w14:paraId="0ACC9F61"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17,10%</w:t>
            </w:r>
          </w:p>
        </w:tc>
      </w:tr>
      <w:tr w:rsidR="00733207" w14:paraId="28A8B6AE" w14:textId="77777777">
        <w:trPr>
          <w:trHeight w:val="111"/>
          <w:jc w:val="center"/>
        </w:trPr>
        <w:tc>
          <w:tcPr>
            <w:tcW w:w="4430" w:type="dxa"/>
            <w:shd w:val="clear" w:color="auto" w:fill="auto"/>
          </w:tcPr>
          <w:p w14:paraId="2C685C80"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Présidence du Faso</w:t>
            </w:r>
          </w:p>
        </w:tc>
        <w:tc>
          <w:tcPr>
            <w:tcW w:w="1411" w:type="dxa"/>
            <w:shd w:val="clear" w:color="auto" w:fill="auto"/>
          </w:tcPr>
          <w:p w14:paraId="3AB1529F"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80</w:t>
            </w:r>
          </w:p>
        </w:tc>
        <w:tc>
          <w:tcPr>
            <w:tcW w:w="1498" w:type="dxa"/>
            <w:shd w:val="clear" w:color="auto" w:fill="auto"/>
          </w:tcPr>
          <w:p w14:paraId="3FBB7979"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10,57%</w:t>
            </w:r>
          </w:p>
        </w:tc>
        <w:tc>
          <w:tcPr>
            <w:tcW w:w="1048" w:type="dxa"/>
            <w:shd w:val="clear" w:color="auto" w:fill="auto"/>
          </w:tcPr>
          <w:p w14:paraId="162FFD63"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187</w:t>
            </w:r>
          </w:p>
        </w:tc>
        <w:tc>
          <w:tcPr>
            <w:tcW w:w="1499" w:type="dxa"/>
            <w:shd w:val="clear" w:color="auto" w:fill="auto"/>
          </w:tcPr>
          <w:p w14:paraId="4A187E0E"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9,78%</w:t>
            </w:r>
          </w:p>
        </w:tc>
      </w:tr>
      <w:tr w:rsidR="00733207" w14:paraId="42B3A22E" w14:textId="77777777">
        <w:trPr>
          <w:trHeight w:val="111"/>
          <w:jc w:val="center"/>
        </w:trPr>
        <w:tc>
          <w:tcPr>
            <w:tcW w:w="4430" w:type="dxa"/>
            <w:shd w:val="clear" w:color="auto" w:fill="auto"/>
          </w:tcPr>
          <w:p w14:paraId="6B74F1A6"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ALT</w:t>
            </w:r>
          </w:p>
        </w:tc>
        <w:tc>
          <w:tcPr>
            <w:tcW w:w="1411" w:type="dxa"/>
            <w:shd w:val="clear" w:color="auto" w:fill="auto"/>
          </w:tcPr>
          <w:p w14:paraId="00674F3D"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65</w:t>
            </w:r>
          </w:p>
        </w:tc>
        <w:tc>
          <w:tcPr>
            <w:tcW w:w="1498" w:type="dxa"/>
            <w:shd w:val="clear" w:color="auto" w:fill="auto"/>
          </w:tcPr>
          <w:p w14:paraId="16579A39"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8,59%</w:t>
            </w:r>
          </w:p>
        </w:tc>
        <w:tc>
          <w:tcPr>
            <w:tcW w:w="1048" w:type="dxa"/>
            <w:shd w:val="clear" w:color="auto" w:fill="auto"/>
          </w:tcPr>
          <w:p w14:paraId="39C445FD"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160</w:t>
            </w:r>
          </w:p>
        </w:tc>
        <w:tc>
          <w:tcPr>
            <w:tcW w:w="1499" w:type="dxa"/>
            <w:shd w:val="clear" w:color="auto" w:fill="auto"/>
          </w:tcPr>
          <w:p w14:paraId="39BDD57B"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8,37%</w:t>
            </w:r>
          </w:p>
        </w:tc>
      </w:tr>
      <w:tr w:rsidR="00733207" w14:paraId="1A975234" w14:textId="77777777">
        <w:trPr>
          <w:trHeight w:val="111"/>
          <w:jc w:val="center"/>
        </w:trPr>
        <w:tc>
          <w:tcPr>
            <w:tcW w:w="4430" w:type="dxa"/>
            <w:shd w:val="clear" w:color="auto" w:fill="auto"/>
          </w:tcPr>
          <w:p w14:paraId="00619808"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Autres Institutions</w:t>
            </w:r>
          </w:p>
        </w:tc>
        <w:tc>
          <w:tcPr>
            <w:tcW w:w="1411" w:type="dxa"/>
            <w:shd w:val="clear" w:color="auto" w:fill="auto"/>
          </w:tcPr>
          <w:p w14:paraId="3B120BCD"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63 1/3</w:t>
            </w:r>
          </w:p>
        </w:tc>
        <w:tc>
          <w:tcPr>
            <w:tcW w:w="1498" w:type="dxa"/>
            <w:shd w:val="clear" w:color="auto" w:fill="auto"/>
          </w:tcPr>
          <w:p w14:paraId="3E5B8759"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8,37%</w:t>
            </w:r>
          </w:p>
        </w:tc>
        <w:tc>
          <w:tcPr>
            <w:tcW w:w="1048" w:type="dxa"/>
            <w:shd w:val="clear" w:color="auto" w:fill="auto"/>
          </w:tcPr>
          <w:p w14:paraId="58643B52"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160</w:t>
            </w:r>
          </w:p>
        </w:tc>
        <w:tc>
          <w:tcPr>
            <w:tcW w:w="1499" w:type="dxa"/>
            <w:shd w:val="clear" w:color="auto" w:fill="auto"/>
          </w:tcPr>
          <w:p w14:paraId="18449866"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8,37%</w:t>
            </w:r>
          </w:p>
        </w:tc>
      </w:tr>
      <w:tr w:rsidR="00733207" w14:paraId="2E06E6B2" w14:textId="77777777">
        <w:trPr>
          <w:trHeight w:val="111"/>
          <w:jc w:val="center"/>
        </w:trPr>
        <w:tc>
          <w:tcPr>
            <w:tcW w:w="4430" w:type="dxa"/>
            <w:shd w:val="clear" w:color="auto" w:fill="auto"/>
          </w:tcPr>
          <w:p w14:paraId="3A3963DE"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Partis politiques</w:t>
            </w:r>
          </w:p>
        </w:tc>
        <w:tc>
          <w:tcPr>
            <w:tcW w:w="1411" w:type="dxa"/>
            <w:shd w:val="clear" w:color="auto" w:fill="auto"/>
          </w:tcPr>
          <w:p w14:paraId="46B9005C"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44 2/5</w:t>
            </w:r>
          </w:p>
        </w:tc>
        <w:tc>
          <w:tcPr>
            <w:tcW w:w="1498" w:type="dxa"/>
            <w:shd w:val="clear" w:color="auto" w:fill="auto"/>
          </w:tcPr>
          <w:p w14:paraId="424F928D"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5,87%</w:t>
            </w:r>
          </w:p>
        </w:tc>
        <w:tc>
          <w:tcPr>
            <w:tcW w:w="1048" w:type="dxa"/>
            <w:shd w:val="clear" w:color="auto" w:fill="auto"/>
          </w:tcPr>
          <w:p w14:paraId="01B60FDB" w14:textId="77777777" w:rsidR="00733207" w:rsidRDefault="00912BAE">
            <w:pPr>
              <w:spacing w:after="0" w:line="360" w:lineRule="auto"/>
              <w:jc w:val="both"/>
              <w:rPr>
                <w:rFonts w:ascii="Rockwell" w:eastAsia="Times New Roman" w:hAnsi="Rockwell"/>
                <w:bCs/>
                <w:color w:val="000000"/>
                <w:sz w:val="24"/>
                <w:szCs w:val="24"/>
              </w:rPr>
            </w:pPr>
            <w:r>
              <w:rPr>
                <w:rFonts w:ascii="Rockwell" w:eastAsia="Times New Roman" w:hAnsi="Rockwell"/>
                <w:bCs/>
                <w:color w:val="000000"/>
                <w:sz w:val="24"/>
                <w:szCs w:val="24"/>
              </w:rPr>
              <w:t>73</w:t>
            </w:r>
          </w:p>
        </w:tc>
        <w:tc>
          <w:tcPr>
            <w:tcW w:w="1499" w:type="dxa"/>
            <w:shd w:val="clear" w:color="auto" w:fill="auto"/>
          </w:tcPr>
          <w:p w14:paraId="408AF5DD"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3,82%</w:t>
            </w:r>
          </w:p>
        </w:tc>
      </w:tr>
      <w:tr w:rsidR="00733207" w14:paraId="4F3CF2A7" w14:textId="77777777">
        <w:trPr>
          <w:trHeight w:val="111"/>
          <w:jc w:val="center"/>
        </w:trPr>
        <w:tc>
          <w:tcPr>
            <w:tcW w:w="4430" w:type="dxa"/>
            <w:shd w:val="clear" w:color="auto" w:fill="auto"/>
          </w:tcPr>
          <w:p w14:paraId="59CD091D"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TOTAL</w:t>
            </w:r>
          </w:p>
        </w:tc>
        <w:tc>
          <w:tcPr>
            <w:tcW w:w="1411" w:type="dxa"/>
            <w:shd w:val="clear" w:color="auto" w:fill="auto"/>
          </w:tcPr>
          <w:p w14:paraId="29E37E32"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756 4/5</w:t>
            </w:r>
          </w:p>
        </w:tc>
        <w:tc>
          <w:tcPr>
            <w:tcW w:w="1498" w:type="dxa"/>
            <w:shd w:val="clear" w:color="auto" w:fill="auto"/>
          </w:tcPr>
          <w:p w14:paraId="176D03C8" w14:textId="77777777" w:rsidR="00733207" w:rsidRDefault="00912BAE">
            <w:pPr>
              <w:spacing w:after="0" w:line="360" w:lineRule="auto"/>
              <w:jc w:val="both"/>
              <w:rPr>
                <w:rFonts w:ascii="Rockwell" w:eastAsia="Times New Roman" w:hAnsi="Rockwell"/>
                <w:b/>
                <w:color w:val="000000"/>
                <w:sz w:val="24"/>
                <w:szCs w:val="24"/>
              </w:rPr>
            </w:pPr>
            <w:r>
              <w:rPr>
                <w:rFonts w:ascii="Rockwell" w:eastAsia="Times New Roman" w:hAnsi="Rockwell"/>
                <w:b/>
                <w:color w:val="000000"/>
                <w:sz w:val="24"/>
                <w:szCs w:val="24"/>
              </w:rPr>
              <w:t>100,00%</w:t>
            </w:r>
          </w:p>
        </w:tc>
        <w:tc>
          <w:tcPr>
            <w:tcW w:w="1048" w:type="dxa"/>
            <w:shd w:val="clear" w:color="auto" w:fill="auto"/>
          </w:tcPr>
          <w:p w14:paraId="4C36CB4C"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1912</w:t>
            </w:r>
          </w:p>
        </w:tc>
        <w:tc>
          <w:tcPr>
            <w:tcW w:w="1499" w:type="dxa"/>
            <w:shd w:val="clear" w:color="auto" w:fill="auto"/>
          </w:tcPr>
          <w:p w14:paraId="6D2212ED"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100,00%</w:t>
            </w:r>
          </w:p>
        </w:tc>
      </w:tr>
    </w:tbl>
    <w:p w14:paraId="7035C183" w14:textId="77777777" w:rsidR="00733207" w:rsidRDefault="00912BAE">
      <w:pPr>
        <w:spacing w:before="120" w:after="120" w:line="360" w:lineRule="auto"/>
        <w:ind w:hanging="425"/>
        <w:jc w:val="both"/>
        <w:rPr>
          <w:rFonts w:ascii="Rockwell" w:hAnsi="Rockwell"/>
          <w:i/>
          <w:color w:val="000000" w:themeColor="text1"/>
        </w:rPr>
      </w:pPr>
      <w:r>
        <w:rPr>
          <w:rFonts w:ascii="Rockwell" w:hAnsi="Rockwell"/>
          <w:b/>
          <w:sz w:val="26"/>
          <w:szCs w:val="26"/>
        </w:rPr>
        <w:tab/>
      </w: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594DBE6B" w14:textId="77777777" w:rsidR="00733207" w:rsidRDefault="00912BAE">
      <w:pPr>
        <w:spacing w:before="120" w:after="120" w:line="360" w:lineRule="auto"/>
        <w:ind w:left="709" w:hanging="425"/>
        <w:jc w:val="center"/>
        <w:rPr>
          <w:rFonts w:ascii="Rockwell" w:hAnsi="Rockwell"/>
          <w:i/>
          <w:szCs w:val="18"/>
        </w:rPr>
      </w:pPr>
      <w:r>
        <w:rPr>
          <w:rFonts w:ascii="Rockwell" w:hAnsi="Rockwell"/>
          <w:sz w:val="26"/>
          <w:szCs w:val="26"/>
        </w:rPr>
        <w:br w:type="page"/>
      </w:r>
      <w:r>
        <w:rPr>
          <w:rFonts w:ascii="Rockwell" w:hAnsi="Rockwell"/>
          <w:b/>
          <w:i/>
          <w:szCs w:val="18"/>
          <w:u w:val="single"/>
        </w:rPr>
        <w:lastRenderedPageBreak/>
        <w:t>Graphique n °2</w:t>
      </w:r>
      <w:r>
        <w:rPr>
          <w:rFonts w:ascii="Rockwell" w:hAnsi="Rockwell"/>
          <w:b/>
          <w:i/>
          <w:szCs w:val="18"/>
        </w:rPr>
        <w:t xml:space="preserve"> : </w:t>
      </w:r>
      <w:r>
        <w:rPr>
          <w:rFonts w:ascii="Rockwell" w:hAnsi="Rockwell"/>
          <w:i/>
          <w:szCs w:val="18"/>
        </w:rPr>
        <w:t>Représentation des six (06) acteurs politiques selon le NP et le NI publiés dans les quotidiens</w:t>
      </w:r>
    </w:p>
    <w:p w14:paraId="168EE438" w14:textId="77777777" w:rsidR="00733207" w:rsidRDefault="00733207">
      <w:pPr>
        <w:spacing w:before="120" w:after="120" w:line="360" w:lineRule="auto"/>
        <w:ind w:left="142" w:hanging="284"/>
        <w:jc w:val="both"/>
        <w:rPr>
          <w:rFonts w:ascii="Rockwell" w:hAnsi="Rockwell"/>
          <w:i/>
          <w:color w:val="000000" w:themeColor="text1"/>
          <w:sz w:val="18"/>
          <w:szCs w:val="18"/>
        </w:rPr>
      </w:pPr>
    </w:p>
    <w:p w14:paraId="02D5E78D" w14:textId="77777777" w:rsidR="00733207" w:rsidRDefault="00912BAE">
      <w:pPr>
        <w:spacing w:before="120" w:after="120" w:line="360" w:lineRule="auto"/>
        <w:ind w:left="-142"/>
        <w:jc w:val="both"/>
        <w:rPr>
          <w:rFonts w:ascii="Rockwell" w:eastAsia="Times New Roman" w:hAnsi="Rockwell"/>
          <w:b/>
          <w:color w:val="FF0000"/>
          <w:sz w:val="26"/>
          <w:szCs w:val="26"/>
        </w:rPr>
      </w:pPr>
      <w:r>
        <w:rPr>
          <w:rFonts w:ascii="Rockwell" w:hAnsi="Rockwell"/>
          <w:noProof/>
          <w:sz w:val="26"/>
          <w:szCs w:val="26"/>
          <w:lang w:eastAsia="fr-FR"/>
        </w:rPr>
        <w:drawing>
          <wp:inline distT="0" distB="0" distL="0" distR="0" wp14:anchorId="0B71A40F" wp14:editId="21AF89ED">
            <wp:extent cx="5695950" cy="4467225"/>
            <wp:effectExtent l="0" t="0" r="0" b="9525"/>
            <wp:docPr id="44" name="Graphique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320D055" w14:textId="77777777" w:rsidR="00733207" w:rsidRDefault="00733207">
      <w:pPr>
        <w:spacing w:before="120" w:after="120" w:line="360" w:lineRule="auto"/>
        <w:ind w:left="-142"/>
        <w:jc w:val="both"/>
        <w:rPr>
          <w:rFonts w:ascii="Rockwell" w:eastAsia="Times New Roman" w:hAnsi="Rockwell"/>
          <w:b/>
          <w:color w:val="FF0000"/>
          <w:sz w:val="26"/>
          <w:szCs w:val="26"/>
        </w:rPr>
      </w:pPr>
    </w:p>
    <w:p w14:paraId="2081D086" w14:textId="77777777" w:rsidR="00733207" w:rsidRDefault="00733207">
      <w:pPr>
        <w:spacing w:before="120" w:after="120" w:line="360" w:lineRule="auto"/>
        <w:ind w:left="-142"/>
        <w:jc w:val="both"/>
        <w:rPr>
          <w:rFonts w:ascii="Rockwell" w:eastAsia="Times New Roman" w:hAnsi="Rockwell"/>
          <w:b/>
          <w:color w:val="FF0000"/>
          <w:sz w:val="26"/>
          <w:szCs w:val="26"/>
        </w:rPr>
        <w:sectPr w:rsidR="00733207">
          <w:pgSz w:w="11906" w:h="16838"/>
          <w:pgMar w:top="1418" w:right="851" w:bottom="1560" w:left="1560" w:header="426" w:footer="567" w:gutter="0"/>
          <w:cols w:space="708"/>
          <w:docGrid w:linePitch="360"/>
        </w:sectPr>
      </w:pPr>
    </w:p>
    <w:p w14:paraId="7EAF2225" w14:textId="650746CD" w:rsidR="00733207" w:rsidRDefault="00912BAE">
      <w:pPr>
        <w:pStyle w:val="Titre6"/>
        <w:jc w:val="center"/>
        <w:rPr>
          <w:rFonts w:ascii="Rockwell" w:hAnsi="Rockwell"/>
          <w:b/>
          <w:i/>
          <w:color w:val="auto"/>
          <w:sz w:val="24"/>
          <w:szCs w:val="24"/>
        </w:rPr>
      </w:pPr>
      <w:bookmarkStart w:id="257" w:name="_Toc161320217"/>
      <w:bookmarkStart w:id="258" w:name="_Toc175128493"/>
      <w:r>
        <w:rPr>
          <w:rFonts w:ascii="Rockwell" w:hAnsi="Rockwell"/>
          <w:b/>
          <w:i/>
          <w:color w:val="auto"/>
          <w:sz w:val="24"/>
          <w:szCs w:val="24"/>
        </w:rPr>
        <w:lastRenderedPageBreak/>
        <w:t xml:space="preserve">c. </w:t>
      </w:r>
      <w:r w:rsidR="00A87587">
        <w:rPr>
          <w:rFonts w:ascii="Rockwell" w:hAnsi="Rockwell"/>
          <w:b/>
          <w:i/>
          <w:color w:val="auto"/>
          <w:sz w:val="24"/>
          <w:szCs w:val="24"/>
        </w:rPr>
        <w:t xml:space="preserve">Cartographie </w:t>
      </w:r>
      <w:r>
        <w:rPr>
          <w:rFonts w:ascii="Rockwell" w:hAnsi="Rockwell"/>
          <w:b/>
          <w:i/>
          <w:color w:val="auto"/>
          <w:sz w:val="24"/>
          <w:szCs w:val="24"/>
        </w:rPr>
        <w:t>des thématiques</w:t>
      </w:r>
      <w:bookmarkEnd w:id="257"/>
      <w:r>
        <w:rPr>
          <w:rFonts w:ascii="Rockwell" w:hAnsi="Rockwell"/>
          <w:b/>
          <w:i/>
          <w:color w:val="auto"/>
          <w:sz w:val="24"/>
          <w:szCs w:val="24"/>
        </w:rPr>
        <w:t xml:space="preserve"> traitées par les Quotidiens</w:t>
      </w:r>
      <w:bookmarkEnd w:id="258"/>
    </w:p>
    <w:p w14:paraId="1FBDD78F" w14:textId="77777777" w:rsidR="00733207" w:rsidRDefault="00733207">
      <w:pPr>
        <w:jc w:val="both"/>
        <w:rPr>
          <w:rFonts w:ascii="Rockwell" w:hAnsi="Rockwell"/>
          <w:i/>
        </w:rPr>
      </w:pPr>
    </w:p>
    <w:p w14:paraId="51035500" w14:textId="10A9180E" w:rsidR="00733207" w:rsidRDefault="00912BAE">
      <w:pPr>
        <w:spacing w:before="120" w:after="120" w:line="360" w:lineRule="auto"/>
        <w:ind w:left="709"/>
        <w:jc w:val="center"/>
        <w:rPr>
          <w:rFonts w:ascii="Rockwell" w:hAnsi="Rockwell"/>
          <w:i/>
          <w:szCs w:val="18"/>
        </w:rPr>
      </w:pPr>
      <w:r>
        <w:rPr>
          <w:rFonts w:ascii="Rockwell" w:hAnsi="Rockwell"/>
          <w:b/>
          <w:i/>
          <w:szCs w:val="18"/>
          <w:u w:val="single"/>
        </w:rPr>
        <w:t>Tableau n°3.</w:t>
      </w:r>
      <w:r>
        <w:rPr>
          <w:rFonts w:ascii="Rockwell" w:hAnsi="Rockwell"/>
          <w:i/>
          <w:szCs w:val="18"/>
        </w:rPr>
        <w:t xml:space="preserve"> : cartographie des thématiques cité</w:t>
      </w:r>
      <w:r w:rsidR="00C27B05">
        <w:rPr>
          <w:rFonts w:ascii="Rockwell" w:hAnsi="Rockwell"/>
          <w:i/>
          <w:szCs w:val="18"/>
        </w:rPr>
        <w:t>e</w:t>
      </w:r>
      <w:r>
        <w:rPr>
          <w:rFonts w:ascii="Rockwell" w:hAnsi="Rockwell"/>
          <w:i/>
          <w:szCs w:val="18"/>
        </w:rPr>
        <w:t xml:space="preserve">s par les acteurs sociopolitiques selon le NP et le NI publiés dans les </w:t>
      </w:r>
      <w:r w:rsidR="00C27B05">
        <w:rPr>
          <w:rFonts w:ascii="Rockwell" w:hAnsi="Rockwell"/>
          <w:i/>
          <w:szCs w:val="18"/>
        </w:rPr>
        <w:t>q</w:t>
      </w:r>
      <w:r>
        <w:rPr>
          <w:rFonts w:ascii="Rockwell" w:hAnsi="Rockwell"/>
          <w:i/>
          <w:szCs w:val="18"/>
        </w:rPr>
        <w:t>uotidiens</w:t>
      </w:r>
    </w:p>
    <w:p w14:paraId="07E0C8DB" w14:textId="77777777" w:rsidR="00733207" w:rsidRDefault="00733207">
      <w:pPr>
        <w:spacing w:before="120" w:after="120" w:line="360" w:lineRule="auto"/>
        <w:ind w:left="709"/>
        <w:jc w:val="both"/>
        <w:rPr>
          <w:rFonts w:ascii="Rockwell" w:hAnsi="Rockwell"/>
          <w:i/>
          <w:sz w:val="10"/>
          <w:szCs w:val="10"/>
        </w:rPr>
      </w:pPr>
    </w:p>
    <w:tbl>
      <w:tblPr>
        <w:tblW w:w="96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3"/>
        <w:gridCol w:w="1650"/>
        <w:gridCol w:w="1733"/>
        <w:gridCol w:w="1293"/>
        <w:gridCol w:w="1602"/>
      </w:tblGrid>
      <w:tr w:rsidR="00733207" w14:paraId="566F5420" w14:textId="77777777">
        <w:trPr>
          <w:trHeight w:val="233"/>
          <w:jc w:val="center"/>
        </w:trPr>
        <w:tc>
          <w:tcPr>
            <w:tcW w:w="3403" w:type="dxa"/>
            <w:shd w:val="clear" w:color="auto" w:fill="auto"/>
          </w:tcPr>
          <w:p w14:paraId="55862398"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hAnsi="Rockwell"/>
                <w:sz w:val="24"/>
                <w:szCs w:val="24"/>
              </w:rPr>
              <w:tab/>
            </w:r>
            <w:r>
              <w:rPr>
                <w:rFonts w:ascii="Rockwell" w:eastAsia="Times New Roman" w:hAnsi="Rockwell" w:cs="Calibri"/>
                <w:b/>
                <w:bCs/>
                <w:sz w:val="24"/>
                <w:szCs w:val="24"/>
              </w:rPr>
              <w:t>THEMES</w:t>
            </w:r>
          </w:p>
        </w:tc>
        <w:tc>
          <w:tcPr>
            <w:tcW w:w="1650" w:type="dxa"/>
            <w:shd w:val="clear" w:color="auto" w:fill="auto"/>
          </w:tcPr>
          <w:p w14:paraId="1610543D"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NP</w:t>
            </w:r>
          </w:p>
        </w:tc>
        <w:tc>
          <w:tcPr>
            <w:tcW w:w="1733" w:type="dxa"/>
            <w:shd w:val="clear" w:color="auto" w:fill="auto"/>
          </w:tcPr>
          <w:p w14:paraId="0B7C6FB8"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 NP</w:t>
            </w:r>
          </w:p>
        </w:tc>
        <w:tc>
          <w:tcPr>
            <w:tcW w:w="1293" w:type="dxa"/>
            <w:shd w:val="clear" w:color="auto" w:fill="auto"/>
          </w:tcPr>
          <w:p w14:paraId="3FD6AB3A"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NI</w:t>
            </w:r>
          </w:p>
        </w:tc>
        <w:tc>
          <w:tcPr>
            <w:tcW w:w="1602" w:type="dxa"/>
            <w:shd w:val="clear" w:color="auto" w:fill="auto"/>
          </w:tcPr>
          <w:p w14:paraId="2973B18E"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 NI</w:t>
            </w:r>
          </w:p>
        </w:tc>
      </w:tr>
      <w:tr w:rsidR="00733207" w14:paraId="1F9AEAAE" w14:textId="77777777">
        <w:trPr>
          <w:trHeight w:val="106"/>
          <w:jc w:val="center"/>
        </w:trPr>
        <w:tc>
          <w:tcPr>
            <w:tcW w:w="3403" w:type="dxa"/>
            <w:shd w:val="clear" w:color="auto" w:fill="auto"/>
          </w:tcPr>
          <w:p w14:paraId="07FB2AAB"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SOCIETE</w:t>
            </w:r>
          </w:p>
        </w:tc>
        <w:tc>
          <w:tcPr>
            <w:tcW w:w="1650" w:type="dxa"/>
            <w:shd w:val="clear" w:color="auto" w:fill="auto"/>
          </w:tcPr>
          <w:p w14:paraId="49A089D5"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177 1/6</w:t>
            </w:r>
          </w:p>
        </w:tc>
        <w:tc>
          <w:tcPr>
            <w:tcW w:w="1733" w:type="dxa"/>
            <w:shd w:val="clear" w:color="auto" w:fill="auto"/>
          </w:tcPr>
          <w:p w14:paraId="2ED4948F"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25,94%</w:t>
            </w:r>
          </w:p>
        </w:tc>
        <w:tc>
          <w:tcPr>
            <w:tcW w:w="1293" w:type="dxa"/>
            <w:shd w:val="clear" w:color="auto" w:fill="auto"/>
          </w:tcPr>
          <w:p w14:paraId="2C54062C"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476</w:t>
            </w:r>
          </w:p>
        </w:tc>
        <w:tc>
          <w:tcPr>
            <w:tcW w:w="1602" w:type="dxa"/>
            <w:shd w:val="clear" w:color="auto" w:fill="auto"/>
          </w:tcPr>
          <w:p w14:paraId="2E7D7FC1"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25,63%</w:t>
            </w:r>
          </w:p>
        </w:tc>
      </w:tr>
      <w:tr w:rsidR="00733207" w14:paraId="1321B585" w14:textId="77777777">
        <w:trPr>
          <w:trHeight w:val="92"/>
          <w:jc w:val="center"/>
        </w:trPr>
        <w:tc>
          <w:tcPr>
            <w:tcW w:w="3403" w:type="dxa"/>
            <w:shd w:val="clear" w:color="auto" w:fill="auto"/>
          </w:tcPr>
          <w:p w14:paraId="1529C757"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POLITIQUE</w:t>
            </w:r>
          </w:p>
        </w:tc>
        <w:tc>
          <w:tcPr>
            <w:tcW w:w="1650" w:type="dxa"/>
            <w:shd w:val="clear" w:color="auto" w:fill="auto"/>
          </w:tcPr>
          <w:p w14:paraId="7ED11BEF"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156 1/2</w:t>
            </w:r>
          </w:p>
        </w:tc>
        <w:tc>
          <w:tcPr>
            <w:tcW w:w="1733" w:type="dxa"/>
            <w:shd w:val="clear" w:color="auto" w:fill="auto"/>
          </w:tcPr>
          <w:p w14:paraId="37299D08"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22,91%</w:t>
            </w:r>
          </w:p>
        </w:tc>
        <w:tc>
          <w:tcPr>
            <w:tcW w:w="1293" w:type="dxa"/>
            <w:shd w:val="clear" w:color="auto" w:fill="auto"/>
          </w:tcPr>
          <w:p w14:paraId="527A0376"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394</w:t>
            </w:r>
          </w:p>
        </w:tc>
        <w:tc>
          <w:tcPr>
            <w:tcW w:w="1602" w:type="dxa"/>
            <w:shd w:val="clear" w:color="auto" w:fill="auto"/>
          </w:tcPr>
          <w:p w14:paraId="2DE3B19E"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21,22%</w:t>
            </w:r>
          </w:p>
        </w:tc>
      </w:tr>
      <w:tr w:rsidR="00733207" w14:paraId="470792E0" w14:textId="77777777">
        <w:trPr>
          <w:trHeight w:val="92"/>
          <w:jc w:val="center"/>
        </w:trPr>
        <w:tc>
          <w:tcPr>
            <w:tcW w:w="3403" w:type="dxa"/>
            <w:shd w:val="clear" w:color="auto" w:fill="auto"/>
          </w:tcPr>
          <w:p w14:paraId="0F3D6EDC"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SECURITE</w:t>
            </w:r>
          </w:p>
        </w:tc>
        <w:tc>
          <w:tcPr>
            <w:tcW w:w="1650" w:type="dxa"/>
            <w:shd w:val="clear" w:color="auto" w:fill="auto"/>
          </w:tcPr>
          <w:p w14:paraId="42D2A299"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130 2/3</w:t>
            </w:r>
          </w:p>
        </w:tc>
        <w:tc>
          <w:tcPr>
            <w:tcW w:w="1733" w:type="dxa"/>
            <w:shd w:val="clear" w:color="auto" w:fill="auto"/>
          </w:tcPr>
          <w:p w14:paraId="25B495A9"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19,13%</w:t>
            </w:r>
          </w:p>
        </w:tc>
        <w:tc>
          <w:tcPr>
            <w:tcW w:w="1293" w:type="dxa"/>
            <w:shd w:val="clear" w:color="auto" w:fill="auto"/>
          </w:tcPr>
          <w:p w14:paraId="1BDE3237"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345</w:t>
            </w:r>
          </w:p>
        </w:tc>
        <w:tc>
          <w:tcPr>
            <w:tcW w:w="1602" w:type="dxa"/>
            <w:shd w:val="clear" w:color="auto" w:fill="auto"/>
          </w:tcPr>
          <w:p w14:paraId="363915D6"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18,58%</w:t>
            </w:r>
          </w:p>
        </w:tc>
      </w:tr>
      <w:tr w:rsidR="00733207" w14:paraId="6600DFC5" w14:textId="77777777">
        <w:trPr>
          <w:trHeight w:val="92"/>
          <w:jc w:val="center"/>
        </w:trPr>
        <w:tc>
          <w:tcPr>
            <w:tcW w:w="3403" w:type="dxa"/>
            <w:shd w:val="clear" w:color="auto" w:fill="auto"/>
          </w:tcPr>
          <w:p w14:paraId="089A76F1"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SANTE</w:t>
            </w:r>
          </w:p>
        </w:tc>
        <w:tc>
          <w:tcPr>
            <w:tcW w:w="1650" w:type="dxa"/>
            <w:shd w:val="clear" w:color="auto" w:fill="auto"/>
          </w:tcPr>
          <w:p w14:paraId="28D1ADAE"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88 4/7</w:t>
            </w:r>
          </w:p>
        </w:tc>
        <w:tc>
          <w:tcPr>
            <w:tcW w:w="1733" w:type="dxa"/>
            <w:shd w:val="clear" w:color="auto" w:fill="auto"/>
          </w:tcPr>
          <w:p w14:paraId="0F00B38C"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12,97%</w:t>
            </w:r>
          </w:p>
        </w:tc>
        <w:tc>
          <w:tcPr>
            <w:tcW w:w="1293" w:type="dxa"/>
            <w:shd w:val="clear" w:color="auto" w:fill="auto"/>
          </w:tcPr>
          <w:p w14:paraId="28F4B257"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253</w:t>
            </w:r>
          </w:p>
        </w:tc>
        <w:tc>
          <w:tcPr>
            <w:tcW w:w="1602" w:type="dxa"/>
            <w:shd w:val="clear" w:color="auto" w:fill="auto"/>
          </w:tcPr>
          <w:p w14:paraId="4E6A7B16"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13,62%</w:t>
            </w:r>
          </w:p>
        </w:tc>
      </w:tr>
      <w:tr w:rsidR="00733207" w14:paraId="4F537799" w14:textId="77777777">
        <w:trPr>
          <w:trHeight w:val="92"/>
          <w:jc w:val="center"/>
        </w:trPr>
        <w:tc>
          <w:tcPr>
            <w:tcW w:w="3403" w:type="dxa"/>
            <w:shd w:val="clear" w:color="auto" w:fill="auto"/>
          </w:tcPr>
          <w:p w14:paraId="4A956E2B"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ECONOMIE</w:t>
            </w:r>
          </w:p>
        </w:tc>
        <w:tc>
          <w:tcPr>
            <w:tcW w:w="1650" w:type="dxa"/>
            <w:shd w:val="clear" w:color="auto" w:fill="auto"/>
          </w:tcPr>
          <w:p w14:paraId="61B04D26"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74 5/6</w:t>
            </w:r>
          </w:p>
        </w:tc>
        <w:tc>
          <w:tcPr>
            <w:tcW w:w="1733" w:type="dxa"/>
            <w:shd w:val="clear" w:color="auto" w:fill="auto"/>
          </w:tcPr>
          <w:p w14:paraId="438C895D"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10,96%</w:t>
            </w:r>
          </w:p>
        </w:tc>
        <w:tc>
          <w:tcPr>
            <w:tcW w:w="1293" w:type="dxa"/>
            <w:shd w:val="clear" w:color="auto" w:fill="auto"/>
          </w:tcPr>
          <w:p w14:paraId="017E9778"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217</w:t>
            </w:r>
          </w:p>
        </w:tc>
        <w:tc>
          <w:tcPr>
            <w:tcW w:w="1602" w:type="dxa"/>
            <w:shd w:val="clear" w:color="auto" w:fill="auto"/>
          </w:tcPr>
          <w:p w14:paraId="70859289"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11,69%</w:t>
            </w:r>
          </w:p>
        </w:tc>
      </w:tr>
      <w:tr w:rsidR="00733207" w14:paraId="1B9C4FBC" w14:textId="77777777">
        <w:trPr>
          <w:trHeight w:val="169"/>
          <w:jc w:val="center"/>
        </w:trPr>
        <w:tc>
          <w:tcPr>
            <w:tcW w:w="3403" w:type="dxa"/>
            <w:shd w:val="clear" w:color="auto" w:fill="auto"/>
          </w:tcPr>
          <w:p w14:paraId="50200844"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GENRE</w:t>
            </w:r>
          </w:p>
        </w:tc>
        <w:tc>
          <w:tcPr>
            <w:tcW w:w="1650" w:type="dxa"/>
            <w:shd w:val="clear" w:color="auto" w:fill="auto"/>
          </w:tcPr>
          <w:p w14:paraId="77E9F0D1"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 xml:space="preserve">25    </w:t>
            </w:r>
          </w:p>
        </w:tc>
        <w:tc>
          <w:tcPr>
            <w:tcW w:w="1733" w:type="dxa"/>
            <w:shd w:val="clear" w:color="auto" w:fill="auto"/>
          </w:tcPr>
          <w:p w14:paraId="64C87324"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3,65%</w:t>
            </w:r>
          </w:p>
        </w:tc>
        <w:tc>
          <w:tcPr>
            <w:tcW w:w="1293" w:type="dxa"/>
            <w:shd w:val="clear" w:color="auto" w:fill="auto"/>
          </w:tcPr>
          <w:p w14:paraId="78F61799"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81</w:t>
            </w:r>
          </w:p>
        </w:tc>
        <w:tc>
          <w:tcPr>
            <w:tcW w:w="1602" w:type="dxa"/>
            <w:shd w:val="clear" w:color="auto" w:fill="auto"/>
          </w:tcPr>
          <w:p w14:paraId="13F43B86"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4,36%</w:t>
            </w:r>
          </w:p>
        </w:tc>
      </w:tr>
      <w:tr w:rsidR="00733207" w14:paraId="0545FDB0" w14:textId="77777777">
        <w:trPr>
          <w:trHeight w:val="99"/>
          <w:jc w:val="center"/>
        </w:trPr>
        <w:tc>
          <w:tcPr>
            <w:tcW w:w="3403" w:type="dxa"/>
            <w:shd w:val="clear" w:color="auto" w:fill="auto"/>
          </w:tcPr>
          <w:p w14:paraId="56ABA0C8"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CULTURE</w:t>
            </w:r>
          </w:p>
        </w:tc>
        <w:tc>
          <w:tcPr>
            <w:tcW w:w="1650" w:type="dxa"/>
            <w:shd w:val="clear" w:color="auto" w:fill="auto"/>
          </w:tcPr>
          <w:p w14:paraId="11440F6C"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 xml:space="preserve">24    </w:t>
            </w:r>
          </w:p>
        </w:tc>
        <w:tc>
          <w:tcPr>
            <w:tcW w:w="1733" w:type="dxa"/>
            <w:shd w:val="clear" w:color="auto" w:fill="auto"/>
          </w:tcPr>
          <w:p w14:paraId="7B1051E3"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3,50%</w:t>
            </w:r>
          </w:p>
        </w:tc>
        <w:tc>
          <w:tcPr>
            <w:tcW w:w="1293" w:type="dxa"/>
            <w:shd w:val="clear" w:color="auto" w:fill="auto"/>
          </w:tcPr>
          <w:p w14:paraId="3C225F63"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72</w:t>
            </w:r>
          </w:p>
        </w:tc>
        <w:tc>
          <w:tcPr>
            <w:tcW w:w="1602" w:type="dxa"/>
            <w:shd w:val="clear" w:color="auto" w:fill="auto"/>
          </w:tcPr>
          <w:p w14:paraId="0DB21E6D"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3,88%</w:t>
            </w:r>
          </w:p>
        </w:tc>
      </w:tr>
      <w:tr w:rsidR="00733207" w14:paraId="1B942F39" w14:textId="77777777">
        <w:trPr>
          <w:trHeight w:val="92"/>
          <w:jc w:val="center"/>
        </w:trPr>
        <w:tc>
          <w:tcPr>
            <w:tcW w:w="3403" w:type="dxa"/>
            <w:shd w:val="clear" w:color="auto" w:fill="auto"/>
          </w:tcPr>
          <w:p w14:paraId="6922045A"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RELIGION</w:t>
            </w:r>
          </w:p>
        </w:tc>
        <w:tc>
          <w:tcPr>
            <w:tcW w:w="1650" w:type="dxa"/>
            <w:shd w:val="clear" w:color="auto" w:fill="auto"/>
          </w:tcPr>
          <w:p w14:paraId="590DF278"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6 1/2</w:t>
            </w:r>
          </w:p>
        </w:tc>
        <w:tc>
          <w:tcPr>
            <w:tcW w:w="1733" w:type="dxa"/>
            <w:shd w:val="clear" w:color="auto" w:fill="auto"/>
          </w:tcPr>
          <w:p w14:paraId="071BD684"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0,95%</w:t>
            </w:r>
          </w:p>
        </w:tc>
        <w:tc>
          <w:tcPr>
            <w:tcW w:w="1293" w:type="dxa"/>
            <w:shd w:val="clear" w:color="auto" w:fill="auto"/>
          </w:tcPr>
          <w:p w14:paraId="52012F2A"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19</w:t>
            </w:r>
          </w:p>
        </w:tc>
        <w:tc>
          <w:tcPr>
            <w:tcW w:w="1602" w:type="dxa"/>
            <w:shd w:val="clear" w:color="auto" w:fill="auto"/>
          </w:tcPr>
          <w:p w14:paraId="127B345B" w14:textId="77777777" w:rsidR="00733207" w:rsidRDefault="00912BAE">
            <w:pPr>
              <w:spacing w:before="120" w:after="120" w:line="360" w:lineRule="auto"/>
              <w:jc w:val="both"/>
              <w:rPr>
                <w:rFonts w:ascii="Rockwell" w:eastAsia="Times New Roman" w:hAnsi="Rockwell" w:cs="Calibri"/>
                <w:sz w:val="24"/>
                <w:szCs w:val="24"/>
              </w:rPr>
            </w:pPr>
            <w:r>
              <w:rPr>
                <w:rFonts w:ascii="Rockwell" w:eastAsia="Times New Roman" w:hAnsi="Rockwell" w:cs="Calibri"/>
                <w:sz w:val="24"/>
                <w:szCs w:val="24"/>
              </w:rPr>
              <w:t>1,02%</w:t>
            </w:r>
          </w:p>
        </w:tc>
      </w:tr>
      <w:tr w:rsidR="00733207" w14:paraId="48CBB84D" w14:textId="77777777">
        <w:trPr>
          <w:trHeight w:val="416"/>
          <w:jc w:val="center"/>
        </w:trPr>
        <w:tc>
          <w:tcPr>
            <w:tcW w:w="3403" w:type="dxa"/>
            <w:shd w:val="clear" w:color="auto" w:fill="auto"/>
            <w:noWrap/>
          </w:tcPr>
          <w:p w14:paraId="1EE45EF9"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TOTAL</w:t>
            </w:r>
          </w:p>
        </w:tc>
        <w:tc>
          <w:tcPr>
            <w:tcW w:w="1650" w:type="dxa"/>
            <w:shd w:val="clear" w:color="auto" w:fill="auto"/>
          </w:tcPr>
          <w:p w14:paraId="3A1C31F3"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 xml:space="preserve">683    </w:t>
            </w:r>
          </w:p>
        </w:tc>
        <w:tc>
          <w:tcPr>
            <w:tcW w:w="1733" w:type="dxa"/>
            <w:shd w:val="clear" w:color="auto" w:fill="auto"/>
          </w:tcPr>
          <w:p w14:paraId="66B519A8"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100,00%</w:t>
            </w:r>
          </w:p>
        </w:tc>
        <w:tc>
          <w:tcPr>
            <w:tcW w:w="1293" w:type="dxa"/>
            <w:shd w:val="clear" w:color="auto" w:fill="auto"/>
          </w:tcPr>
          <w:p w14:paraId="4CA62ED4"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1857</w:t>
            </w:r>
          </w:p>
        </w:tc>
        <w:tc>
          <w:tcPr>
            <w:tcW w:w="1602" w:type="dxa"/>
            <w:shd w:val="clear" w:color="auto" w:fill="auto"/>
          </w:tcPr>
          <w:p w14:paraId="1E5F4AF7"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100,00%</w:t>
            </w:r>
          </w:p>
        </w:tc>
      </w:tr>
    </w:tbl>
    <w:p w14:paraId="2E4E83B4" w14:textId="77777777" w:rsidR="00733207" w:rsidRDefault="00912BAE">
      <w:pPr>
        <w:spacing w:before="120" w:after="120" w:line="360" w:lineRule="auto"/>
        <w:ind w:left="142"/>
        <w:jc w:val="both"/>
        <w:rPr>
          <w:rFonts w:ascii="Rockwell" w:hAnsi="Rockwell"/>
          <w:i/>
          <w:color w:val="000000" w:themeColor="text1"/>
        </w:rPr>
        <w:sectPr w:rsidR="00733207">
          <w:pgSz w:w="11906" w:h="16838"/>
          <w:pgMar w:top="1418" w:right="851" w:bottom="1560" w:left="1560" w:header="426" w:footer="567"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697CA11C" w14:textId="5E67EFA6" w:rsidR="00733207" w:rsidRDefault="00912BAE">
      <w:pPr>
        <w:tabs>
          <w:tab w:val="left" w:pos="1418"/>
          <w:tab w:val="left" w:pos="4220"/>
        </w:tabs>
        <w:spacing w:before="120" w:after="120" w:line="360" w:lineRule="auto"/>
        <w:ind w:left="1418" w:hanging="567"/>
        <w:jc w:val="center"/>
        <w:rPr>
          <w:rFonts w:ascii="Rockwell" w:hAnsi="Rockwell"/>
          <w:i/>
        </w:rPr>
      </w:pPr>
      <w:r>
        <w:rPr>
          <w:rFonts w:ascii="Rockwell" w:hAnsi="Rockwell"/>
          <w:b/>
          <w:i/>
          <w:u w:val="single"/>
        </w:rPr>
        <w:lastRenderedPageBreak/>
        <w:t>Graphique n°3 :</w:t>
      </w:r>
      <w:r>
        <w:rPr>
          <w:rFonts w:ascii="Rockwell" w:hAnsi="Rockwell"/>
          <w:i/>
          <w:u w:val="single"/>
        </w:rPr>
        <w:t xml:space="preserve"> </w:t>
      </w:r>
      <w:r>
        <w:rPr>
          <w:rFonts w:ascii="Rockwell" w:hAnsi="Rockwell"/>
          <w:i/>
        </w:rPr>
        <w:t>Représentation graphique des informations thématiques cité</w:t>
      </w:r>
      <w:r w:rsidR="00C27B05">
        <w:rPr>
          <w:rFonts w:ascii="Rockwell" w:hAnsi="Rockwell"/>
          <w:i/>
        </w:rPr>
        <w:t>e</w:t>
      </w:r>
      <w:r>
        <w:rPr>
          <w:rFonts w:ascii="Rockwell" w:hAnsi="Rockwell"/>
          <w:i/>
        </w:rPr>
        <w:t xml:space="preserve">s par les acteurs sociopolitiques selon le NP et le NI publiés dans les </w:t>
      </w:r>
      <w:r w:rsidR="00C27B05">
        <w:rPr>
          <w:rFonts w:ascii="Rockwell" w:hAnsi="Rockwell"/>
          <w:i/>
        </w:rPr>
        <w:t>q</w:t>
      </w:r>
      <w:r>
        <w:rPr>
          <w:rFonts w:ascii="Rockwell" w:hAnsi="Rockwell"/>
          <w:i/>
        </w:rPr>
        <w:t>uotidiens</w:t>
      </w:r>
    </w:p>
    <w:p w14:paraId="6D3DA5C8" w14:textId="77777777" w:rsidR="00733207" w:rsidRDefault="00733207">
      <w:pPr>
        <w:tabs>
          <w:tab w:val="left" w:pos="1418"/>
          <w:tab w:val="left" w:pos="4220"/>
        </w:tabs>
        <w:spacing w:before="120" w:after="120" w:line="360" w:lineRule="auto"/>
        <w:ind w:left="851"/>
        <w:jc w:val="both"/>
        <w:rPr>
          <w:rFonts w:ascii="Rockwell" w:hAnsi="Rockwell"/>
          <w:i/>
          <w:sz w:val="18"/>
          <w:szCs w:val="18"/>
        </w:rPr>
      </w:pPr>
    </w:p>
    <w:p w14:paraId="710DD819" w14:textId="77777777" w:rsidR="00733207" w:rsidRDefault="00912BAE">
      <w:pPr>
        <w:pStyle w:val="Paragraphedeliste"/>
        <w:tabs>
          <w:tab w:val="left" w:pos="2968"/>
        </w:tabs>
        <w:spacing w:before="120" w:after="120" w:line="360" w:lineRule="auto"/>
        <w:ind w:left="0"/>
        <w:jc w:val="both"/>
        <w:rPr>
          <w:rFonts w:ascii="Rockwell" w:hAnsi="Rockwell"/>
          <w:color w:val="FF0000"/>
          <w:sz w:val="26"/>
          <w:szCs w:val="26"/>
        </w:rPr>
      </w:pPr>
      <w:r>
        <w:rPr>
          <w:rFonts w:ascii="Rockwell" w:hAnsi="Rockwell"/>
          <w:noProof/>
          <w:color w:val="FF0000"/>
          <w:sz w:val="26"/>
          <w:szCs w:val="26"/>
          <w:lang w:eastAsia="fr-FR"/>
        </w:rPr>
        <w:drawing>
          <wp:inline distT="0" distB="0" distL="0" distR="0" wp14:anchorId="664AFE98" wp14:editId="66160195">
            <wp:extent cx="5915025" cy="4314825"/>
            <wp:effectExtent l="0" t="0" r="9525" b="9525"/>
            <wp:docPr id="47" name="Graphique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B282D65" w14:textId="77777777" w:rsidR="00733207" w:rsidRDefault="00733207">
      <w:pPr>
        <w:pStyle w:val="Paragraphedeliste"/>
        <w:tabs>
          <w:tab w:val="left" w:pos="2968"/>
        </w:tabs>
        <w:spacing w:before="120" w:after="120" w:line="360" w:lineRule="auto"/>
        <w:ind w:left="0"/>
        <w:jc w:val="both"/>
        <w:rPr>
          <w:rFonts w:ascii="Rockwell" w:hAnsi="Rockwell"/>
          <w:color w:val="FF0000"/>
          <w:sz w:val="26"/>
          <w:szCs w:val="26"/>
        </w:rPr>
      </w:pPr>
    </w:p>
    <w:p w14:paraId="6056AE4B" w14:textId="77777777" w:rsidR="00733207" w:rsidRDefault="00733207">
      <w:pPr>
        <w:pStyle w:val="Paragraphedeliste"/>
        <w:tabs>
          <w:tab w:val="left" w:pos="2968"/>
        </w:tabs>
        <w:spacing w:before="120" w:after="120" w:line="360" w:lineRule="auto"/>
        <w:ind w:left="0"/>
        <w:jc w:val="both"/>
        <w:rPr>
          <w:rFonts w:ascii="Rockwell" w:hAnsi="Rockwell"/>
          <w:color w:val="FF0000"/>
          <w:sz w:val="26"/>
          <w:szCs w:val="26"/>
        </w:rPr>
        <w:sectPr w:rsidR="00733207">
          <w:pgSz w:w="11906" w:h="16838"/>
          <w:pgMar w:top="1418" w:right="851" w:bottom="1560" w:left="1560" w:header="426" w:footer="567" w:gutter="0"/>
          <w:cols w:space="708"/>
          <w:docGrid w:linePitch="360"/>
        </w:sectPr>
      </w:pPr>
    </w:p>
    <w:p w14:paraId="4964207E" w14:textId="3E1D0E5B" w:rsidR="00733207" w:rsidRDefault="00912BAE">
      <w:pPr>
        <w:pStyle w:val="Titre6"/>
        <w:jc w:val="center"/>
        <w:rPr>
          <w:rFonts w:ascii="Rockwell" w:hAnsi="Rockwell"/>
          <w:b/>
          <w:i/>
          <w:color w:val="auto"/>
          <w:sz w:val="24"/>
          <w:szCs w:val="24"/>
        </w:rPr>
      </w:pPr>
      <w:bookmarkStart w:id="259" w:name="_Toc175128494"/>
      <w:r>
        <w:rPr>
          <w:rFonts w:ascii="Rockwell" w:hAnsi="Rockwell"/>
          <w:b/>
          <w:color w:val="auto"/>
          <w:sz w:val="24"/>
          <w:szCs w:val="24"/>
        </w:rPr>
        <w:lastRenderedPageBreak/>
        <w:t xml:space="preserve">d. </w:t>
      </w:r>
      <w:r w:rsidR="00A87587">
        <w:rPr>
          <w:rFonts w:ascii="Rockwell" w:hAnsi="Rockwell"/>
          <w:b/>
          <w:i/>
          <w:color w:val="auto"/>
          <w:sz w:val="24"/>
          <w:szCs w:val="24"/>
        </w:rPr>
        <w:t xml:space="preserve">Classement </w:t>
      </w:r>
      <w:r>
        <w:rPr>
          <w:rFonts w:ascii="Rockwell" w:hAnsi="Rockwell"/>
          <w:b/>
          <w:i/>
          <w:color w:val="auto"/>
          <w:sz w:val="24"/>
          <w:szCs w:val="24"/>
        </w:rPr>
        <w:t xml:space="preserve">des </w:t>
      </w:r>
      <w:r w:rsidR="00C27B05">
        <w:rPr>
          <w:rFonts w:ascii="Rockwell" w:hAnsi="Rockwell"/>
          <w:b/>
          <w:i/>
          <w:color w:val="auto"/>
          <w:sz w:val="24"/>
          <w:szCs w:val="24"/>
        </w:rPr>
        <w:t>q</w:t>
      </w:r>
      <w:r>
        <w:rPr>
          <w:rFonts w:ascii="Rockwell" w:hAnsi="Rockwell"/>
          <w:b/>
          <w:i/>
          <w:color w:val="auto"/>
          <w:sz w:val="24"/>
          <w:szCs w:val="24"/>
        </w:rPr>
        <w:t>uotidiens en fonction des NP et NI accordés aux partis politiques</w:t>
      </w:r>
      <w:bookmarkEnd w:id="259"/>
    </w:p>
    <w:p w14:paraId="213F6727" w14:textId="77777777" w:rsidR="00733207" w:rsidRDefault="00733207">
      <w:pPr>
        <w:spacing w:before="120" w:after="120" w:line="360" w:lineRule="auto"/>
        <w:jc w:val="both"/>
        <w:rPr>
          <w:rFonts w:ascii="Rockwell" w:hAnsi="Rockwell"/>
          <w:sz w:val="6"/>
          <w:szCs w:val="6"/>
        </w:rPr>
      </w:pPr>
    </w:p>
    <w:p w14:paraId="186513CB" w14:textId="0094E70C" w:rsidR="00733207" w:rsidRDefault="00912BAE">
      <w:pPr>
        <w:spacing w:before="120" w:after="120" w:line="360" w:lineRule="auto"/>
        <w:jc w:val="center"/>
        <w:rPr>
          <w:rFonts w:ascii="Rockwell" w:hAnsi="Rockwell"/>
          <w:bCs/>
          <w:i/>
        </w:rPr>
      </w:pPr>
      <w:r>
        <w:rPr>
          <w:rFonts w:ascii="Rockwell" w:hAnsi="Rockwell"/>
          <w:b/>
          <w:i/>
          <w:u w:val="single"/>
        </w:rPr>
        <w:t>Tableau n°4</w:t>
      </w:r>
      <w:r>
        <w:rPr>
          <w:rFonts w:ascii="Rockwell" w:hAnsi="Rockwell"/>
          <w:i/>
        </w:rPr>
        <w:t xml:space="preserve"> : </w:t>
      </w:r>
      <w:r>
        <w:rPr>
          <w:rFonts w:ascii="Rockwell" w:hAnsi="Rockwell"/>
          <w:bCs/>
          <w:i/>
        </w:rPr>
        <w:t xml:space="preserve">Classement des </w:t>
      </w:r>
      <w:r w:rsidR="00C27B05">
        <w:rPr>
          <w:rFonts w:ascii="Rockwell" w:hAnsi="Rockwell"/>
          <w:bCs/>
          <w:i/>
        </w:rPr>
        <w:t>q</w:t>
      </w:r>
      <w:r>
        <w:rPr>
          <w:rFonts w:ascii="Rockwell" w:hAnsi="Rockwell"/>
          <w:bCs/>
          <w:i/>
        </w:rPr>
        <w:t xml:space="preserve">uotidiens suivant les </w:t>
      </w:r>
      <w:r>
        <w:rPr>
          <w:rFonts w:ascii="Rockwell" w:hAnsi="Rockwell"/>
          <w:i/>
        </w:rPr>
        <w:t>NP et du NI</w:t>
      </w:r>
      <w:r>
        <w:rPr>
          <w:rFonts w:ascii="Rockwell" w:hAnsi="Rockwell"/>
          <w:bCs/>
          <w:i/>
        </w:rPr>
        <w:t xml:space="preserve"> accordés aux partis politiques</w:t>
      </w:r>
    </w:p>
    <w:p w14:paraId="78B5174D" w14:textId="77777777" w:rsidR="00733207" w:rsidRDefault="00733207">
      <w:pPr>
        <w:spacing w:before="120" w:after="120" w:line="360" w:lineRule="auto"/>
        <w:jc w:val="both"/>
        <w:rPr>
          <w:rFonts w:ascii="Rockwell" w:hAnsi="Rockwell"/>
          <w:bCs/>
          <w:i/>
        </w:rPr>
      </w:pPr>
    </w:p>
    <w:tbl>
      <w:tblPr>
        <w:tblW w:w="10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3766"/>
        <w:gridCol w:w="1304"/>
        <w:gridCol w:w="1377"/>
        <w:gridCol w:w="1304"/>
        <w:gridCol w:w="1377"/>
      </w:tblGrid>
      <w:tr w:rsidR="00733207" w14:paraId="45F7DAD3" w14:textId="77777777">
        <w:trPr>
          <w:trHeight w:val="94"/>
          <w:jc w:val="center"/>
        </w:trPr>
        <w:tc>
          <w:tcPr>
            <w:tcW w:w="1161" w:type="dxa"/>
            <w:shd w:val="clear" w:color="auto" w:fill="auto"/>
            <w:noWrap/>
          </w:tcPr>
          <w:p w14:paraId="564BECE4" w14:textId="77777777" w:rsidR="00733207" w:rsidRDefault="00912BAE">
            <w:pPr>
              <w:spacing w:before="120" w:after="120" w:line="360" w:lineRule="auto"/>
              <w:ind w:left="-2" w:firstLine="29"/>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RANG</w:t>
            </w:r>
          </w:p>
        </w:tc>
        <w:tc>
          <w:tcPr>
            <w:tcW w:w="3766" w:type="dxa"/>
            <w:shd w:val="clear" w:color="auto" w:fill="auto"/>
            <w:noWrap/>
          </w:tcPr>
          <w:p w14:paraId="39CBD3D9"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MEDIAS</w:t>
            </w:r>
          </w:p>
        </w:tc>
        <w:tc>
          <w:tcPr>
            <w:tcW w:w="1304" w:type="dxa"/>
            <w:shd w:val="clear" w:color="auto" w:fill="auto"/>
            <w:noWrap/>
          </w:tcPr>
          <w:p w14:paraId="5B8B10AF"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NP</w:t>
            </w:r>
          </w:p>
        </w:tc>
        <w:tc>
          <w:tcPr>
            <w:tcW w:w="1377" w:type="dxa"/>
            <w:shd w:val="clear" w:color="auto" w:fill="auto"/>
            <w:noWrap/>
          </w:tcPr>
          <w:p w14:paraId="010BF626"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%NP</w:t>
            </w:r>
          </w:p>
        </w:tc>
        <w:tc>
          <w:tcPr>
            <w:tcW w:w="1304" w:type="dxa"/>
            <w:shd w:val="clear" w:color="auto" w:fill="auto"/>
            <w:noWrap/>
          </w:tcPr>
          <w:p w14:paraId="42EECAD9"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NI</w:t>
            </w:r>
          </w:p>
        </w:tc>
        <w:tc>
          <w:tcPr>
            <w:tcW w:w="1377" w:type="dxa"/>
            <w:shd w:val="clear" w:color="auto" w:fill="auto"/>
            <w:noWrap/>
          </w:tcPr>
          <w:p w14:paraId="5DE8C5C4"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%NI</w:t>
            </w:r>
          </w:p>
        </w:tc>
      </w:tr>
      <w:tr w:rsidR="00733207" w14:paraId="04D47416" w14:textId="77777777">
        <w:trPr>
          <w:trHeight w:val="224"/>
          <w:jc w:val="center"/>
        </w:trPr>
        <w:tc>
          <w:tcPr>
            <w:tcW w:w="1161" w:type="dxa"/>
            <w:shd w:val="clear" w:color="auto" w:fill="auto"/>
            <w:noWrap/>
          </w:tcPr>
          <w:p w14:paraId="5092BCB3"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w:t>
            </w:r>
            <w:r>
              <w:rPr>
                <w:rFonts w:ascii="Rockwell" w:eastAsia="Times New Roman" w:hAnsi="Rockwell" w:cs="Calibri"/>
                <w:b/>
                <w:bCs/>
                <w:color w:val="000000"/>
                <w:sz w:val="26"/>
                <w:szCs w:val="26"/>
                <w:vertAlign w:val="superscript"/>
              </w:rPr>
              <w:t>er</w:t>
            </w:r>
            <w:r>
              <w:rPr>
                <w:rFonts w:ascii="Rockwell" w:eastAsia="Times New Roman" w:hAnsi="Rockwell" w:cs="Calibri"/>
                <w:b/>
                <w:bCs/>
                <w:color w:val="000000"/>
                <w:sz w:val="26"/>
                <w:szCs w:val="26"/>
              </w:rPr>
              <w:t xml:space="preserve">  </w:t>
            </w:r>
          </w:p>
        </w:tc>
        <w:tc>
          <w:tcPr>
            <w:tcW w:w="3766" w:type="dxa"/>
            <w:shd w:val="clear" w:color="auto" w:fill="auto"/>
            <w:noWrap/>
          </w:tcPr>
          <w:p w14:paraId="285DF605"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LE PAYS</w:t>
            </w:r>
          </w:p>
        </w:tc>
        <w:tc>
          <w:tcPr>
            <w:tcW w:w="1304" w:type="dxa"/>
            <w:shd w:val="clear" w:color="auto" w:fill="auto"/>
            <w:noWrap/>
          </w:tcPr>
          <w:p w14:paraId="37B3F33C"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28</w:t>
            </w:r>
          </w:p>
        </w:tc>
        <w:tc>
          <w:tcPr>
            <w:tcW w:w="1377" w:type="dxa"/>
            <w:shd w:val="clear" w:color="auto" w:fill="auto"/>
            <w:noWrap/>
          </w:tcPr>
          <w:p w14:paraId="0D872156"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37,62%</w:t>
            </w:r>
          </w:p>
        </w:tc>
        <w:tc>
          <w:tcPr>
            <w:tcW w:w="1304" w:type="dxa"/>
            <w:shd w:val="clear" w:color="auto" w:fill="auto"/>
            <w:noWrap/>
          </w:tcPr>
          <w:p w14:paraId="1416A03C"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47</w:t>
            </w:r>
          </w:p>
        </w:tc>
        <w:tc>
          <w:tcPr>
            <w:tcW w:w="1377" w:type="dxa"/>
            <w:shd w:val="clear" w:color="auto" w:fill="auto"/>
            <w:noWrap/>
          </w:tcPr>
          <w:p w14:paraId="430DD5EB"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37,60%</w:t>
            </w:r>
          </w:p>
        </w:tc>
      </w:tr>
      <w:tr w:rsidR="00733207" w14:paraId="22951559" w14:textId="77777777">
        <w:trPr>
          <w:trHeight w:val="211"/>
          <w:jc w:val="center"/>
        </w:trPr>
        <w:tc>
          <w:tcPr>
            <w:tcW w:w="1161" w:type="dxa"/>
            <w:shd w:val="clear" w:color="auto" w:fill="auto"/>
            <w:noWrap/>
          </w:tcPr>
          <w:p w14:paraId="6576300E"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 xml:space="preserve">2è </w:t>
            </w:r>
          </w:p>
        </w:tc>
        <w:tc>
          <w:tcPr>
            <w:tcW w:w="3766" w:type="dxa"/>
            <w:shd w:val="clear" w:color="auto" w:fill="auto"/>
            <w:noWrap/>
          </w:tcPr>
          <w:p w14:paraId="021E6E8B"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L'OBSERVATEUR PAALGA</w:t>
            </w:r>
          </w:p>
        </w:tc>
        <w:tc>
          <w:tcPr>
            <w:tcW w:w="1304" w:type="dxa"/>
            <w:shd w:val="clear" w:color="auto" w:fill="auto"/>
            <w:noWrap/>
          </w:tcPr>
          <w:p w14:paraId="64837BB9"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15 1/4</w:t>
            </w:r>
          </w:p>
        </w:tc>
        <w:tc>
          <w:tcPr>
            <w:tcW w:w="1377" w:type="dxa"/>
            <w:shd w:val="clear" w:color="auto" w:fill="auto"/>
            <w:noWrap/>
          </w:tcPr>
          <w:p w14:paraId="232E4F03"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20,49%</w:t>
            </w:r>
          </w:p>
        </w:tc>
        <w:tc>
          <w:tcPr>
            <w:tcW w:w="1304" w:type="dxa"/>
            <w:shd w:val="clear" w:color="auto" w:fill="auto"/>
            <w:noWrap/>
          </w:tcPr>
          <w:p w14:paraId="4299F8A9"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25</w:t>
            </w:r>
          </w:p>
        </w:tc>
        <w:tc>
          <w:tcPr>
            <w:tcW w:w="1377" w:type="dxa"/>
            <w:shd w:val="clear" w:color="auto" w:fill="auto"/>
            <w:noWrap/>
          </w:tcPr>
          <w:p w14:paraId="27E54BAE"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20,00%</w:t>
            </w:r>
          </w:p>
        </w:tc>
      </w:tr>
      <w:tr w:rsidR="00733207" w14:paraId="7CB721EB" w14:textId="77777777">
        <w:trPr>
          <w:trHeight w:val="158"/>
          <w:jc w:val="center"/>
        </w:trPr>
        <w:tc>
          <w:tcPr>
            <w:tcW w:w="1161" w:type="dxa"/>
            <w:shd w:val="clear" w:color="auto" w:fill="auto"/>
            <w:noWrap/>
          </w:tcPr>
          <w:p w14:paraId="4C60C794"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3è</w:t>
            </w:r>
          </w:p>
        </w:tc>
        <w:tc>
          <w:tcPr>
            <w:tcW w:w="3766" w:type="dxa"/>
            <w:shd w:val="clear" w:color="auto" w:fill="auto"/>
            <w:noWrap/>
          </w:tcPr>
          <w:p w14:paraId="37D56736"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AUJOURD'HUI AU FASO</w:t>
            </w:r>
          </w:p>
        </w:tc>
        <w:tc>
          <w:tcPr>
            <w:tcW w:w="1304" w:type="dxa"/>
            <w:shd w:val="clear" w:color="auto" w:fill="auto"/>
            <w:noWrap/>
          </w:tcPr>
          <w:p w14:paraId="10E5526B"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10 2/5</w:t>
            </w:r>
          </w:p>
        </w:tc>
        <w:tc>
          <w:tcPr>
            <w:tcW w:w="1377" w:type="dxa"/>
            <w:shd w:val="clear" w:color="auto" w:fill="auto"/>
            <w:noWrap/>
          </w:tcPr>
          <w:p w14:paraId="48979781"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13,97%</w:t>
            </w:r>
          </w:p>
        </w:tc>
        <w:tc>
          <w:tcPr>
            <w:tcW w:w="1304" w:type="dxa"/>
            <w:shd w:val="clear" w:color="auto" w:fill="auto"/>
            <w:noWrap/>
          </w:tcPr>
          <w:p w14:paraId="7A9C1863"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18</w:t>
            </w:r>
          </w:p>
        </w:tc>
        <w:tc>
          <w:tcPr>
            <w:tcW w:w="1377" w:type="dxa"/>
            <w:shd w:val="clear" w:color="auto" w:fill="auto"/>
            <w:noWrap/>
          </w:tcPr>
          <w:p w14:paraId="516076B7"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14,40%</w:t>
            </w:r>
          </w:p>
        </w:tc>
      </w:tr>
      <w:tr w:rsidR="00733207" w14:paraId="13025E69" w14:textId="77777777">
        <w:trPr>
          <w:trHeight w:val="320"/>
          <w:jc w:val="center"/>
        </w:trPr>
        <w:tc>
          <w:tcPr>
            <w:tcW w:w="1161" w:type="dxa"/>
            <w:shd w:val="clear" w:color="auto" w:fill="auto"/>
            <w:noWrap/>
          </w:tcPr>
          <w:p w14:paraId="189D339A"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4è</w:t>
            </w:r>
          </w:p>
        </w:tc>
        <w:tc>
          <w:tcPr>
            <w:tcW w:w="3766" w:type="dxa"/>
            <w:shd w:val="clear" w:color="auto" w:fill="auto"/>
            <w:noWrap/>
          </w:tcPr>
          <w:p w14:paraId="61D15EE7"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LE QUOTIDIEN</w:t>
            </w:r>
          </w:p>
        </w:tc>
        <w:tc>
          <w:tcPr>
            <w:tcW w:w="1304" w:type="dxa"/>
            <w:shd w:val="clear" w:color="auto" w:fill="auto"/>
            <w:noWrap/>
          </w:tcPr>
          <w:p w14:paraId="3832BA75"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9 1/9</w:t>
            </w:r>
          </w:p>
        </w:tc>
        <w:tc>
          <w:tcPr>
            <w:tcW w:w="1377" w:type="dxa"/>
            <w:shd w:val="clear" w:color="auto" w:fill="auto"/>
            <w:noWrap/>
          </w:tcPr>
          <w:p w14:paraId="0D27DB9F"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12,24%</w:t>
            </w:r>
          </w:p>
        </w:tc>
        <w:tc>
          <w:tcPr>
            <w:tcW w:w="1304" w:type="dxa"/>
            <w:shd w:val="clear" w:color="auto" w:fill="auto"/>
            <w:noWrap/>
          </w:tcPr>
          <w:p w14:paraId="4D211051"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19</w:t>
            </w:r>
          </w:p>
        </w:tc>
        <w:tc>
          <w:tcPr>
            <w:tcW w:w="1377" w:type="dxa"/>
            <w:shd w:val="clear" w:color="auto" w:fill="auto"/>
            <w:noWrap/>
          </w:tcPr>
          <w:p w14:paraId="087BDE0D"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15,20%</w:t>
            </w:r>
          </w:p>
        </w:tc>
      </w:tr>
      <w:tr w:rsidR="00733207" w14:paraId="26519F1C" w14:textId="77777777">
        <w:trPr>
          <w:trHeight w:val="94"/>
          <w:jc w:val="center"/>
        </w:trPr>
        <w:tc>
          <w:tcPr>
            <w:tcW w:w="1161" w:type="dxa"/>
            <w:shd w:val="clear" w:color="auto" w:fill="auto"/>
            <w:noWrap/>
          </w:tcPr>
          <w:p w14:paraId="5CEC92C6"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5è</w:t>
            </w:r>
          </w:p>
        </w:tc>
        <w:tc>
          <w:tcPr>
            <w:tcW w:w="3766" w:type="dxa"/>
            <w:shd w:val="clear" w:color="auto" w:fill="auto"/>
            <w:noWrap/>
          </w:tcPr>
          <w:p w14:paraId="7AC78B58"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L'EXPRESS DU FASO</w:t>
            </w:r>
          </w:p>
        </w:tc>
        <w:tc>
          <w:tcPr>
            <w:tcW w:w="1304" w:type="dxa"/>
            <w:shd w:val="clear" w:color="auto" w:fill="auto"/>
            <w:noWrap/>
          </w:tcPr>
          <w:p w14:paraId="5439B1DE"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8 2/3</w:t>
            </w:r>
          </w:p>
        </w:tc>
        <w:tc>
          <w:tcPr>
            <w:tcW w:w="1377" w:type="dxa"/>
            <w:shd w:val="clear" w:color="auto" w:fill="auto"/>
            <w:noWrap/>
          </w:tcPr>
          <w:p w14:paraId="44697813"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11,64%</w:t>
            </w:r>
          </w:p>
        </w:tc>
        <w:tc>
          <w:tcPr>
            <w:tcW w:w="1304" w:type="dxa"/>
            <w:shd w:val="clear" w:color="auto" w:fill="auto"/>
            <w:noWrap/>
          </w:tcPr>
          <w:p w14:paraId="1D30565C"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8</w:t>
            </w:r>
          </w:p>
        </w:tc>
        <w:tc>
          <w:tcPr>
            <w:tcW w:w="1377" w:type="dxa"/>
            <w:shd w:val="clear" w:color="auto" w:fill="auto"/>
            <w:noWrap/>
          </w:tcPr>
          <w:p w14:paraId="626DB8A6"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6,40%</w:t>
            </w:r>
          </w:p>
        </w:tc>
      </w:tr>
      <w:tr w:rsidR="00733207" w14:paraId="671EC157" w14:textId="77777777">
        <w:trPr>
          <w:trHeight w:val="113"/>
          <w:jc w:val="center"/>
        </w:trPr>
        <w:tc>
          <w:tcPr>
            <w:tcW w:w="1161" w:type="dxa"/>
            <w:shd w:val="clear" w:color="auto" w:fill="auto"/>
            <w:noWrap/>
          </w:tcPr>
          <w:p w14:paraId="2451B0BE"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6è</w:t>
            </w:r>
          </w:p>
        </w:tc>
        <w:tc>
          <w:tcPr>
            <w:tcW w:w="3766" w:type="dxa"/>
            <w:shd w:val="clear" w:color="auto" w:fill="auto"/>
            <w:noWrap/>
          </w:tcPr>
          <w:p w14:paraId="6CF62C02"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SIDWAYA</w:t>
            </w:r>
          </w:p>
        </w:tc>
        <w:tc>
          <w:tcPr>
            <w:tcW w:w="1304" w:type="dxa"/>
            <w:shd w:val="clear" w:color="auto" w:fill="auto"/>
            <w:noWrap/>
          </w:tcPr>
          <w:p w14:paraId="3B033167"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3</w:t>
            </w:r>
          </w:p>
        </w:tc>
        <w:tc>
          <w:tcPr>
            <w:tcW w:w="1377" w:type="dxa"/>
            <w:shd w:val="clear" w:color="auto" w:fill="auto"/>
            <w:noWrap/>
          </w:tcPr>
          <w:p w14:paraId="048B0CD2"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4,03%</w:t>
            </w:r>
          </w:p>
        </w:tc>
        <w:tc>
          <w:tcPr>
            <w:tcW w:w="1304" w:type="dxa"/>
            <w:shd w:val="clear" w:color="auto" w:fill="auto"/>
            <w:noWrap/>
          </w:tcPr>
          <w:p w14:paraId="657783F1"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8</w:t>
            </w:r>
          </w:p>
        </w:tc>
        <w:tc>
          <w:tcPr>
            <w:tcW w:w="1377" w:type="dxa"/>
            <w:shd w:val="clear" w:color="auto" w:fill="auto"/>
            <w:noWrap/>
          </w:tcPr>
          <w:p w14:paraId="350DA279" w14:textId="77777777" w:rsidR="00733207" w:rsidRDefault="00912BAE">
            <w:pPr>
              <w:spacing w:before="120" w:after="120" w:line="36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6,40%</w:t>
            </w:r>
          </w:p>
        </w:tc>
      </w:tr>
      <w:tr w:rsidR="00733207" w14:paraId="1BAD28E5" w14:textId="77777777">
        <w:trPr>
          <w:trHeight w:val="94"/>
          <w:jc w:val="center"/>
        </w:trPr>
        <w:tc>
          <w:tcPr>
            <w:tcW w:w="4927" w:type="dxa"/>
            <w:gridSpan w:val="2"/>
            <w:shd w:val="clear" w:color="auto" w:fill="auto"/>
            <w:noWrap/>
          </w:tcPr>
          <w:p w14:paraId="21EC0817"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 TOTAL</w:t>
            </w:r>
          </w:p>
        </w:tc>
        <w:tc>
          <w:tcPr>
            <w:tcW w:w="1304" w:type="dxa"/>
            <w:shd w:val="clear" w:color="auto" w:fill="auto"/>
            <w:noWrap/>
          </w:tcPr>
          <w:p w14:paraId="76FF19E4"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74 3/7</w:t>
            </w:r>
          </w:p>
        </w:tc>
        <w:tc>
          <w:tcPr>
            <w:tcW w:w="1377" w:type="dxa"/>
            <w:shd w:val="clear" w:color="auto" w:fill="auto"/>
            <w:noWrap/>
          </w:tcPr>
          <w:p w14:paraId="3391413B"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100,00%</w:t>
            </w:r>
          </w:p>
        </w:tc>
        <w:tc>
          <w:tcPr>
            <w:tcW w:w="1304" w:type="dxa"/>
            <w:shd w:val="clear" w:color="auto" w:fill="auto"/>
            <w:noWrap/>
          </w:tcPr>
          <w:p w14:paraId="66804295"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125</w:t>
            </w:r>
          </w:p>
        </w:tc>
        <w:tc>
          <w:tcPr>
            <w:tcW w:w="1377" w:type="dxa"/>
            <w:shd w:val="clear" w:color="auto" w:fill="auto"/>
            <w:noWrap/>
          </w:tcPr>
          <w:p w14:paraId="61873946" w14:textId="77777777" w:rsidR="00733207" w:rsidRDefault="00912BAE">
            <w:pPr>
              <w:spacing w:before="120" w:after="120" w:line="36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100,00%</w:t>
            </w:r>
          </w:p>
        </w:tc>
      </w:tr>
    </w:tbl>
    <w:p w14:paraId="5D069356" w14:textId="77777777" w:rsidR="00733207" w:rsidRDefault="00912BAE">
      <w:pPr>
        <w:spacing w:before="120" w:after="120" w:line="360" w:lineRule="auto"/>
        <w:ind w:left="142"/>
        <w:jc w:val="both"/>
        <w:rPr>
          <w:rFonts w:ascii="Rockwell" w:hAnsi="Rockwell"/>
          <w:i/>
          <w:color w:val="000000" w:themeColor="text1"/>
        </w:r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604F2248" w14:textId="77777777" w:rsidR="00733207" w:rsidRDefault="00733207">
      <w:pPr>
        <w:spacing w:before="120" w:after="120" w:line="360" w:lineRule="auto"/>
        <w:ind w:left="142"/>
        <w:jc w:val="both"/>
        <w:rPr>
          <w:rFonts w:ascii="Rockwell" w:hAnsi="Rockwell"/>
          <w:i/>
          <w:color w:val="000000" w:themeColor="text1"/>
          <w:sz w:val="10"/>
          <w:szCs w:val="10"/>
        </w:rPr>
      </w:pPr>
    </w:p>
    <w:p w14:paraId="511ADCCA" w14:textId="77777777" w:rsidR="00733207" w:rsidRDefault="00733207">
      <w:pPr>
        <w:spacing w:before="120" w:after="120" w:line="360" w:lineRule="auto"/>
        <w:ind w:left="142"/>
        <w:jc w:val="both"/>
        <w:rPr>
          <w:rFonts w:ascii="Rockwell" w:hAnsi="Rockwell"/>
          <w:i/>
          <w:color w:val="000000" w:themeColor="text1"/>
          <w:sz w:val="10"/>
          <w:szCs w:val="10"/>
        </w:rPr>
        <w:sectPr w:rsidR="00733207">
          <w:pgSz w:w="11906" w:h="16838"/>
          <w:pgMar w:top="1418" w:right="851" w:bottom="1560" w:left="1560" w:header="426" w:footer="567" w:gutter="0"/>
          <w:cols w:space="708"/>
          <w:docGrid w:linePitch="360"/>
        </w:sectPr>
      </w:pPr>
    </w:p>
    <w:p w14:paraId="5FAC74FC" w14:textId="77ABBF70" w:rsidR="00733207" w:rsidRDefault="00912BAE">
      <w:pPr>
        <w:tabs>
          <w:tab w:val="left" w:pos="1950"/>
        </w:tabs>
        <w:spacing w:before="120" w:after="120" w:line="360" w:lineRule="auto"/>
        <w:ind w:left="567"/>
        <w:contextualSpacing/>
        <w:jc w:val="center"/>
        <w:rPr>
          <w:rFonts w:ascii="Rockwell" w:hAnsi="Rockwell"/>
          <w:bCs/>
          <w:i/>
        </w:rPr>
      </w:pPr>
      <w:r>
        <w:rPr>
          <w:rFonts w:ascii="Rockwell" w:hAnsi="Rockwell"/>
          <w:b/>
          <w:i/>
          <w:u w:val="single"/>
        </w:rPr>
        <w:lastRenderedPageBreak/>
        <w:t>Graphique</w:t>
      </w:r>
      <w:r>
        <w:rPr>
          <w:rFonts w:ascii="Rockwell" w:hAnsi="Rockwell"/>
          <w:b/>
          <w:i/>
        </w:rPr>
        <w:t xml:space="preserve"> n°4</w:t>
      </w:r>
      <w:r>
        <w:rPr>
          <w:rFonts w:ascii="Rockwell" w:hAnsi="Rockwell"/>
          <w:i/>
        </w:rPr>
        <w:t xml:space="preserve"> : Représentation </w:t>
      </w:r>
      <w:r>
        <w:rPr>
          <w:rFonts w:ascii="Rockwell" w:hAnsi="Rockwell"/>
          <w:bCs/>
          <w:i/>
        </w:rPr>
        <w:t xml:space="preserve">des </w:t>
      </w:r>
      <w:r w:rsidR="00C27B05">
        <w:rPr>
          <w:rFonts w:ascii="Rockwell" w:hAnsi="Rockwell"/>
          <w:bCs/>
          <w:i/>
        </w:rPr>
        <w:t xml:space="preserve">quotidiens </w:t>
      </w:r>
      <w:r>
        <w:rPr>
          <w:rFonts w:ascii="Rockwell" w:hAnsi="Rockwell"/>
          <w:bCs/>
          <w:i/>
        </w:rPr>
        <w:t xml:space="preserve">suivant les </w:t>
      </w:r>
      <w:r>
        <w:rPr>
          <w:rFonts w:ascii="Rockwell" w:hAnsi="Rockwell"/>
          <w:i/>
        </w:rPr>
        <w:t>NP et du NI</w:t>
      </w:r>
      <w:r>
        <w:rPr>
          <w:rFonts w:ascii="Rockwell" w:hAnsi="Rockwell"/>
          <w:bCs/>
          <w:i/>
        </w:rPr>
        <w:t xml:space="preserve"> accordés aux partis politiques</w:t>
      </w:r>
    </w:p>
    <w:p w14:paraId="7610D324" w14:textId="77777777" w:rsidR="00733207" w:rsidRDefault="00733207">
      <w:pPr>
        <w:tabs>
          <w:tab w:val="left" w:pos="1950"/>
        </w:tabs>
        <w:spacing w:before="120" w:after="120" w:line="360" w:lineRule="auto"/>
        <w:contextualSpacing/>
        <w:jc w:val="both"/>
        <w:rPr>
          <w:rFonts w:ascii="Rockwell" w:hAnsi="Rockwell"/>
          <w:i/>
          <w:sz w:val="6"/>
          <w:szCs w:val="6"/>
        </w:rPr>
      </w:pPr>
    </w:p>
    <w:p w14:paraId="7E8105FC"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hAnsi="Rockwell"/>
          <w:noProof/>
          <w:sz w:val="26"/>
          <w:szCs w:val="26"/>
          <w:lang w:eastAsia="fr-FR"/>
        </w:rPr>
        <w:drawing>
          <wp:inline distT="0" distB="0" distL="0" distR="0" wp14:anchorId="75478E56" wp14:editId="552C77F2">
            <wp:extent cx="5534025" cy="3276600"/>
            <wp:effectExtent l="0" t="0" r="9525" b="0"/>
            <wp:docPr id="49" name="Graphique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6CF82C4" w14:textId="77777777" w:rsidR="00733207" w:rsidRDefault="00733207">
      <w:pPr>
        <w:spacing w:before="120" w:after="120" w:line="360" w:lineRule="auto"/>
        <w:jc w:val="both"/>
        <w:rPr>
          <w:rFonts w:ascii="Rockwell" w:eastAsia="Times New Roman" w:hAnsi="Rockwell"/>
          <w:b/>
          <w:bCs/>
          <w:color w:val="000000"/>
          <w:sz w:val="10"/>
          <w:szCs w:val="10"/>
        </w:rPr>
      </w:pPr>
    </w:p>
    <w:p w14:paraId="51D87A89" w14:textId="77777777" w:rsidR="00733207" w:rsidRDefault="00733207">
      <w:pPr>
        <w:spacing w:before="120" w:after="120" w:line="360" w:lineRule="auto"/>
        <w:jc w:val="both"/>
        <w:rPr>
          <w:rFonts w:ascii="Rockwell" w:eastAsia="Times New Roman" w:hAnsi="Rockwell"/>
          <w:b/>
          <w:bCs/>
          <w:color w:val="000000"/>
          <w:sz w:val="10"/>
          <w:szCs w:val="10"/>
        </w:rPr>
      </w:pPr>
    </w:p>
    <w:p w14:paraId="78E1B1BB" w14:textId="230B4179" w:rsidR="00733207" w:rsidRDefault="00912BAE">
      <w:pPr>
        <w:pStyle w:val="Titre6"/>
        <w:jc w:val="center"/>
        <w:rPr>
          <w:rFonts w:ascii="Rockwell" w:hAnsi="Rockwell"/>
          <w:b/>
          <w:bCs/>
          <w:i/>
          <w:color w:val="auto"/>
          <w:sz w:val="24"/>
        </w:rPr>
      </w:pPr>
      <w:bookmarkStart w:id="260" w:name="_Toc175128495"/>
      <w:r>
        <w:rPr>
          <w:rFonts w:ascii="Rockwell" w:hAnsi="Rockwell"/>
          <w:b/>
          <w:color w:val="auto"/>
          <w:sz w:val="24"/>
        </w:rPr>
        <w:t xml:space="preserve">e. </w:t>
      </w:r>
      <w:r w:rsidR="00A87587">
        <w:rPr>
          <w:rFonts w:ascii="Rockwell" w:hAnsi="Rockwell"/>
          <w:b/>
          <w:i/>
          <w:color w:val="auto"/>
          <w:sz w:val="24"/>
        </w:rPr>
        <w:t xml:space="preserve">Classement </w:t>
      </w:r>
      <w:r>
        <w:rPr>
          <w:rFonts w:ascii="Rockwell" w:hAnsi="Rockwell"/>
          <w:b/>
          <w:i/>
          <w:color w:val="auto"/>
          <w:sz w:val="24"/>
        </w:rPr>
        <w:t xml:space="preserve">des </w:t>
      </w:r>
      <w:r w:rsidR="00C27B05">
        <w:rPr>
          <w:rFonts w:ascii="Rockwell" w:hAnsi="Rockwell"/>
          <w:b/>
          <w:i/>
          <w:color w:val="auto"/>
          <w:sz w:val="24"/>
        </w:rPr>
        <w:t xml:space="preserve">quotidiens </w:t>
      </w:r>
      <w:r>
        <w:rPr>
          <w:rFonts w:ascii="Rockwell" w:hAnsi="Rockwell"/>
          <w:b/>
          <w:i/>
          <w:color w:val="auto"/>
          <w:sz w:val="24"/>
        </w:rPr>
        <w:t xml:space="preserve">en fonction des NP et NI accordés aux </w:t>
      </w:r>
      <w:r>
        <w:rPr>
          <w:rFonts w:ascii="Rockwell" w:hAnsi="Rockwell"/>
          <w:b/>
          <w:bCs/>
          <w:i/>
          <w:color w:val="auto"/>
          <w:sz w:val="24"/>
        </w:rPr>
        <w:t>acteurs sociopolitiques</w:t>
      </w:r>
      <w:bookmarkEnd w:id="260"/>
    </w:p>
    <w:p w14:paraId="056C5C95" w14:textId="77777777" w:rsidR="00733207" w:rsidRDefault="00733207">
      <w:pPr>
        <w:jc w:val="both"/>
        <w:rPr>
          <w:rFonts w:ascii="Rockwell" w:hAnsi="Rockwell"/>
          <w:sz w:val="10"/>
          <w:szCs w:val="10"/>
        </w:rPr>
      </w:pPr>
    </w:p>
    <w:p w14:paraId="2928672B" w14:textId="468FA4A4" w:rsidR="00733207" w:rsidRDefault="00912BAE">
      <w:pPr>
        <w:spacing w:before="120" w:after="120" w:line="360" w:lineRule="auto"/>
        <w:ind w:left="851"/>
        <w:jc w:val="both"/>
        <w:rPr>
          <w:rFonts w:ascii="Rockwell" w:hAnsi="Rockwell"/>
          <w:bCs/>
          <w:i/>
        </w:rPr>
      </w:pPr>
      <w:r>
        <w:rPr>
          <w:rFonts w:ascii="Rockwell" w:hAnsi="Rockwell"/>
          <w:b/>
          <w:i/>
          <w:u w:val="single"/>
        </w:rPr>
        <w:t>Tableau n°5</w:t>
      </w:r>
      <w:r>
        <w:rPr>
          <w:rFonts w:ascii="Rockwell" w:hAnsi="Rockwell"/>
          <w:i/>
        </w:rPr>
        <w:t xml:space="preserve"> : </w:t>
      </w:r>
      <w:r>
        <w:rPr>
          <w:rFonts w:ascii="Rockwell" w:hAnsi="Rockwell"/>
          <w:bCs/>
          <w:i/>
        </w:rPr>
        <w:t xml:space="preserve">Classement des </w:t>
      </w:r>
      <w:r w:rsidR="00C27B05">
        <w:rPr>
          <w:rFonts w:ascii="Rockwell" w:hAnsi="Rockwell"/>
          <w:bCs/>
          <w:i/>
        </w:rPr>
        <w:t xml:space="preserve">quotidiens </w:t>
      </w:r>
      <w:r>
        <w:rPr>
          <w:rFonts w:ascii="Rockwell" w:hAnsi="Rockwell"/>
          <w:bCs/>
          <w:i/>
        </w:rPr>
        <w:t xml:space="preserve">suivant les </w:t>
      </w:r>
      <w:r>
        <w:rPr>
          <w:rFonts w:ascii="Rockwell" w:hAnsi="Rockwell"/>
          <w:i/>
        </w:rPr>
        <w:t>NP et du NI</w:t>
      </w:r>
      <w:r>
        <w:rPr>
          <w:rFonts w:ascii="Rockwell" w:hAnsi="Rockwell"/>
          <w:bCs/>
          <w:i/>
        </w:rPr>
        <w:t xml:space="preserve"> accordés aux acteurs sociopolitiques</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6"/>
        <w:gridCol w:w="1447"/>
        <w:gridCol w:w="1737"/>
        <w:gridCol w:w="1303"/>
        <w:gridCol w:w="1592"/>
      </w:tblGrid>
      <w:tr w:rsidR="00733207" w14:paraId="52C6A8BE" w14:textId="77777777">
        <w:trPr>
          <w:trHeight w:val="355"/>
          <w:jc w:val="center"/>
        </w:trPr>
        <w:tc>
          <w:tcPr>
            <w:tcW w:w="3326" w:type="dxa"/>
            <w:shd w:val="clear" w:color="auto" w:fill="auto"/>
          </w:tcPr>
          <w:p w14:paraId="0E0AA874" w14:textId="77777777" w:rsidR="00733207" w:rsidRDefault="00912BAE">
            <w:pPr>
              <w:spacing w:before="60" w:after="60" w:line="240" w:lineRule="auto"/>
              <w:jc w:val="both"/>
              <w:rPr>
                <w:rFonts w:ascii="Rockwell" w:eastAsia="Times New Roman" w:hAnsi="Rockwell"/>
                <w:b/>
                <w:bCs/>
                <w:sz w:val="24"/>
                <w:szCs w:val="24"/>
              </w:rPr>
            </w:pPr>
            <w:r>
              <w:rPr>
                <w:rFonts w:ascii="Rockwell" w:eastAsia="Times New Roman" w:hAnsi="Rockwell"/>
                <w:b/>
                <w:bCs/>
                <w:sz w:val="24"/>
                <w:szCs w:val="24"/>
              </w:rPr>
              <w:t>QUOTIDIENS</w:t>
            </w:r>
          </w:p>
        </w:tc>
        <w:tc>
          <w:tcPr>
            <w:tcW w:w="1447" w:type="dxa"/>
            <w:shd w:val="clear" w:color="auto" w:fill="auto"/>
          </w:tcPr>
          <w:p w14:paraId="49ED16B9" w14:textId="77777777" w:rsidR="00733207" w:rsidRDefault="00912BAE">
            <w:pPr>
              <w:spacing w:before="60" w:after="60" w:line="240" w:lineRule="auto"/>
              <w:jc w:val="both"/>
              <w:rPr>
                <w:rFonts w:ascii="Rockwell" w:eastAsia="Times New Roman" w:hAnsi="Rockwell"/>
                <w:b/>
                <w:bCs/>
                <w:sz w:val="24"/>
                <w:szCs w:val="24"/>
              </w:rPr>
            </w:pPr>
            <w:r>
              <w:rPr>
                <w:rFonts w:ascii="Rockwell" w:eastAsia="Times New Roman" w:hAnsi="Rockwell"/>
                <w:b/>
                <w:bCs/>
                <w:sz w:val="24"/>
                <w:szCs w:val="24"/>
              </w:rPr>
              <w:t>NP</w:t>
            </w:r>
          </w:p>
        </w:tc>
        <w:tc>
          <w:tcPr>
            <w:tcW w:w="1737" w:type="dxa"/>
            <w:shd w:val="clear" w:color="auto" w:fill="auto"/>
            <w:noWrap/>
          </w:tcPr>
          <w:p w14:paraId="278D93F8" w14:textId="77777777" w:rsidR="00733207" w:rsidRDefault="00912BAE">
            <w:pPr>
              <w:spacing w:before="60" w:after="60" w:line="240" w:lineRule="auto"/>
              <w:jc w:val="both"/>
              <w:rPr>
                <w:rFonts w:ascii="Rockwell" w:eastAsia="Times New Roman" w:hAnsi="Rockwell"/>
                <w:b/>
                <w:bCs/>
                <w:sz w:val="24"/>
                <w:szCs w:val="24"/>
              </w:rPr>
            </w:pPr>
            <w:r>
              <w:rPr>
                <w:rFonts w:ascii="Rockwell" w:eastAsia="Times New Roman" w:hAnsi="Rockwell"/>
                <w:b/>
                <w:bCs/>
                <w:sz w:val="24"/>
                <w:szCs w:val="24"/>
              </w:rPr>
              <w:t>%NP</w:t>
            </w:r>
          </w:p>
        </w:tc>
        <w:tc>
          <w:tcPr>
            <w:tcW w:w="1303" w:type="dxa"/>
            <w:shd w:val="clear" w:color="auto" w:fill="auto"/>
            <w:noWrap/>
          </w:tcPr>
          <w:p w14:paraId="7D7265FC" w14:textId="77777777" w:rsidR="00733207" w:rsidRDefault="00912BAE">
            <w:pPr>
              <w:spacing w:before="60" w:after="60" w:line="240" w:lineRule="auto"/>
              <w:jc w:val="both"/>
              <w:rPr>
                <w:rFonts w:ascii="Rockwell" w:eastAsia="Times New Roman" w:hAnsi="Rockwell"/>
                <w:b/>
                <w:bCs/>
                <w:sz w:val="24"/>
                <w:szCs w:val="24"/>
              </w:rPr>
            </w:pPr>
            <w:r>
              <w:rPr>
                <w:rFonts w:ascii="Rockwell" w:eastAsia="Times New Roman" w:hAnsi="Rockwell"/>
                <w:b/>
                <w:bCs/>
                <w:sz w:val="24"/>
                <w:szCs w:val="24"/>
              </w:rPr>
              <w:t>NI</w:t>
            </w:r>
          </w:p>
        </w:tc>
        <w:tc>
          <w:tcPr>
            <w:tcW w:w="1592" w:type="dxa"/>
            <w:shd w:val="clear" w:color="auto" w:fill="auto"/>
            <w:noWrap/>
          </w:tcPr>
          <w:p w14:paraId="28BF6D09" w14:textId="77777777" w:rsidR="00733207" w:rsidRDefault="00912BAE">
            <w:pPr>
              <w:spacing w:before="60" w:after="60" w:line="240" w:lineRule="auto"/>
              <w:jc w:val="both"/>
              <w:rPr>
                <w:rFonts w:ascii="Rockwell" w:eastAsia="Times New Roman" w:hAnsi="Rockwell"/>
                <w:b/>
                <w:bCs/>
                <w:sz w:val="24"/>
                <w:szCs w:val="24"/>
              </w:rPr>
            </w:pPr>
            <w:r>
              <w:rPr>
                <w:rFonts w:ascii="Rockwell" w:eastAsia="Times New Roman" w:hAnsi="Rockwell"/>
                <w:b/>
                <w:bCs/>
                <w:sz w:val="24"/>
                <w:szCs w:val="24"/>
              </w:rPr>
              <w:t>%NI</w:t>
            </w:r>
          </w:p>
        </w:tc>
      </w:tr>
      <w:tr w:rsidR="00733207" w14:paraId="335D6E14" w14:textId="77777777">
        <w:trPr>
          <w:trHeight w:val="85"/>
          <w:jc w:val="center"/>
        </w:trPr>
        <w:tc>
          <w:tcPr>
            <w:tcW w:w="3326" w:type="dxa"/>
            <w:shd w:val="clear" w:color="auto" w:fill="auto"/>
            <w:noWrap/>
          </w:tcPr>
          <w:p w14:paraId="2A445CE3" w14:textId="77777777" w:rsidR="00733207" w:rsidRDefault="00912BAE">
            <w:pPr>
              <w:spacing w:before="60" w:after="60" w:line="276" w:lineRule="auto"/>
              <w:jc w:val="both"/>
              <w:rPr>
                <w:rFonts w:ascii="Rockwell" w:eastAsia="Times New Roman" w:hAnsi="Rockwell"/>
                <w:b/>
                <w:bCs/>
                <w:sz w:val="24"/>
                <w:szCs w:val="24"/>
              </w:rPr>
            </w:pPr>
            <w:proofErr w:type="spellStart"/>
            <w:r>
              <w:rPr>
                <w:rFonts w:ascii="Rockwell" w:eastAsia="Times New Roman" w:hAnsi="Rockwell"/>
                <w:b/>
                <w:bCs/>
                <w:sz w:val="24"/>
                <w:szCs w:val="24"/>
              </w:rPr>
              <w:t>Sidwaya</w:t>
            </w:r>
            <w:proofErr w:type="spellEnd"/>
          </w:p>
        </w:tc>
        <w:tc>
          <w:tcPr>
            <w:tcW w:w="1447" w:type="dxa"/>
            <w:shd w:val="clear" w:color="auto" w:fill="auto"/>
            <w:noWrap/>
          </w:tcPr>
          <w:p w14:paraId="1BAC3E78"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215 5/7</w:t>
            </w:r>
          </w:p>
        </w:tc>
        <w:tc>
          <w:tcPr>
            <w:tcW w:w="1737" w:type="dxa"/>
            <w:shd w:val="clear" w:color="auto" w:fill="auto"/>
            <w:noWrap/>
          </w:tcPr>
          <w:p w14:paraId="39E53871"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28,50%</w:t>
            </w:r>
          </w:p>
        </w:tc>
        <w:tc>
          <w:tcPr>
            <w:tcW w:w="1303" w:type="dxa"/>
            <w:shd w:val="clear" w:color="auto" w:fill="auto"/>
            <w:noWrap/>
          </w:tcPr>
          <w:p w14:paraId="29B31F65"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596</w:t>
            </w:r>
          </w:p>
        </w:tc>
        <w:tc>
          <w:tcPr>
            <w:tcW w:w="1592" w:type="dxa"/>
            <w:shd w:val="clear" w:color="auto" w:fill="auto"/>
            <w:noWrap/>
          </w:tcPr>
          <w:p w14:paraId="57C81F16"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31,17%</w:t>
            </w:r>
          </w:p>
        </w:tc>
      </w:tr>
      <w:tr w:rsidR="00733207" w14:paraId="6F74DFDB" w14:textId="77777777">
        <w:trPr>
          <w:trHeight w:val="85"/>
          <w:jc w:val="center"/>
        </w:trPr>
        <w:tc>
          <w:tcPr>
            <w:tcW w:w="3326" w:type="dxa"/>
            <w:shd w:val="clear" w:color="auto" w:fill="auto"/>
          </w:tcPr>
          <w:p w14:paraId="2254BC00"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Aujourd'hui au Faso</w:t>
            </w:r>
          </w:p>
        </w:tc>
        <w:tc>
          <w:tcPr>
            <w:tcW w:w="1447" w:type="dxa"/>
            <w:shd w:val="clear" w:color="auto" w:fill="auto"/>
          </w:tcPr>
          <w:p w14:paraId="27BD1176"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140 3/4</w:t>
            </w:r>
          </w:p>
        </w:tc>
        <w:tc>
          <w:tcPr>
            <w:tcW w:w="1737" w:type="dxa"/>
            <w:shd w:val="clear" w:color="auto" w:fill="auto"/>
            <w:noWrap/>
          </w:tcPr>
          <w:p w14:paraId="1B539DF5"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18,59%</w:t>
            </w:r>
          </w:p>
        </w:tc>
        <w:tc>
          <w:tcPr>
            <w:tcW w:w="1303" w:type="dxa"/>
            <w:shd w:val="clear" w:color="auto" w:fill="auto"/>
            <w:noWrap/>
          </w:tcPr>
          <w:p w14:paraId="71DF7B6B"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306</w:t>
            </w:r>
          </w:p>
        </w:tc>
        <w:tc>
          <w:tcPr>
            <w:tcW w:w="1592" w:type="dxa"/>
            <w:shd w:val="clear" w:color="auto" w:fill="auto"/>
            <w:noWrap/>
          </w:tcPr>
          <w:p w14:paraId="258EB9A6"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16,00%</w:t>
            </w:r>
          </w:p>
        </w:tc>
      </w:tr>
      <w:tr w:rsidR="00733207" w14:paraId="3510BC2F" w14:textId="77777777">
        <w:trPr>
          <w:trHeight w:val="85"/>
          <w:jc w:val="center"/>
        </w:trPr>
        <w:tc>
          <w:tcPr>
            <w:tcW w:w="3326" w:type="dxa"/>
            <w:shd w:val="clear" w:color="auto" w:fill="auto"/>
            <w:noWrap/>
          </w:tcPr>
          <w:p w14:paraId="71BCCA7E"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Le Pays</w:t>
            </w:r>
          </w:p>
        </w:tc>
        <w:tc>
          <w:tcPr>
            <w:tcW w:w="1447" w:type="dxa"/>
            <w:shd w:val="clear" w:color="auto" w:fill="auto"/>
            <w:noWrap/>
          </w:tcPr>
          <w:p w14:paraId="72B14060"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130 2/5</w:t>
            </w:r>
          </w:p>
        </w:tc>
        <w:tc>
          <w:tcPr>
            <w:tcW w:w="1737" w:type="dxa"/>
            <w:shd w:val="clear" w:color="auto" w:fill="auto"/>
            <w:noWrap/>
          </w:tcPr>
          <w:p w14:paraId="14FFA5C7"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17,23%</w:t>
            </w:r>
          </w:p>
        </w:tc>
        <w:tc>
          <w:tcPr>
            <w:tcW w:w="1303" w:type="dxa"/>
            <w:shd w:val="clear" w:color="auto" w:fill="auto"/>
            <w:noWrap/>
          </w:tcPr>
          <w:p w14:paraId="2E87835C"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323</w:t>
            </w:r>
          </w:p>
        </w:tc>
        <w:tc>
          <w:tcPr>
            <w:tcW w:w="1592" w:type="dxa"/>
            <w:shd w:val="clear" w:color="auto" w:fill="auto"/>
            <w:noWrap/>
          </w:tcPr>
          <w:p w14:paraId="1FC71F84"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16,89%</w:t>
            </w:r>
          </w:p>
        </w:tc>
      </w:tr>
      <w:tr w:rsidR="00733207" w14:paraId="1FE67C5B" w14:textId="77777777">
        <w:trPr>
          <w:trHeight w:val="85"/>
          <w:jc w:val="center"/>
        </w:trPr>
        <w:tc>
          <w:tcPr>
            <w:tcW w:w="3326" w:type="dxa"/>
            <w:shd w:val="clear" w:color="auto" w:fill="auto"/>
            <w:noWrap/>
          </w:tcPr>
          <w:p w14:paraId="5E101783"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Le Quotidien</w:t>
            </w:r>
          </w:p>
        </w:tc>
        <w:tc>
          <w:tcPr>
            <w:tcW w:w="1447" w:type="dxa"/>
            <w:shd w:val="clear" w:color="auto" w:fill="auto"/>
            <w:noWrap/>
          </w:tcPr>
          <w:p w14:paraId="2A62DE86"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114 7/8</w:t>
            </w:r>
          </w:p>
        </w:tc>
        <w:tc>
          <w:tcPr>
            <w:tcW w:w="1737" w:type="dxa"/>
            <w:shd w:val="clear" w:color="auto" w:fill="auto"/>
            <w:noWrap/>
          </w:tcPr>
          <w:p w14:paraId="2DFF7DAB"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15,18%</w:t>
            </w:r>
          </w:p>
        </w:tc>
        <w:tc>
          <w:tcPr>
            <w:tcW w:w="1303" w:type="dxa"/>
            <w:shd w:val="clear" w:color="auto" w:fill="auto"/>
            <w:noWrap/>
          </w:tcPr>
          <w:p w14:paraId="3D84CB6F"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314</w:t>
            </w:r>
          </w:p>
        </w:tc>
        <w:tc>
          <w:tcPr>
            <w:tcW w:w="1592" w:type="dxa"/>
            <w:shd w:val="clear" w:color="auto" w:fill="auto"/>
            <w:noWrap/>
          </w:tcPr>
          <w:p w14:paraId="2A7D31A6"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16,42%</w:t>
            </w:r>
          </w:p>
        </w:tc>
      </w:tr>
      <w:tr w:rsidR="00733207" w14:paraId="0DB1349F" w14:textId="77777777">
        <w:trPr>
          <w:trHeight w:val="460"/>
          <w:jc w:val="center"/>
        </w:trPr>
        <w:tc>
          <w:tcPr>
            <w:tcW w:w="3326" w:type="dxa"/>
            <w:shd w:val="clear" w:color="auto" w:fill="auto"/>
          </w:tcPr>
          <w:p w14:paraId="683D7ABC"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 xml:space="preserve">L'Observateur </w:t>
            </w:r>
            <w:proofErr w:type="spellStart"/>
            <w:r>
              <w:rPr>
                <w:rFonts w:ascii="Rockwell" w:eastAsia="Times New Roman" w:hAnsi="Rockwell"/>
                <w:b/>
                <w:bCs/>
                <w:sz w:val="24"/>
                <w:szCs w:val="24"/>
              </w:rPr>
              <w:t>Paalga</w:t>
            </w:r>
            <w:proofErr w:type="spellEnd"/>
          </w:p>
        </w:tc>
        <w:tc>
          <w:tcPr>
            <w:tcW w:w="1447" w:type="dxa"/>
            <w:shd w:val="clear" w:color="auto" w:fill="auto"/>
            <w:noWrap/>
          </w:tcPr>
          <w:p w14:paraId="199A69AC"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 xml:space="preserve">92    </w:t>
            </w:r>
          </w:p>
        </w:tc>
        <w:tc>
          <w:tcPr>
            <w:tcW w:w="1737" w:type="dxa"/>
            <w:shd w:val="clear" w:color="auto" w:fill="auto"/>
            <w:noWrap/>
          </w:tcPr>
          <w:p w14:paraId="53D4AA20"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12,15%</w:t>
            </w:r>
          </w:p>
        </w:tc>
        <w:tc>
          <w:tcPr>
            <w:tcW w:w="1303" w:type="dxa"/>
            <w:shd w:val="clear" w:color="auto" w:fill="auto"/>
            <w:noWrap/>
          </w:tcPr>
          <w:p w14:paraId="208F61C6"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216</w:t>
            </w:r>
          </w:p>
        </w:tc>
        <w:tc>
          <w:tcPr>
            <w:tcW w:w="1592" w:type="dxa"/>
            <w:shd w:val="clear" w:color="auto" w:fill="auto"/>
            <w:noWrap/>
          </w:tcPr>
          <w:p w14:paraId="37A69BBB"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11,30%</w:t>
            </w:r>
          </w:p>
        </w:tc>
      </w:tr>
      <w:tr w:rsidR="00733207" w14:paraId="0D5205A2" w14:textId="77777777">
        <w:trPr>
          <w:trHeight w:val="494"/>
          <w:jc w:val="center"/>
        </w:trPr>
        <w:tc>
          <w:tcPr>
            <w:tcW w:w="3326" w:type="dxa"/>
            <w:shd w:val="clear" w:color="auto" w:fill="auto"/>
          </w:tcPr>
          <w:p w14:paraId="623C6983"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L'Express du Faso</w:t>
            </w:r>
          </w:p>
        </w:tc>
        <w:tc>
          <w:tcPr>
            <w:tcW w:w="1447" w:type="dxa"/>
            <w:shd w:val="clear" w:color="auto" w:fill="auto"/>
          </w:tcPr>
          <w:p w14:paraId="42A8B7CF"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63 1/3</w:t>
            </w:r>
          </w:p>
        </w:tc>
        <w:tc>
          <w:tcPr>
            <w:tcW w:w="1737" w:type="dxa"/>
            <w:shd w:val="clear" w:color="auto" w:fill="auto"/>
            <w:noWrap/>
          </w:tcPr>
          <w:p w14:paraId="5DA04548"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8,37%</w:t>
            </w:r>
          </w:p>
        </w:tc>
        <w:tc>
          <w:tcPr>
            <w:tcW w:w="1303" w:type="dxa"/>
            <w:shd w:val="clear" w:color="auto" w:fill="auto"/>
            <w:noWrap/>
          </w:tcPr>
          <w:p w14:paraId="688EC720"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157</w:t>
            </w:r>
          </w:p>
        </w:tc>
        <w:tc>
          <w:tcPr>
            <w:tcW w:w="1592" w:type="dxa"/>
            <w:shd w:val="clear" w:color="auto" w:fill="auto"/>
            <w:noWrap/>
          </w:tcPr>
          <w:p w14:paraId="487A0D03" w14:textId="77777777" w:rsidR="00733207" w:rsidRDefault="00912BAE">
            <w:pPr>
              <w:spacing w:before="60" w:after="60" w:line="276" w:lineRule="auto"/>
              <w:jc w:val="both"/>
              <w:rPr>
                <w:rFonts w:ascii="Rockwell" w:eastAsia="Times New Roman" w:hAnsi="Rockwell"/>
                <w:sz w:val="24"/>
                <w:szCs w:val="24"/>
              </w:rPr>
            </w:pPr>
            <w:r>
              <w:rPr>
                <w:rFonts w:ascii="Rockwell" w:eastAsia="Times New Roman" w:hAnsi="Rockwell"/>
                <w:sz w:val="24"/>
                <w:szCs w:val="24"/>
              </w:rPr>
              <w:t>8,21%</w:t>
            </w:r>
          </w:p>
        </w:tc>
      </w:tr>
      <w:tr w:rsidR="00733207" w14:paraId="6DF9FC04" w14:textId="77777777">
        <w:trPr>
          <w:trHeight w:val="506"/>
          <w:jc w:val="center"/>
        </w:trPr>
        <w:tc>
          <w:tcPr>
            <w:tcW w:w="3326" w:type="dxa"/>
            <w:shd w:val="clear" w:color="auto" w:fill="auto"/>
            <w:noWrap/>
          </w:tcPr>
          <w:p w14:paraId="1EAECDA7"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TOTAL</w:t>
            </w:r>
          </w:p>
        </w:tc>
        <w:tc>
          <w:tcPr>
            <w:tcW w:w="1447" w:type="dxa"/>
            <w:shd w:val="clear" w:color="auto" w:fill="auto"/>
            <w:noWrap/>
          </w:tcPr>
          <w:p w14:paraId="3314432E"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 xml:space="preserve"> 756 4/5   </w:t>
            </w:r>
          </w:p>
        </w:tc>
        <w:tc>
          <w:tcPr>
            <w:tcW w:w="1737" w:type="dxa"/>
            <w:shd w:val="clear" w:color="auto" w:fill="auto"/>
            <w:noWrap/>
          </w:tcPr>
          <w:p w14:paraId="2B620870"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100,00%</w:t>
            </w:r>
          </w:p>
        </w:tc>
        <w:tc>
          <w:tcPr>
            <w:tcW w:w="1303" w:type="dxa"/>
            <w:shd w:val="clear" w:color="auto" w:fill="auto"/>
            <w:noWrap/>
          </w:tcPr>
          <w:p w14:paraId="6AEA8A86"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1912</w:t>
            </w:r>
          </w:p>
        </w:tc>
        <w:tc>
          <w:tcPr>
            <w:tcW w:w="1592" w:type="dxa"/>
            <w:shd w:val="clear" w:color="auto" w:fill="auto"/>
            <w:noWrap/>
          </w:tcPr>
          <w:p w14:paraId="42D12EB7" w14:textId="77777777" w:rsidR="00733207" w:rsidRDefault="00912BAE">
            <w:pPr>
              <w:spacing w:before="60" w:after="60" w:line="276" w:lineRule="auto"/>
              <w:jc w:val="both"/>
              <w:rPr>
                <w:rFonts w:ascii="Rockwell" w:eastAsia="Times New Roman" w:hAnsi="Rockwell"/>
                <w:b/>
                <w:bCs/>
                <w:sz w:val="24"/>
                <w:szCs w:val="24"/>
              </w:rPr>
            </w:pPr>
            <w:r>
              <w:rPr>
                <w:rFonts w:ascii="Rockwell" w:eastAsia="Times New Roman" w:hAnsi="Rockwell"/>
                <w:b/>
                <w:bCs/>
                <w:sz w:val="24"/>
                <w:szCs w:val="24"/>
              </w:rPr>
              <w:t>100,00%</w:t>
            </w:r>
          </w:p>
        </w:tc>
      </w:tr>
    </w:tbl>
    <w:p w14:paraId="7519C308" w14:textId="77777777" w:rsidR="00733207" w:rsidRDefault="00912BAE">
      <w:pPr>
        <w:spacing w:before="120" w:after="120" w:line="360" w:lineRule="auto"/>
        <w:ind w:left="142"/>
        <w:jc w:val="both"/>
        <w:rPr>
          <w:rFonts w:ascii="Rockwell" w:hAnsi="Rockwell"/>
          <w:i/>
          <w:color w:val="000000" w:themeColor="text1"/>
        </w:rPr>
        <w:sectPr w:rsidR="00733207">
          <w:pgSz w:w="11906" w:h="16838"/>
          <w:pgMar w:top="1418" w:right="851" w:bottom="1560" w:left="1560" w:header="426" w:footer="567"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60788BD8" w14:textId="77777777" w:rsidR="00733207" w:rsidRDefault="00912BAE">
      <w:pPr>
        <w:pStyle w:val="Paragraphedeliste"/>
        <w:tabs>
          <w:tab w:val="left" w:pos="1950"/>
        </w:tabs>
        <w:spacing w:before="120" w:after="120" w:line="360" w:lineRule="auto"/>
        <w:ind w:left="142"/>
        <w:jc w:val="center"/>
        <w:rPr>
          <w:rFonts w:ascii="Rockwell" w:hAnsi="Rockwell"/>
          <w:bCs/>
          <w:i/>
        </w:rPr>
      </w:pPr>
      <w:r>
        <w:rPr>
          <w:rFonts w:ascii="Rockwell" w:hAnsi="Rockwell"/>
          <w:b/>
          <w:i/>
          <w:u w:val="single"/>
        </w:rPr>
        <w:lastRenderedPageBreak/>
        <w:t>Graphique n° 5 :</w:t>
      </w:r>
      <w:r>
        <w:rPr>
          <w:rFonts w:ascii="Rockwell" w:hAnsi="Rockwell"/>
          <w:i/>
          <w:u w:val="single"/>
        </w:rPr>
        <w:t xml:space="preserve"> </w:t>
      </w:r>
      <w:r>
        <w:rPr>
          <w:rFonts w:ascii="Rockwell" w:hAnsi="Rockwell"/>
          <w:i/>
        </w:rPr>
        <w:t xml:space="preserve">Représentation </w:t>
      </w:r>
      <w:r>
        <w:rPr>
          <w:rFonts w:ascii="Rockwell" w:hAnsi="Rockwell"/>
          <w:bCs/>
          <w:i/>
        </w:rPr>
        <w:t xml:space="preserve">du </w:t>
      </w:r>
      <w:r>
        <w:rPr>
          <w:rFonts w:ascii="Rockwell" w:hAnsi="Rockwell"/>
          <w:i/>
        </w:rPr>
        <w:t>NP et du NI</w:t>
      </w:r>
      <w:r>
        <w:rPr>
          <w:rFonts w:ascii="Rockwell" w:hAnsi="Rockwell"/>
          <w:bCs/>
          <w:i/>
        </w:rPr>
        <w:t xml:space="preserve"> obtenus par les acteurs sociopolitiques dans les quotidiens</w:t>
      </w:r>
    </w:p>
    <w:p w14:paraId="0B99B823" w14:textId="77777777" w:rsidR="00733207" w:rsidRDefault="00733207">
      <w:pPr>
        <w:pStyle w:val="Paragraphedeliste"/>
        <w:tabs>
          <w:tab w:val="left" w:pos="1950"/>
        </w:tabs>
        <w:spacing w:before="120" w:after="120" w:line="360" w:lineRule="auto"/>
        <w:ind w:left="142"/>
        <w:jc w:val="both"/>
        <w:rPr>
          <w:rFonts w:ascii="Rockwell" w:hAnsi="Rockwell"/>
          <w:bCs/>
          <w:i/>
          <w:sz w:val="18"/>
          <w:szCs w:val="18"/>
          <w:u w:val="single"/>
        </w:rPr>
      </w:pPr>
    </w:p>
    <w:p w14:paraId="2339C1F3" w14:textId="77777777" w:rsidR="00733207" w:rsidRDefault="00912BAE">
      <w:pPr>
        <w:pStyle w:val="Paragraphedeliste"/>
        <w:tabs>
          <w:tab w:val="left" w:pos="1950"/>
        </w:tabs>
        <w:spacing w:before="120" w:after="120" w:line="360" w:lineRule="auto"/>
        <w:ind w:left="142"/>
        <w:jc w:val="both"/>
        <w:rPr>
          <w:rFonts w:ascii="Rockwell" w:hAnsi="Rockwell"/>
          <w:b/>
          <w:bCs/>
          <w:color w:val="FF0000"/>
          <w:sz w:val="18"/>
          <w:szCs w:val="18"/>
          <w:u w:val="single"/>
        </w:rPr>
      </w:pPr>
      <w:r>
        <w:rPr>
          <w:rFonts w:ascii="Rockwell" w:hAnsi="Rockwell"/>
          <w:noProof/>
          <w:sz w:val="26"/>
          <w:szCs w:val="26"/>
          <w:lang w:eastAsia="fr-FR"/>
        </w:rPr>
        <w:drawing>
          <wp:inline distT="0" distB="0" distL="0" distR="0" wp14:anchorId="26025EC0" wp14:editId="43F9AB70">
            <wp:extent cx="5741670" cy="2924175"/>
            <wp:effectExtent l="0" t="0" r="11430" b="9525"/>
            <wp:docPr id="53" name="Graphique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9D259B2" w14:textId="77777777" w:rsidR="00733207" w:rsidRDefault="00733207">
      <w:pPr>
        <w:pStyle w:val="Paragraphedeliste"/>
        <w:tabs>
          <w:tab w:val="left" w:pos="1950"/>
        </w:tabs>
        <w:spacing w:before="120" w:after="120" w:line="360" w:lineRule="auto"/>
        <w:ind w:left="142"/>
        <w:jc w:val="both"/>
        <w:rPr>
          <w:rFonts w:ascii="Rockwell" w:hAnsi="Rockwell"/>
          <w:b/>
          <w:bCs/>
          <w:color w:val="FF0000"/>
          <w:sz w:val="18"/>
          <w:szCs w:val="18"/>
          <w:u w:val="single"/>
        </w:rPr>
      </w:pPr>
    </w:p>
    <w:p w14:paraId="15C7FA60" w14:textId="77777777" w:rsidR="00733207" w:rsidRDefault="00733207">
      <w:pPr>
        <w:pStyle w:val="Paragraphedeliste"/>
        <w:tabs>
          <w:tab w:val="left" w:pos="1950"/>
        </w:tabs>
        <w:spacing w:before="120" w:after="120" w:line="360" w:lineRule="auto"/>
        <w:ind w:left="142"/>
        <w:jc w:val="both"/>
        <w:rPr>
          <w:rFonts w:ascii="Rockwell" w:hAnsi="Rockwell"/>
          <w:b/>
          <w:bCs/>
          <w:color w:val="FF0000"/>
          <w:sz w:val="6"/>
          <w:szCs w:val="6"/>
          <w:u w:val="single"/>
        </w:rPr>
      </w:pPr>
    </w:p>
    <w:p w14:paraId="33DD0054" w14:textId="5609C8AB" w:rsidR="00733207" w:rsidRDefault="00912BAE">
      <w:pPr>
        <w:pStyle w:val="Titre6"/>
        <w:jc w:val="center"/>
        <w:rPr>
          <w:rFonts w:ascii="Rockwell" w:eastAsia="Times New Roman" w:hAnsi="Rockwell"/>
          <w:b/>
          <w:i/>
          <w:color w:val="auto"/>
          <w:sz w:val="12"/>
          <w:szCs w:val="10"/>
        </w:rPr>
      </w:pPr>
      <w:bookmarkStart w:id="261" w:name="_Toc175128496"/>
      <w:r>
        <w:rPr>
          <w:rFonts w:ascii="Rockwell" w:hAnsi="Rockwell"/>
          <w:b/>
          <w:i/>
          <w:color w:val="auto"/>
          <w:sz w:val="24"/>
        </w:rPr>
        <w:t xml:space="preserve">f. classement des </w:t>
      </w:r>
      <w:r w:rsidR="00C27B05">
        <w:rPr>
          <w:rFonts w:ascii="Rockwell" w:hAnsi="Rockwell"/>
          <w:b/>
          <w:i/>
          <w:color w:val="auto"/>
          <w:sz w:val="24"/>
        </w:rPr>
        <w:t xml:space="preserve">quotidiens </w:t>
      </w:r>
      <w:r>
        <w:rPr>
          <w:rFonts w:ascii="Rockwell" w:hAnsi="Rockwell"/>
          <w:b/>
          <w:i/>
          <w:color w:val="auto"/>
          <w:sz w:val="24"/>
        </w:rPr>
        <w:t>en fonction des thématiques abordées</w:t>
      </w:r>
      <w:bookmarkEnd w:id="261"/>
    </w:p>
    <w:p w14:paraId="40626CFC" w14:textId="77777777" w:rsidR="00733207" w:rsidRDefault="00733207">
      <w:pPr>
        <w:spacing w:before="120" w:after="120" w:line="360" w:lineRule="auto"/>
        <w:jc w:val="both"/>
        <w:rPr>
          <w:rFonts w:ascii="Rockwell" w:eastAsia="Times New Roman" w:hAnsi="Rockwell"/>
          <w:b/>
          <w:bCs/>
          <w:color w:val="FF0000"/>
          <w:sz w:val="10"/>
          <w:szCs w:val="10"/>
        </w:rPr>
      </w:pPr>
    </w:p>
    <w:p w14:paraId="1AFBCA8D" w14:textId="0574437E" w:rsidR="00733207" w:rsidRDefault="00912BAE">
      <w:pPr>
        <w:spacing w:before="120" w:after="120" w:line="360" w:lineRule="auto"/>
        <w:ind w:left="567"/>
        <w:jc w:val="center"/>
        <w:rPr>
          <w:rFonts w:ascii="Rockwell" w:hAnsi="Rockwell"/>
          <w:b/>
          <w:bCs/>
          <w:i/>
          <w:u w:val="single"/>
        </w:rPr>
      </w:pPr>
      <w:r>
        <w:rPr>
          <w:rFonts w:ascii="Rockwell" w:hAnsi="Rockwell"/>
          <w:b/>
          <w:i/>
          <w:u w:val="single"/>
        </w:rPr>
        <w:t xml:space="preserve">Tableau n°6 : </w:t>
      </w:r>
      <w:r>
        <w:rPr>
          <w:rFonts w:ascii="Rockwell" w:hAnsi="Rockwell"/>
          <w:bCs/>
          <w:i/>
        </w:rPr>
        <w:t xml:space="preserve">Classement des </w:t>
      </w:r>
      <w:r w:rsidR="00C27B05">
        <w:rPr>
          <w:rFonts w:ascii="Rockwell" w:hAnsi="Rockwell"/>
          <w:bCs/>
          <w:i/>
        </w:rPr>
        <w:t xml:space="preserve">quotidiens </w:t>
      </w:r>
      <w:r>
        <w:rPr>
          <w:rFonts w:ascii="Rockwell" w:hAnsi="Rockwell"/>
          <w:bCs/>
          <w:i/>
        </w:rPr>
        <w:t xml:space="preserve">suivant les </w:t>
      </w:r>
      <w:r>
        <w:rPr>
          <w:rFonts w:ascii="Rockwell" w:hAnsi="Rockwell"/>
          <w:i/>
        </w:rPr>
        <w:t>NP et du NI</w:t>
      </w:r>
      <w:r>
        <w:rPr>
          <w:rFonts w:ascii="Rockwell" w:hAnsi="Rockwell"/>
          <w:bCs/>
          <w:i/>
        </w:rPr>
        <w:t xml:space="preserve"> accordés aux informations thématiques</w:t>
      </w: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1559"/>
        <w:gridCol w:w="1134"/>
        <w:gridCol w:w="1276"/>
        <w:gridCol w:w="1613"/>
      </w:tblGrid>
      <w:tr w:rsidR="00733207" w14:paraId="116E1456" w14:textId="77777777">
        <w:trPr>
          <w:trHeight w:val="357"/>
          <w:jc w:val="center"/>
        </w:trPr>
        <w:tc>
          <w:tcPr>
            <w:tcW w:w="3539" w:type="dxa"/>
            <w:shd w:val="clear" w:color="auto" w:fill="auto"/>
            <w:noWrap/>
          </w:tcPr>
          <w:p w14:paraId="4896563E"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MEDIAS</w:t>
            </w:r>
          </w:p>
        </w:tc>
        <w:tc>
          <w:tcPr>
            <w:tcW w:w="1559" w:type="dxa"/>
            <w:shd w:val="clear" w:color="auto" w:fill="auto"/>
            <w:noWrap/>
          </w:tcPr>
          <w:p w14:paraId="4A776C41"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NP</w:t>
            </w:r>
          </w:p>
        </w:tc>
        <w:tc>
          <w:tcPr>
            <w:tcW w:w="1134" w:type="dxa"/>
            <w:shd w:val="clear" w:color="auto" w:fill="auto"/>
            <w:noWrap/>
          </w:tcPr>
          <w:p w14:paraId="6280CA62"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%NP</w:t>
            </w:r>
          </w:p>
        </w:tc>
        <w:tc>
          <w:tcPr>
            <w:tcW w:w="1276" w:type="dxa"/>
            <w:shd w:val="clear" w:color="auto" w:fill="auto"/>
            <w:noWrap/>
          </w:tcPr>
          <w:p w14:paraId="01E10A77"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NI</w:t>
            </w:r>
          </w:p>
        </w:tc>
        <w:tc>
          <w:tcPr>
            <w:tcW w:w="1613" w:type="dxa"/>
            <w:shd w:val="clear" w:color="auto" w:fill="auto"/>
            <w:noWrap/>
          </w:tcPr>
          <w:p w14:paraId="315B2A2F"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%NI</w:t>
            </w:r>
          </w:p>
        </w:tc>
      </w:tr>
      <w:tr w:rsidR="00733207" w14:paraId="254D0B25" w14:textId="77777777">
        <w:trPr>
          <w:trHeight w:val="357"/>
          <w:jc w:val="center"/>
        </w:trPr>
        <w:tc>
          <w:tcPr>
            <w:tcW w:w="3539" w:type="dxa"/>
            <w:shd w:val="clear" w:color="auto" w:fill="auto"/>
            <w:noWrap/>
          </w:tcPr>
          <w:p w14:paraId="470EE7C1"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SIDWAYA</w:t>
            </w:r>
          </w:p>
        </w:tc>
        <w:tc>
          <w:tcPr>
            <w:tcW w:w="1559" w:type="dxa"/>
            <w:shd w:val="clear" w:color="auto" w:fill="auto"/>
            <w:noWrap/>
          </w:tcPr>
          <w:p w14:paraId="21DDC004"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247 1/2</w:t>
            </w:r>
          </w:p>
        </w:tc>
        <w:tc>
          <w:tcPr>
            <w:tcW w:w="1134" w:type="dxa"/>
            <w:shd w:val="clear" w:color="auto" w:fill="auto"/>
            <w:noWrap/>
          </w:tcPr>
          <w:p w14:paraId="531C1851"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36%</w:t>
            </w:r>
          </w:p>
        </w:tc>
        <w:tc>
          <w:tcPr>
            <w:tcW w:w="1276" w:type="dxa"/>
            <w:shd w:val="clear" w:color="auto" w:fill="auto"/>
            <w:noWrap/>
          </w:tcPr>
          <w:p w14:paraId="77DDC479"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692</w:t>
            </w:r>
          </w:p>
        </w:tc>
        <w:tc>
          <w:tcPr>
            <w:tcW w:w="1613" w:type="dxa"/>
            <w:shd w:val="clear" w:color="auto" w:fill="auto"/>
            <w:noWrap/>
          </w:tcPr>
          <w:p w14:paraId="11C74920"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37%</w:t>
            </w:r>
          </w:p>
        </w:tc>
      </w:tr>
      <w:tr w:rsidR="00733207" w14:paraId="6ECE1D4D" w14:textId="77777777">
        <w:trPr>
          <w:trHeight w:val="357"/>
          <w:jc w:val="center"/>
        </w:trPr>
        <w:tc>
          <w:tcPr>
            <w:tcW w:w="3539" w:type="dxa"/>
            <w:shd w:val="clear" w:color="auto" w:fill="auto"/>
            <w:noWrap/>
          </w:tcPr>
          <w:p w14:paraId="17B15EF7"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LE PAYS</w:t>
            </w:r>
          </w:p>
        </w:tc>
        <w:tc>
          <w:tcPr>
            <w:tcW w:w="1559" w:type="dxa"/>
            <w:shd w:val="clear" w:color="auto" w:fill="auto"/>
            <w:noWrap/>
          </w:tcPr>
          <w:p w14:paraId="0A94D904"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138</w:t>
            </w:r>
          </w:p>
        </w:tc>
        <w:tc>
          <w:tcPr>
            <w:tcW w:w="1134" w:type="dxa"/>
            <w:shd w:val="clear" w:color="auto" w:fill="auto"/>
            <w:noWrap/>
          </w:tcPr>
          <w:p w14:paraId="0B56132C"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20%</w:t>
            </w:r>
          </w:p>
        </w:tc>
        <w:tc>
          <w:tcPr>
            <w:tcW w:w="1276" w:type="dxa"/>
            <w:shd w:val="clear" w:color="auto" w:fill="auto"/>
            <w:noWrap/>
          </w:tcPr>
          <w:p w14:paraId="002A329D"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404</w:t>
            </w:r>
          </w:p>
        </w:tc>
        <w:tc>
          <w:tcPr>
            <w:tcW w:w="1613" w:type="dxa"/>
            <w:shd w:val="clear" w:color="auto" w:fill="auto"/>
            <w:noWrap/>
          </w:tcPr>
          <w:p w14:paraId="6DE46A47"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22%</w:t>
            </w:r>
          </w:p>
        </w:tc>
      </w:tr>
      <w:tr w:rsidR="00733207" w14:paraId="47F3347D" w14:textId="77777777">
        <w:trPr>
          <w:trHeight w:val="357"/>
          <w:jc w:val="center"/>
        </w:trPr>
        <w:tc>
          <w:tcPr>
            <w:tcW w:w="3539" w:type="dxa"/>
            <w:shd w:val="clear" w:color="auto" w:fill="auto"/>
            <w:noWrap/>
          </w:tcPr>
          <w:p w14:paraId="744716C5"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L'OBSERVATEUR PAALGA</w:t>
            </w:r>
          </w:p>
        </w:tc>
        <w:tc>
          <w:tcPr>
            <w:tcW w:w="1559" w:type="dxa"/>
            <w:shd w:val="clear" w:color="auto" w:fill="auto"/>
            <w:noWrap/>
          </w:tcPr>
          <w:p w14:paraId="664170E3"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112</w:t>
            </w:r>
          </w:p>
        </w:tc>
        <w:tc>
          <w:tcPr>
            <w:tcW w:w="1134" w:type="dxa"/>
            <w:shd w:val="clear" w:color="auto" w:fill="auto"/>
            <w:noWrap/>
          </w:tcPr>
          <w:p w14:paraId="77948EE6"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16%</w:t>
            </w:r>
          </w:p>
        </w:tc>
        <w:tc>
          <w:tcPr>
            <w:tcW w:w="1276" w:type="dxa"/>
            <w:shd w:val="clear" w:color="auto" w:fill="auto"/>
            <w:noWrap/>
          </w:tcPr>
          <w:p w14:paraId="193B16FA"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279</w:t>
            </w:r>
          </w:p>
        </w:tc>
        <w:tc>
          <w:tcPr>
            <w:tcW w:w="1613" w:type="dxa"/>
            <w:shd w:val="clear" w:color="auto" w:fill="auto"/>
            <w:noWrap/>
          </w:tcPr>
          <w:p w14:paraId="0AED2D65"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15%</w:t>
            </w:r>
          </w:p>
        </w:tc>
      </w:tr>
      <w:tr w:rsidR="00733207" w14:paraId="1F44484E" w14:textId="77777777">
        <w:trPr>
          <w:trHeight w:val="357"/>
          <w:jc w:val="center"/>
        </w:trPr>
        <w:tc>
          <w:tcPr>
            <w:tcW w:w="3539" w:type="dxa"/>
            <w:shd w:val="clear" w:color="auto" w:fill="auto"/>
            <w:noWrap/>
          </w:tcPr>
          <w:p w14:paraId="58316D1C"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L'EXPRESS DU FASO</w:t>
            </w:r>
          </w:p>
        </w:tc>
        <w:tc>
          <w:tcPr>
            <w:tcW w:w="1559" w:type="dxa"/>
            <w:shd w:val="clear" w:color="auto" w:fill="auto"/>
            <w:noWrap/>
          </w:tcPr>
          <w:p w14:paraId="7B33B2DF"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79</w:t>
            </w:r>
          </w:p>
        </w:tc>
        <w:tc>
          <w:tcPr>
            <w:tcW w:w="1134" w:type="dxa"/>
            <w:shd w:val="clear" w:color="auto" w:fill="auto"/>
            <w:noWrap/>
          </w:tcPr>
          <w:p w14:paraId="0961FDD7"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12%</w:t>
            </w:r>
          </w:p>
        </w:tc>
        <w:tc>
          <w:tcPr>
            <w:tcW w:w="1276" w:type="dxa"/>
            <w:shd w:val="clear" w:color="auto" w:fill="auto"/>
            <w:noWrap/>
          </w:tcPr>
          <w:p w14:paraId="0F53D915"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222</w:t>
            </w:r>
          </w:p>
        </w:tc>
        <w:tc>
          <w:tcPr>
            <w:tcW w:w="1613" w:type="dxa"/>
            <w:shd w:val="clear" w:color="auto" w:fill="auto"/>
            <w:noWrap/>
          </w:tcPr>
          <w:p w14:paraId="1EBBA20B"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12%</w:t>
            </w:r>
          </w:p>
        </w:tc>
      </w:tr>
      <w:tr w:rsidR="00733207" w14:paraId="75B40A00" w14:textId="77777777">
        <w:trPr>
          <w:trHeight w:val="357"/>
          <w:jc w:val="center"/>
        </w:trPr>
        <w:tc>
          <w:tcPr>
            <w:tcW w:w="3539" w:type="dxa"/>
            <w:shd w:val="clear" w:color="auto" w:fill="auto"/>
            <w:noWrap/>
          </w:tcPr>
          <w:p w14:paraId="199696AE"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AUJOURD'HUI AU FASO</w:t>
            </w:r>
          </w:p>
        </w:tc>
        <w:tc>
          <w:tcPr>
            <w:tcW w:w="1559" w:type="dxa"/>
            <w:shd w:val="clear" w:color="auto" w:fill="auto"/>
            <w:noWrap/>
          </w:tcPr>
          <w:p w14:paraId="411F497B"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69 1/4</w:t>
            </w:r>
          </w:p>
        </w:tc>
        <w:tc>
          <w:tcPr>
            <w:tcW w:w="1134" w:type="dxa"/>
            <w:shd w:val="clear" w:color="auto" w:fill="auto"/>
            <w:noWrap/>
          </w:tcPr>
          <w:p w14:paraId="6852DD55"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10%</w:t>
            </w:r>
          </w:p>
        </w:tc>
        <w:tc>
          <w:tcPr>
            <w:tcW w:w="1276" w:type="dxa"/>
            <w:shd w:val="clear" w:color="auto" w:fill="auto"/>
            <w:noWrap/>
          </w:tcPr>
          <w:p w14:paraId="4E01E410"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155</w:t>
            </w:r>
          </w:p>
        </w:tc>
        <w:tc>
          <w:tcPr>
            <w:tcW w:w="1613" w:type="dxa"/>
            <w:shd w:val="clear" w:color="auto" w:fill="auto"/>
            <w:noWrap/>
          </w:tcPr>
          <w:p w14:paraId="39972004"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8%</w:t>
            </w:r>
          </w:p>
        </w:tc>
      </w:tr>
      <w:tr w:rsidR="00733207" w14:paraId="33417628" w14:textId="77777777">
        <w:trPr>
          <w:trHeight w:val="357"/>
          <w:jc w:val="center"/>
        </w:trPr>
        <w:tc>
          <w:tcPr>
            <w:tcW w:w="3539" w:type="dxa"/>
            <w:shd w:val="clear" w:color="auto" w:fill="auto"/>
            <w:noWrap/>
          </w:tcPr>
          <w:p w14:paraId="16F085F5"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LE QUOTIDIEN</w:t>
            </w:r>
          </w:p>
        </w:tc>
        <w:tc>
          <w:tcPr>
            <w:tcW w:w="1559" w:type="dxa"/>
            <w:shd w:val="clear" w:color="auto" w:fill="auto"/>
            <w:noWrap/>
          </w:tcPr>
          <w:p w14:paraId="244FC778"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37 1/4</w:t>
            </w:r>
          </w:p>
        </w:tc>
        <w:tc>
          <w:tcPr>
            <w:tcW w:w="1134" w:type="dxa"/>
            <w:shd w:val="clear" w:color="auto" w:fill="auto"/>
            <w:noWrap/>
          </w:tcPr>
          <w:p w14:paraId="23A41AAA"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5%</w:t>
            </w:r>
          </w:p>
        </w:tc>
        <w:tc>
          <w:tcPr>
            <w:tcW w:w="1276" w:type="dxa"/>
            <w:shd w:val="clear" w:color="auto" w:fill="auto"/>
            <w:noWrap/>
          </w:tcPr>
          <w:p w14:paraId="699FBDF4"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105</w:t>
            </w:r>
          </w:p>
        </w:tc>
        <w:tc>
          <w:tcPr>
            <w:tcW w:w="1613" w:type="dxa"/>
            <w:shd w:val="clear" w:color="auto" w:fill="auto"/>
            <w:noWrap/>
          </w:tcPr>
          <w:p w14:paraId="30471D72" w14:textId="77777777" w:rsidR="00733207" w:rsidRDefault="00912BAE">
            <w:pPr>
              <w:spacing w:before="60" w:after="60" w:line="360" w:lineRule="auto"/>
              <w:jc w:val="both"/>
              <w:rPr>
                <w:rFonts w:ascii="Rockwell" w:eastAsia="Times New Roman" w:hAnsi="Rockwell" w:cs="Calibri"/>
                <w:bCs/>
                <w:sz w:val="24"/>
                <w:szCs w:val="24"/>
              </w:rPr>
            </w:pPr>
            <w:r>
              <w:rPr>
                <w:rFonts w:ascii="Rockwell" w:eastAsia="Times New Roman" w:hAnsi="Rockwell" w:cs="Calibri"/>
                <w:bCs/>
                <w:sz w:val="24"/>
                <w:szCs w:val="24"/>
              </w:rPr>
              <w:t>6%</w:t>
            </w:r>
          </w:p>
        </w:tc>
      </w:tr>
      <w:tr w:rsidR="00733207" w14:paraId="31B8E279" w14:textId="77777777">
        <w:trPr>
          <w:trHeight w:val="357"/>
          <w:jc w:val="center"/>
        </w:trPr>
        <w:tc>
          <w:tcPr>
            <w:tcW w:w="3539" w:type="dxa"/>
            <w:shd w:val="clear" w:color="auto" w:fill="auto"/>
            <w:noWrap/>
          </w:tcPr>
          <w:p w14:paraId="715EAAE7" w14:textId="77777777" w:rsidR="00733207" w:rsidRDefault="00912BAE">
            <w:pPr>
              <w:spacing w:before="60" w:after="6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TOTAL</w:t>
            </w:r>
          </w:p>
        </w:tc>
        <w:tc>
          <w:tcPr>
            <w:tcW w:w="1559" w:type="dxa"/>
            <w:shd w:val="clear" w:color="auto" w:fill="auto"/>
            <w:noWrap/>
          </w:tcPr>
          <w:p w14:paraId="57CF5FF8" w14:textId="77777777" w:rsidR="00733207" w:rsidRDefault="00912BAE">
            <w:pPr>
              <w:spacing w:before="60" w:after="60" w:line="360" w:lineRule="auto"/>
              <w:jc w:val="both"/>
              <w:rPr>
                <w:rFonts w:ascii="Rockwell" w:eastAsia="Times New Roman" w:hAnsi="Rockwell" w:cs="Calibri"/>
                <w:b/>
                <w:sz w:val="24"/>
                <w:szCs w:val="24"/>
              </w:rPr>
            </w:pPr>
            <w:r>
              <w:rPr>
                <w:rFonts w:ascii="Rockwell" w:eastAsia="Times New Roman" w:hAnsi="Rockwell" w:cs="Calibri"/>
                <w:b/>
                <w:sz w:val="24"/>
                <w:szCs w:val="24"/>
              </w:rPr>
              <w:t xml:space="preserve">683    </w:t>
            </w:r>
          </w:p>
        </w:tc>
        <w:tc>
          <w:tcPr>
            <w:tcW w:w="1134" w:type="dxa"/>
            <w:shd w:val="clear" w:color="auto" w:fill="auto"/>
            <w:noWrap/>
          </w:tcPr>
          <w:p w14:paraId="49A19744" w14:textId="77777777" w:rsidR="00733207" w:rsidRDefault="00912BAE">
            <w:pPr>
              <w:spacing w:before="60" w:after="60" w:line="360" w:lineRule="auto"/>
              <w:jc w:val="both"/>
              <w:rPr>
                <w:rFonts w:ascii="Rockwell" w:eastAsia="Times New Roman" w:hAnsi="Rockwell" w:cs="Calibri"/>
                <w:b/>
                <w:sz w:val="24"/>
                <w:szCs w:val="24"/>
              </w:rPr>
            </w:pPr>
            <w:r>
              <w:rPr>
                <w:rFonts w:ascii="Rockwell" w:eastAsia="Times New Roman" w:hAnsi="Rockwell" w:cs="Calibri"/>
                <w:b/>
                <w:sz w:val="24"/>
                <w:szCs w:val="24"/>
              </w:rPr>
              <w:t>100%</w:t>
            </w:r>
          </w:p>
        </w:tc>
        <w:tc>
          <w:tcPr>
            <w:tcW w:w="1276" w:type="dxa"/>
            <w:shd w:val="clear" w:color="auto" w:fill="auto"/>
            <w:noWrap/>
          </w:tcPr>
          <w:p w14:paraId="5734F44D" w14:textId="77777777" w:rsidR="00733207" w:rsidRDefault="00912BAE">
            <w:pPr>
              <w:spacing w:before="60" w:after="60" w:line="360" w:lineRule="auto"/>
              <w:jc w:val="both"/>
              <w:rPr>
                <w:rFonts w:ascii="Rockwell" w:eastAsia="Times New Roman" w:hAnsi="Rockwell" w:cs="Calibri"/>
                <w:b/>
                <w:sz w:val="24"/>
                <w:szCs w:val="24"/>
              </w:rPr>
            </w:pPr>
            <w:r>
              <w:rPr>
                <w:rFonts w:ascii="Rockwell" w:eastAsia="Times New Roman" w:hAnsi="Rockwell" w:cs="Calibri"/>
                <w:b/>
                <w:sz w:val="24"/>
                <w:szCs w:val="24"/>
              </w:rPr>
              <w:t>1857</w:t>
            </w:r>
          </w:p>
        </w:tc>
        <w:tc>
          <w:tcPr>
            <w:tcW w:w="1613" w:type="dxa"/>
            <w:shd w:val="clear" w:color="auto" w:fill="auto"/>
            <w:noWrap/>
          </w:tcPr>
          <w:p w14:paraId="258D1DB1" w14:textId="77777777" w:rsidR="00733207" w:rsidRDefault="00912BAE">
            <w:pPr>
              <w:spacing w:before="60" w:after="60" w:line="360" w:lineRule="auto"/>
              <w:jc w:val="both"/>
              <w:rPr>
                <w:rFonts w:ascii="Rockwell" w:eastAsia="Times New Roman" w:hAnsi="Rockwell" w:cs="Calibri"/>
                <w:b/>
                <w:sz w:val="24"/>
                <w:szCs w:val="24"/>
              </w:rPr>
            </w:pPr>
            <w:r>
              <w:rPr>
                <w:rFonts w:ascii="Rockwell" w:eastAsia="Times New Roman" w:hAnsi="Rockwell" w:cs="Calibri"/>
                <w:b/>
                <w:sz w:val="24"/>
                <w:szCs w:val="24"/>
              </w:rPr>
              <w:t>100%</w:t>
            </w:r>
          </w:p>
        </w:tc>
      </w:tr>
    </w:tbl>
    <w:p w14:paraId="33854F54" w14:textId="77777777" w:rsidR="00733207" w:rsidRDefault="00912BAE">
      <w:pPr>
        <w:spacing w:before="120" w:after="120" w:line="360" w:lineRule="auto"/>
        <w:ind w:left="426"/>
        <w:jc w:val="both"/>
        <w:rPr>
          <w:rFonts w:ascii="Rockwell" w:hAnsi="Rockwell"/>
          <w:i/>
          <w:color w:val="000000" w:themeColor="text1"/>
        </w:rPr>
        <w:sectPr w:rsidR="00733207">
          <w:pgSz w:w="11906" w:h="16838"/>
          <w:pgMar w:top="1418" w:right="1418" w:bottom="709" w:left="709" w:header="709" w:footer="23"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33845DDF" w14:textId="77777777" w:rsidR="00733207" w:rsidRDefault="00912BAE">
      <w:pPr>
        <w:tabs>
          <w:tab w:val="left" w:pos="1418"/>
        </w:tabs>
        <w:spacing w:before="120" w:after="120" w:line="360" w:lineRule="auto"/>
        <w:ind w:left="993"/>
        <w:jc w:val="center"/>
        <w:rPr>
          <w:rFonts w:ascii="Rockwell" w:hAnsi="Rockwell"/>
          <w:i/>
        </w:rPr>
      </w:pPr>
      <w:r>
        <w:rPr>
          <w:rFonts w:ascii="Rockwell" w:hAnsi="Rockwell"/>
          <w:b/>
          <w:i/>
          <w:u w:val="single"/>
        </w:rPr>
        <w:lastRenderedPageBreak/>
        <w:t>Graphique n°6</w:t>
      </w:r>
      <w:r>
        <w:rPr>
          <w:rFonts w:ascii="Rockwell" w:hAnsi="Rockwell"/>
          <w:i/>
        </w:rPr>
        <w:t> :  Représentation des médias selon les NP et les NI</w:t>
      </w:r>
    </w:p>
    <w:p w14:paraId="78120741" w14:textId="77777777" w:rsidR="00733207" w:rsidRDefault="00912BAE">
      <w:pPr>
        <w:spacing w:before="120" w:after="120" w:line="360" w:lineRule="auto"/>
        <w:jc w:val="both"/>
        <w:rPr>
          <w:rFonts w:ascii="Rockwell" w:eastAsia="Times New Roman" w:hAnsi="Rockwell"/>
          <w:color w:val="FF0000"/>
          <w:sz w:val="26"/>
          <w:szCs w:val="26"/>
        </w:rPr>
      </w:pPr>
      <w:r>
        <w:rPr>
          <w:rFonts w:ascii="Rockwell" w:eastAsia="Times New Roman" w:hAnsi="Rockwell"/>
          <w:color w:val="FF0000"/>
          <w:sz w:val="26"/>
          <w:szCs w:val="26"/>
        </w:rPr>
        <w:t xml:space="preserve">      </w:t>
      </w:r>
      <w:r>
        <w:rPr>
          <w:rFonts w:ascii="Rockwell" w:hAnsi="Rockwell"/>
          <w:noProof/>
          <w:sz w:val="26"/>
          <w:szCs w:val="26"/>
          <w:lang w:eastAsia="fr-FR"/>
        </w:rPr>
        <w:drawing>
          <wp:inline distT="0" distB="0" distL="0" distR="0" wp14:anchorId="5C32D0A9" wp14:editId="247BCF98">
            <wp:extent cx="5629275" cy="3571875"/>
            <wp:effectExtent l="0" t="0" r="9525" b="9525"/>
            <wp:docPr id="54" name="Graphique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66AD413F" w14:textId="77777777" w:rsidR="00733207" w:rsidRDefault="00733207">
      <w:pPr>
        <w:spacing w:before="120" w:after="120" w:line="360" w:lineRule="auto"/>
        <w:ind w:left="566" w:firstLine="143"/>
        <w:jc w:val="both"/>
        <w:rPr>
          <w:rFonts w:ascii="Rockwell" w:eastAsia="Times New Roman" w:hAnsi="Rockwell"/>
          <w:color w:val="FF0000"/>
          <w:sz w:val="26"/>
          <w:szCs w:val="26"/>
        </w:rPr>
      </w:pPr>
    </w:p>
    <w:p w14:paraId="1FACF8D0" w14:textId="77777777" w:rsidR="00733207" w:rsidRDefault="00912BAE">
      <w:pPr>
        <w:pStyle w:val="Titre5"/>
        <w:jc w:val="center"/>
        <w:rPr>
          <w:rFonts w:ascii="Rockwell" w:hAnsi="Rockwell"/>
          <w:b/>
          <w:color w:val="auto"/>
          <w:sz w:val="26"/>
          <w:szCs w:val="26"/>
        </w:rPr>
      </w:pPr>
      <w:bookmarkStart w:id="262" w:name="_Toc161320222"/>
      <w:bookmarkStart w:id="263" w:name="_Toc169855163"/>
      <w:bookmarkStart w:id="264" w:name="_Toc175128497"/>
      <w:r>
        <w:rPr>
          <w:rFonts w:ascii="Rockwell" w:hAnsi="Rockwell"/>
          <w:color w:val="auto"/>
          <w:sz w:val="26"/>
          <w:szCs w:val="26"/>
        </w:rPr>
        <w:t>1.3. Analyse des données</w:t>
      </w:r>
      <w:bookmarkEnd w:id="262"/>
      <w:bookmarkEnd w:id="263"/>
      <w:bookmarkEnd w:id="264"/>
    </w:p>
    <w:p w14:paraId="49D1FEC1" w14:textId="77777777" w:rsidR="00733207" w:rsidRDefault="00733207">
      <w:pPr>
        <w:pStyle w:val="Paragraphedeliste"/>
        <w:spacing w:before="120" w:after="120" w:line="360" w:lineRule="auto"/>
        <w:jc w:val="both"/>
        <w:rPr>
          <w:rFonts w:ascii="Rockwell" w:hAnsi="Rockwell"/>
          <w:sz w:val="10"/>
          <w:szCs w:val="10"/>
        </w:rPr>
      </w:pPr>
    </w:p>
    <w:p w14:paraId="18271EFD"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t>Suite à l'avènement de la Transition, les activités des partis politiques et des organisations de la société civile ont été suspendues. Néanmoins, cette situation n'a pas empêché la couverture médiatique de certaines de leurs activités par la presse écrite.</w:t>
      </w:r>
    </w:p>
    <w:p w14:paraId="2FDC8077"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t>Pour le premier trimestre de l’année 2023, l’étude menée sur la presse écrite a porté sur les six (06) quotidiens, qui ont consacré un total de 74 ½ de pages et 125 illustrations aux partis politiques. Les trois (03) partis qui ont le plus bénéficié de pages et d'illustrations sont le RPR (19,27% de NP et 19,20% de NI), le MCR (9,29% de NP et 13,60% de NI) et le RPI (7,12% de NP et 8% de NI). Cette répartition montre une prédominance de la couverture médiatique en faveur du RPR, indiquant un déséquilibre de l’information. Parmi les 152 partis politiques recensés au Burkina</w:t>
      </w:r>
      <w:r>
        <w:rPr>
          <w:rStyle w:val="Appelnotedebasdep"/>
          <w:rFonts w:ascii="Rockwell" w:hAnsi="Rockwell"/>
          <w:sz w:val="26"/>
          <w:szCs w:val="26"/>
        </w:rPr>
        <w:footnoteReference w:id="6"/>
      </w:r>
      <w:r>
        <w:rPr>
          <w:rFonts w:ascii="Rockwell" w:hAnsi="Rockwell"/>
          <w:sz w:val="26"/>
          <w:szCs w:val="26"/>
        </w:rPr>
        <w:t>, seuls 33 ont été mis en exergue dans les journaux.</w:t>
      </w:r>
    </w:p>
    <w:p w14:paraId="393923AE"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lastRenderedPageBreak/>
        <w:t xml:space="preserve">En ce qui concerne le traitement de l’information politique, le journal </w:t>
      </w:r>
      <w:r>
        <w:rPr>
          <w:rFonts w:ascii="Rockwell" w:hAnsi="Rockwell"/>
          <w:i/>
          <w:sz w:val="26"/>
          <w:szCs w:val="26"/>
        </w:rPr>
        <w:t>Le Pays</w:t>
      </w:r>
      <w:r>
        <w:rPr>
          <w:rFonts w:ascii="Rockwell" w:hAnsi="Rockwell"/>
          <w:sz w:val="26"/>
          <w:szCs w:val="26"/>
        </w:rPr>
        <w:t xml:space="preserve"> a largement ouvert ses colonnes aux partis politiques (37,62% de NP et 37,60% de NI), suivi de </w:t>
      </w:r>
      <w:r>
        <w:rPr>
          <w:rFonts w:ascii="Rockwell" w:hAnsi="Rockwell"/>
          <w:i/>
          <w:sz w:val="26"/>
          <w:szCs w:val="26"/>
        </w:rPr>
        <w:t xml:space="preserve">L’Observateur </w:t>
      </w:r>
      <w:proofErr w:type="spellStart"/>
      <w:r>
        <w:rPr>
          <w:rFonts w:ascii="Rockwell" w:hAnsi="Rockwell"/>
          <w:i/>
          <w:sz w:val="26"/>
          <w:szCs w:val="26"/>
        </w:rPr>
        <w:t>Paalga</w:t>
      </w:r>
      <w:proofErr w:type="spellEnd"/>
      <w:r>
        <w:rPr>
          <w:rFonts w:ascii="Rockwell" w:hAnsi="Rockwell"/>
          <w:sz w:val="26"/>
          <w:szCs w:val="26"/>
        </w:rPr>
        <w:t xml:space="preserve"> (20,49% de NP et 20% de NI) et </w:t>
      </w:r>
      <w:proofErr w:type="gramStart"/>
      <w:r>
        <w:rPr>
          <w:rFonts w:ascii="Rockwell" w:hAnsi="Rockwell"/>
          <w:sz w:val="26"/>
          <w:szCs w:val="26"/>
        </w:rPr>
        <w:t xml:space="preserve">de </w:t>
      </w:r>
      <w:r>
        <w:rPr>
          <w:rFonts w:ascii="Rockwell" w:hAnsi="Rockwell"/>
          <w:i/>
          <w:sz w:val="26"/>
          <w:szCs w:val="26"/>
        </w:rPr>
        <w:t>Aujourd’hui</w:t>
      </w:r>
      <w:proofErr w:type="gramEnd"/>
      <w:r>
        <w:rPr>
          <w:rFonts w:ascii="Rockwell" w:hAnsi="Rockwell"/>
          <w:i/>
          <w:sz w:val="26"/>
          <w:szCs w:val="26"/>
        </w:rPr>
        <w:t xml:space="preserve"> au Faso</w:t>
      </w:r>
      <w:r>
        <w:rPr>
          <w:rFonts w:ascii="Rockwell" w:hAnsi="Rockwell"/>
          <w:sz w:val="26"/>
          <w:szCs w:val="26"/>
        </w:rPr>
        <w:t xml:space="preserve"> (13,97% de NP et 14,40% de NI). </w:t>
      </w:r>
    </w:p>
    <w:p w14:paraId="601AAADE"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t>Durant le deuxième trimestre de 2023, le même échantillon de journaux analysé fait ressortir 756</w:t>
      </w:r>
      <w:r>
        <w:rPr>
          <w:rFonts w:ascii="Rockwell" w:hAnsi="Rockwell"/>
          <w:b/>
          <w:sz w:val="26"/>
          <w:szCs w:val="26"/>
        </w:rPr>
        <w:t xml:space="preserve"> </w:t>
      </w:r>
      <w:r>
        <w:rPr>
          <w:rFonts w:ascii="Rockwell" w:hAnsi="Rockwell"/>
          <w:sz w:val="26"/>
          <w:szCs w:val="26"/>
          <w:vertAlign w:val="superscript"/>
        </w:rPr>
        <w:t>4/5</w:t>
      </w:r>
      <w:r>
        <w:rPr>
          <w:rFonts w:ascii="Rockwell" w:hAnsi="Rockwell"/>
          <w:b/>
          <w:sz w:val="26"/>
          <w:szCs w:val="26"/>
        </w:rPr>
        <w:t xml:space="preserve"> </w:t>
      </w:r>
      <w:r>
        <w:rPr>
          <w:rFonts w:ascii="Rockwell" w:hAnsi="Rockwell"/>
          <w:sz w:val="26"/>
          <w:szCs w:val="26"/>
        </w:rPr>
        <w:t xml:space="preserve">pages et 1912 illustrations consacrées aux six (06) acteurs sociopolitiques. Le Gouvernement a occupé plus de la moitié de la couverture totale, soit 50,28 % de NP et 52,56% de NI. Il est suivi des OSC (16,32% de NP et 17,10% de NI), de la Présidence du Faso (10,57% de NP et 9,78% de NI), de l’ALT (8,59% de NP et 8,37% de NI), des autres institutions (8,37 % de NP et 8,37% de NI) et enfin des partis politiques (5,87% de NP et 3,82% de NI). On note un déséquilibre de l’information en faveur du Gouvernement. </w:t>
      </w:r>
    </w:p>
    <w:p w14:paraId="7A19EC9F"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t xml:space="preserve">Le classement des médias ayant couvert l'actualité des acteurs sociopolitiques positionne </w:t>
      </w:r>
      <w:proofErr w:type="spellStart"/>
      <w:r>
        <w:rPr>
          <w:rFonts w:ascii="Rockwell" w:hAnsi="Rockwell"/>
          <w:i/>
          <w:sz w:val="26"/>
          <w:szCs w:val="26"/>
        </w:rPr>
        <w:t>Sidwaya</w:t>
      </w:r>
      <w:proofErr w:type="spellEnd"/>
      <w:r>
        <w:rPr>
          <w:rFonts w:ascii="Rockwell" w:hAnsi="Rockwell"/>
          <w:sz w:val="26"/>
          <w:szCs w:val="26"/>
        </w:rPr>
        <w:t xml:space="preserve"> en premier avec 28,49% de NP et 31,17% de NI. Il est suivi </w:t>
      </w:r>
      <w:proofErr w:type="gramStart"/>
      <w:r>
        <w:rPr>
          <w:rFonts w:ascii="Rockwell" w:hAnsi="Rockwell"/>
          <w:sz w:val="26"/>
          <w:szCs w:val="26"/>
        </w:rPr>
        <w:t xml:space="preserve">de </w:t>
      </w:r>
      <w:r>
        <w:rPr>
          <w:rFonts w:ascii="Rockwell" w:hAnsi="Rockwell"/>
          <w:i/>
          <w:sz w:val="26"/>
          <w:szCs w:val="26"/>
        </w:rPr>
        <w:t>Aujourd’hui</w:t>
      </w:r>
      <w:proofErr w:type="gramEnd"/>
      <w:r>
        <w:rPr>
          <w:rFonts w:ascii="Rockwell" w:hAnsi="Rockwell"/>
          <w:i/>
          <w:sz w:val="26"/>
          <w:szCs w:val="26"/>
        </w:rPr>
        <w:t xml:space="preserve"> au Faso</w:t>
      </w:r>
      <w:r>
        <w:rPr>
          <w:rFonts w:ascii="Rockwell" w:hAnsi="Rockwell"/>
          <w:sz w:val="26"/>
          <w:szCs w:val="26"/>
        </w:rPr>
        <w:t xml:space="preserve"> (18,59% de NP et 16% de NI), des Editions </w:t>
      </w:r>
      <w:r>
        <w:rPr>
          <w:rFonts w:ascii="Rockwell" w:hAnsi="Rockwell"/>
          <w:i/>
          <w:sz w:val="26"/>
          <w:szCs w:val="26"/>
        </w:rPr>
        <w:t>Le Pays</w:t>
      </w:r>
      <w:r>
        <w:rPr>
          <w:rFonts w:ascii="Rockwell" w:hAnsi="Rockwell"/>
          <w:sz w:val="26"/>
          <w:szCs w:val="26"/>
        </w:rPr>
        <w:t xml:space="preserve"> (17,22% de NP et 16,89% de NI), du journal </w:t>
      </w:r>
      <w:r>
        <w:rPr>
          <w:rFonts w:ascii="Rockwell" w:hAnsi="Rockwell"/>
          <w:i/>
          <w:sz w:val="26"/>
          <w:szCs w:val="26"/>
        </w:rPr>
        <w:t>Le Quotidien</w:t>
      </w:r>
      <w:r>
        <w:rPr>
          <w:rFonts w:ascii="Rockwell" w:hAnsi="Rockwell"/>
          <w:sz w:val="26"/>
          <w:szCs w:val="26"/>
        </w:rPr>
        <w:t xml:space="preserve"> (15,17% de NP et 16,42% de NI), de </w:t>
      </w:r>
      <w:r>
        <w:rPr>
          <w:rFonts w:ascii="Rockwell" w:hAnsi="Rockwell"/>
          <w:i/>
          <w:sz w:val="26"/>
          <w:szCs w:val="26"/>
        </w:rPr>
        <w:t xml:space="preserve">L’Observateur </w:t>
      </w:r>
      <w:proofErr w:type="spellStart"/>
      <w:r>
        <w:rPr>
          <w:rFonts w:ascii="Rockwell" w:hAnsi="Rockwell"/>
          <w:i/>
          <w:sz w:val="26"/>
          <w:szCs w:val="26"/>
        </w:rPr>
        <w:t>Paalga</w:t>
      </w:r>
      <w:proofErr w:type="spellEnd"/>
      <w:r>
        <w:rPr>
          <w:rFonts w:ascii="Rockwell" w:hAnsi="Rockwell"/>
          <w:sz w:val="26"/>
          <w:szCs w:val="26"/>
        </w:rPr>
        <w:t xml:space="preserve"> (12,15% de NP et 11,30% de NI) et de </w:t>
      </w:r>
      <w:r>
        <w:rPr>
          <w:rFonts w:ascii="Rockwell" w:hAnsi="Rockwell"/>
          <w:i/>
          <w:sz w:val="26"/>
          <w:szCs w:val="26"/>
        </w:rPr>
        <w:t>L’Express du Faso</w:t>
      </w:r>
      <w:r>
        <w:rPr>
          <w:rFonts w:ascii="Rockwell" w:hAnsi="Rockwell"/>
          <w:sz w:val="26"/>
          <w:szCs w:val="26"/>
        </w:rPr>
        <w:t xml:space="preserve"> (8,37% de NP et 8,21% de NI).</w:t>
      </w:r>
    </w:p>
    <w:p w14:paraId="4F979821" w14:textId="77777777" w:rsidR="00733207" w:rsidRDefault="00733207">
      <w:pPr>
        <w:spacing w:before="120" w:after="120" w:line="360" w:lineRule="auto"/>
        <w:contextualSpacing/>
        <w:jc w:val="both"/>
        <w:rPr>
          <w:rFonts w:ascii="Rockwell" w:hAnsi="Rockwell"/>
          <w:sz w:val="10"/>
          <w:szCs w:val="10"/>
        </w:rPr>
      </w:pPr>
    </w:p>
    <w:p w14:paraId="05B41A4F"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t xml:space="preserve">De l'analyse des huit (08) thématiques retenues, il ressort que les quotidiens observés y ont consacré 683 pages et 1857 illustrations. La thématique relative à la société était la plus traitée, avec 32,29% de NP et 31,69% de NI. Les sujets traités étaient liés notamment aux bouleversements sociopolitiques. Par ordre de priorité, les autres thématiques prises en compte dans les six (06) médias étaient la </w:t>
      </w:r>
      <w:r>
        <w:rPr>
          <w:rFonts w:ascii="Rockwell" w:hAnsi="Rockwell"/>
          <w:i/>
          <w:sz w:val="26"/>
          <w:szCs w:val="26"/>
        </w:rPr>
        <w:t>Politique</w:t>
      </w:r>
      <w:r>
        <w:rPr>
          <w:rFonts w:ascii="Rockwell" w:hAnsi="Rockwell"/>
          <w:sz w:val="26"/>
          <w:szCs w:val="26"/>
        </w:rPr>
        <w:t xml:space="preserve">, la </w:t>
      </w:r>
      <w:r>
        <w:rPr>
          <w:rFonts w:ascii="Rockwell" w:hAnsi="Rockwell"/>
          <w:i/>
          <w:sz w:val="26"/>
          <w:szCs w:val="26"/>
        </w:rPr>
        <w:t>Sécurité</w:t>
      </w:r>
      <w:r>
        <w:rPr>
          <w:rFonts w:ascii="Rockwell" w:hAnsi="Rockwell"/>
          <w:sz w:val="26"/>
          <w:szCs w:val="26"/>
        </w:rPr>
        <w:t xml:space="preserve">, la </w:t>
      </w:r>
      <w:r>
        <w:rPr>
          <w:rFonts w:ascii="Rockwell" w:hAnsi="Rockwell"/>
          <w:i/>
          <w:sz w:val="26"/>
          <w:szCs w:val="26"/>
        </w:rPr>
        <w:t>Santé</w:t>
      </w:r>
      <w:r>
        <w:rPr>
          <w:rFonts w:ascii="Rockwell" w:hAnsi="Rockwell"/>
          <w:sz w:val="26"/>
          <w:szCs w:val="26"/>
        </w:rPr>
        <w:t>, l’</w:t>
      </w:r>
      <w:r>
        <w:rPr>
          <w:rFonts w:ascii="Rockwell" w:hAnsi="Rockwell"/>
          <w:i/>
          <w:sz w:val="26"/>
          <w:szCs w:val="26"/>
        </w:rPr>
        <w:t>Économie</w:t>
      </w:r>
      <w:r>
        <w:rPr>
          <w:rFonts w:ascii="Rockwell" w:hAnsi="Rockwell"/>
          <w:sz w:val="26"/>
          <w:szCs w:val="26"/>
        </w:rPr>
        <w:t xml:space="preserve">, le </w:t>
      </w:r>
      <w:r>
        <w:rPr>
          <w:rFonts w:ascii="Rockwell" w:hAnsi="Rockwell"/>
          <w:i/>
          <w:sz w:val="26"/>
          <w:szCs w:val="26"/>
        </w:rPr>
        <w:t>Genre</w:t>
      </w:r>
      <w:r>
        <w:rPr>
          <w:rFonts w:ascii="Rockwell" w:hAnsi="Rockwell"/>
          <w:sz w:val="26"/>
          <w:szCs w:val="26"/>
        </w:rPr>
        <w:t xml:space="preserve">, la </w:t>
      </w:r>
      <w:r>
        <w:rPr>
          <w:rFonts w:ascii="Rockwell" w:hAnsi="Rockwell"/>
          <w:i/>
          <w:sz w:val="26"/>
          <w:szCs w:val="26"/>
        </w:rPr>
        <w:t>Culture</w:t>
      </w:r>
      <w:r>
        <w:rPr>
          <w:rFonts w:ascii="Rockwell" w:hAnsi="Rockwell"/>
          <w:sz w:val="26"/>
          <w:szCs w:val="26"/>
        </w:rPr>
        <w:t xml:space="preserve"> et la </w:t>
      </w:r>
      <w:r>
        <w:rPr>
          <w:rFonts w:ascii="Rockwell" w:hAnsi="Rockwell"/>
          <w:i/>
          <w:sz w:val="26"/>
          <w:szCs w:val="26"/>
        </w:rPr>
        <w:t>Religion</w:t>
      </w:r>
      <w:r>
        <w:rPr>
          <w:rFonts w:ascii="Rockwell" w:hAnsi="Rockwell"/>
          <w:sz w:val="26"/>
          <w:szCs w:val="26"/>
        </w:rPr>
        <w:t xml:space="preserve">. </w:t>
      </w:r>
    </w:p>
    <w:p w14:paraId="696206E3" w14:textId="77777777" w:rsidR="00733207" w:rsidRDefault="00912BAE">
      <w:pPr>
        <w:spacing w:before="120" w:after="120" w:line="360" w:lineRule="auto"/>
        <w:contextualSpacing/>
        <w:jc w:val="both"/>
        <w:rPr>
          <w:rFonts w:ascii="Rockwell" w:hAnsi="Rockwell"/>
          <w:sz w:val="26"/>
          <w:szCs w:val="26"/>
        </w:rPr>
      </w:pPr>
      <w:r>
        <w:rPr>
          <w:rFonts w:ascii="Rockwell" w:hAnsi="Rockwell"/>
          <w:sz w:val="26"/>
          <w:szCs w:val="26"/>
        </w:rPr>
        <w:t>Un aperçu synthétique de l’activité des quotidiens est proposé en annexe.</w:t>
      </w:r>
    </w:p>
    <w:p w14:paraId="13940501" w14:textId="77777777" w:rsidR="00733207" w:rsidRDefault="00733207">
      <w:pPr>
        <w:spacing w:before="120" w:after="120" w:line="360" w:lineRule="auto"/>
        <w:contextualSpacing/>
        <w:jc w:val="both"/>
        <w:rPr>
          <w:rFonts w:ascii="Rockwell" w:hAnsi="Rockwell"/>
          <w:sz w:val="26"/>
          <w:szCs w:val="26"/>
        </w:rPr>
        <w:sectPr w:rsidR="00733207">
          <w:pgSz w:w="11906" w:h="16838"/>
          <w:pgMar w:top="1418" w:right="1418" w:bottom="709" w:left="709" w:header="709" w:footer="23" w:gutter="0"/>
          <w:cols w:space="708"/>
          <w:docGrid w:linePitch="360"/>
        </w:sectPr>
      </w:pPr>
    </w:p>
    <w:p w14:paraId="0AD8EB93" w14:textId="004660EF" w:rsidR="00733207" w:rsidRDefault="00912BAE">
      <w:pPr>
        <w:pStyle w:val="Titre4"/>
        <w:spacing w:before="120" w:after="120" w:line="360" w:lineRule="auto"/>
        <w:jc w:val="center"/>
        <w:rPr>
          <w:rFonts w:ascii="Rockwell" w:hAnsi="Rockwell"/>
          <w:b/>
          <w:i w:val="0"/>
          <w:color w:val="auto"/>
          <w:sz w:val="28"/>
          <w:szCs w:val="28"/>
        </w:rPr>
      </w:pPr>
      <w:bookmarkStart w:id="265" w:name="_Toc175128498"/>
      <w:bookmarkStart w:id="266" w:name="_Toc169855164"/>
      <w:r>
        <w:rPr>
          <w:rFonts w:ascii="Rockwell" w:hAnsi="Rockwell"/>
          <w:b/>
          <w:i w:val="0"/>
          <w:color w:val="auto"/>
          <w:sz w:val="28"/>
          <w:szCs w:val="28"/>
        </w:rPr>
        <w:lastRenderedPageBreak/>
        <w:t xml:space="preserve">Paragraphe 2 : </w:t>
      </w:r>
      <w:r w:rsidR="00866BAD">
        <w:rPr>
          <w:rFonts w:ascii="Rockwell" w:hAnsi="Rockwell"/>
          <w:b/>
          <w:i w:val="0"/>
          <w:color w:val="auto"/>
          <w:sz w:val="28"/>
          <w:szCs w:val="28"/>
        </w:rPr>
        <w:t xml:space="preserve">Presse </w:t>
      </w:r>
      <w:r>
        <w:rPr>
          <w:rFonts w:ascii="Rockwell" w:hAnsi="Rockwell"/>
          <w:b/>
          <w:i w:val="0"/>
          <w:color w:val="auto"/>
          <w:sz w:val="28"/>
          <w:szCs w:val="28"/>
        </w:rPr>
        <w:t>en ligne</w:t>
      </w:r>
      <w:bookmarkEnd w:id="265"/>
      <w:bookmarkEnd w:id="266"/>
    </w:p>
    <w:p w14:paraId="3ED21D7A" w14:textId="77777777" w:rsidR="00733207" w:rsidRDefault="00733207">
      <w:pPr>
        <w:spacing w:before="120" w:after="120" w:line="360" w:lineRule="auto"/>
        <w:jc w:val="both"/>
        <w:rPr>
          <w:rFonts w:ascii="Rockwell" w:hAnsi="Rockwell"/>
          <w:sz w:val="10"/>
          <w:szCs w:val="10"/>
        </w:rPr>
      </w:pPr>
    </w:p>
    <w:p w14:paraId="1DC19834" w14:textId="77777777" w:rsidR="00733207" w:rsidRDefault="00912BAE">
      <w:pPr>
        <w:pStyle w:val="Titre5"/>
        <w:spacing w:before="120" w:after="120" w:line="360" w:lineRule="auto"/>
        <w:jc w:val="center"/>
        <w:rPr>
          <w:rFonts w:ascii="Rockwell" w:hAnsi="Rockwell"/>
          <w:color w:val="auto"/>
          <w:sz w:val="26"/>
          <w:szCs w:val="26"/>
        </w:rPr>
      </w:pPr>
      <w:bookmarkStart w:id="267" w:name="_Toc161320229"/>
      <w:bookmarkStart w:id="268" w:name="_Toc169855165"/>
      <w:bookmarkStart w:id="269" w:name="_Toc175128499"/>
      <w:r>
        <w:rPr>
          <w:rFonts w:ascii="Rockwell" w:hAnsi="Rockwell"/>
          <w:color w:val="auto"/>
          <w:sz w:val="26"/>
          <w:szCs w:val="26"/>
        </w:rPr>
        <w:t xml:space="preserve">2.1. </w:t>
      </w:r>
      <w:r>
        <w:rPr>
          <w:rFonts w:ascii="Rockwell" w:hAnsi="Rockwell"/>
          <w:i w:val="0"/>
          <w:color w:val="auto"/>
          <w:sz w:val="26"/>
          <w:szCs w:val="26"/>
        </w:rPr>
        <w:t xml:space="preserve">Observation </w:t>
      </w:r>
      <w:bookmarkEnd w:id="267"/>
      <w:bookmarkEnd w:id="268"/>
      <w:r>
        <w:rPr>
          <w:rFonts w:ascii="Rockwell" w:hAnsi="Rockwell"/>
          <w:i w:val="0"/>
          <w:color w:val="auto"/>
          <w:sz w:val="26"/>
          <w:szCs w:val="26"/>
        </w:rPr>
        <w:t>de la presse en ligne</w:t>
      </w:r>
      <w:bookmarkEnd w:id="269"/>
    </w:p>
    <w:p w14:paraId="26F8D64A" w14:textId="77777777" w:rsidR="00733207" w:rsidRDefault="00733207">
      <w:pPr>
        <w:jc w:val="both"/>
        <w:rPr>
          <w:rFonts w:ascii="Rockwell" w:hAnsi="Rockwell"/>
          <w:sz w:val="10"/>
          <w:szCs w:val="10"/>
        </w:rPr>
      </w:pPr>
    </w:p>
    <w:p w14:paraId="33418EBB" w14:textId="77777777" w:rsidR="00733207" w:rsidRDefault="00912BAE">
      <w:pPr>
        <w:pStyle w:val="Paragraphedeliste"/>
        <w:spacing w:before="120" w:after="120" w:line="360" w:lineRule="auto"/>
        <w:ind w:left="0" w:right="-284"/>
        <w:jc w:val="both"/>
        <w:rPr>
          <w:rFonts w:ascii="Rockwell" w:hAnsi="Rockwell"/>
          <w:sz w:val="26"/>
          <w:szCs w:val="26"/>
        </w:rPr>
      </w:pPr>
      <w:r>
        <w:rPr>
          <w:rFonts w:ascii="Rockwell" w:hAnsi="Rockwell"/>
          <w:sz w:val="26"/>
          <w:szCs w:val="26"/>
        </w:rPr>
        <w:t xml:space="preserve">L’observation a concerné un échantillon de cinq (05) médias publiant de l’information générale. Ce choix s’est opéré, entre autres, en raison de la régularité de publication de ces médias. Ce sont : </w:t>
      </w:r>
    </w:p>
    <w:p w14:paraId="750D5819" w14:textId="77777777" w:rsidR="00733207" w:rsidRDefault="00912BAE">
      <w:pPr>
        <w:pStyle w:val="Paragraphedeliste"/>
        <w:numPr>
          <w:ilvl w:val="0"/>
          <w:numId w:val="23"/>
        </w:numPr>
        <w:spacing w:before="120" w:after="120" w:line="360" w:lineRule="auto"/>
        <w:ind w:right="-284"/>
        <w:jc w:val="both"/>
        <w:rPr>
          <w:rFonts w:ascii="Rockwell" w:hAnsi="Rockwell"/>
          <w:i/>
          <w:sz w:val="26"/>
          <w:szCs w:val="26"/>
        </w:rPr>
      </w:pPr>
      <w:r>
        <w:rPr>
          <w:rFonts w:ascii="Rockwell" w:hAnsi="Rockwell"/>
          <w:i/>
          <w:sz w:val="26"/>
          <w:szCs w:val="26"/>
        </w:rPr>
        <w:t>lefaso.net,</w:t>
      </w:r>
    </w:p>
    <w:p w14:paraId="1BF9B1D1" w14:textId="77777777" w:rsidR="00733207" w:rsidRDefault="00E06378">
      <w:pPr>
        <w:pStyle w:val="Paragraphedeliste"/>
        <w:numPr>
          <w:ilvl w:val="0"/>
          <w:numId w:val="23"/>
        </w:numPr>
        <w:spacing w:before="120" w:after="120" w:line="360" w:lineRule="auto"/>
        <w:ind w:right="-284"/>
        <w:jc w:val="both"/>
        <w:rPr>
          <w:rFonts w:ascii="Rockwell" w:eastAsia="Times New Roman" w:hAnsi="Rockwell"/>
          <w:i/>
          <w:sz w:val="26"/>
          <w:szCs w:val="26"/>
        </w:rPr>
      </w:pPr>
      <w:hyperlink r:id="rId36" w:history="1">
        <w:r w:rsidR="00912BAE">
          <w:rPr>
            <w:rStyle w:val="Lienhypertexte"/>
            <w:rFonts w:ascii="Rockwell" w:hAnsi="Rockwell"/>
            <w:i/>
            <w:color w:val="auto"/>
            <w:sz w:val="26"/>
            <w:szCs w:val="26"/>
            <w:u w:val="none"/>
          </w:rPr>
          <w:t>burkina24.com</w:t>
        </w:r>
      </w:hyperlink>
      <w:r w:rsidR="00912BAE">
        <w:rPr>
          <w:rStyle w:val="Lienhypertexte"/>
          <w:rFonts w:ascii="Rockwell" w:hAnsi="Rockwell"/>
          <w:i/>
          <w:color w:val="auto"/>
          <w:sz w:val="26"/>
          <w:szCs w:val="26"/>
          <w:u w:val="none"/>
        </w:rPr>
        <w:t>,</w:t>
      </w:r>
      <w:r w:rsidR="00912BAE">
        <w:rPr>
          <w:rFonts w:ascii="Rockwell" w:hAnsi="Rockwell"/>
          <w:i/>
          <w:sz w:val="26"/>
          <w:szCs w:val="26"/>
        </w:rPr>
        <w:t xml:space="preserve"> </w:t>
      </w:r>
    </w:p>
    <w:p w14:paraId="552766C8" w14:textId="77777777" w:rsidR="00733207" w:rsidRDefault="00912BAE">
      <w:pPr>
        <w:pStyle w:val="Paragraphedeliste"/>
        <w:numPr>
          <w:ilvl w:val="0"/>
          <w:numId w:val="23"/>
        </w:numPr>
        <w:spacing w:before="120" w:after="120" w:line="360" w:lineRule="auto"/>
        <w:ind w:right="-284"/>
        <w:jc w:val="both"/>
        <w:rPr>
          <w:rFonts w:ascii="Rockwell" w:hAnsi="Rockwell"/>
          <w:i/>
          <w:sz w:val="26"/>
          <w:szCs w:val="26"/>
        </w:rPr>
      </w:pPr>
      <w:r>
        <w:rPr>
          <w:rFonts w:ascii="Rockwell" w:hAnsi="Rockwell"/>
          <w:i/>
          <w:sz w:val="26"/>
          <w:szCs w:val="26"/>
        </w:rPr>
        <w:t>actualites.bf,</w:t>
      </w:r>
    </w:p>
    <w:p w14:paraId="639EE7E9" w14:textId="77777777" w:rsidR="00733207" w:rsidRDefault="00912BAE">
      <w:pPr>
        <w:pStyle w:val="Paragraphedeliste"/>
        <w:numPr>
          <w:ilvl w:val="0"/>
          <w:numId w:val="23"/>
        </w:numPr>
        <w:spacing w:before="120" w:after="120" w:line="360" w:lineRule="auto"/>
        <w:ind w:right="-284"/>
        <w:jc w:val="both"/>
        <w:rPr>
          <w:rFonts w:ascii="Rockwell" w:hAnsi="Rockwell"/>
          <w:i/>
          <w:sz w:val="26"/>
          <w:szCs w:val="26"/>
        </w:rPr>
      </w:pPr>
      <w:r>
        <w:rPr>
          <w:rFonts w:ascii="Rockwell" w:hAnsi="Rockwell"/>
          <w:i/>
          <w:sz w:val="26"/>
          <w:szCs w:val="26"/>
        </w:rPr>
        <w:t>minute.bf,</w:t>
      </w:r>
    </w:p>
    <w:p w14:paraId="6233CD01" w14:textId="77777777" w:rsidR="00733207" w:rsidRDefault="00912BAE">
      <w:pPr>
        <w:pStyle w:val="Paragraphedeliste"/>
        <w:numPr>
          <w:ilvl w:val="0"/>
          <w:numId w:val="23"/>
        </w:numPr>
        <w:spacing w:before="120" w:after="120" w:line="360" w:lineRule="auto"/>
        <w:ind w:right="-284"/>
        <w:jc w:val="both"/>
        <w:rPr>
          <w:rFonts w:ascii="Rockwell" w:hAnsi="Rockwell"/>
          <w:i/>
          <w:sz w:val="26"/>
          <w:szCs w:val="26"/>
        </w:rPr>
      </w:pPr>
      <w:r>
        <w:rPr>
          <w:rFonts w:ascii="Rockwell" w:hAnsi="Rockwell"/>
          <w:i/>
          <w:sz w:val="26"/>
          <w:szCs w:val="26"/>
        </w:rPr>
        <w:t xml:space="preserve">infowakat.net.    </w:t>
      </w:r>
    </w:p>
    <w:p w14:paraId="784C86C3" w14:textId="77777777" w:rsidR="00733207" w:rsidRDefault="00733207">
      <w:pPr>
        <w:pStyle w:val="Paragraphedeliste"/>
        <w:spacing w:before="120" w:after="120" w:line="360" w:lineRule="auto"/>
        <w:ind w:right="-284"/>
        <w:jc w:val="both"/>
        <w:rPr>
          <w:rFonts w:ascii="Rockwell" w:hAnsi="Rockwell"/>
          <w:sz w:val="10"/>
          <w:szCs w:val="10"/>
        </w:rPr>
      </w:pPr>
    </w:p>
    <w:p w14:paraId="2ADADA28" w14:textId="0271D56A" w:rsidR="00733207" w:rsidRDefault="00912BAE">
      <w:pPr>
        <w:pStyle w:val="Paragraphedeliste"/>
        <w:spacing w:before="120" w:after="120" w:line="360" w:lineRule="auto"/>
        <w:ind w:left="0" w:right="-284"/>
        <w:jc w:val="both"/>
        <w:rPr>
          <w:rFonts w:ascii="Rockwell" w:hAnsi="Rockwell"/>
          <w:sz w:val="26"/>
          <w:szCs w:val="26"/>
        </w:rPr>
      </w:pPr>
      <w:r>
        <w:rPr>
          <w:rFonts w:ascii="Rockwell" w:hAnsi="Rockwell"/>
          <w:sz w:val="26"/>
          <w:szCs w:val="26"/>
        </w:rPr>
        <w:t>A l’instar de la presse écrite, le monitoring des médias en ligne a</w:t>
      </w:r>
      <w:r w:rsidR="00866BAD">
        <w:rPr>
          <w:rFonts w:ascii="Rockwell" w:hAnsi="Rockwell"/>
          <w:sz w:val="26"/>
          <w:szCs w:val="26"/>
        </w:rPr>
        <w:t xml:space="preserve"> </w:t>
      </w:r>
      <w:r>
        <w:rPr>
          <w:rFonts w:ascii="Rockwell" w:hAnsi="Rockwell"/>
          <w:sz w:val="26"/>
          <w:szCs w:val="26"/>
        </w:rPr>
        <w:t>porté sur l’observation des acteurs sociopolitiques et des thèmes spécifiques.</w:t>
      </w:r>
    </w:p>
    <w:p w14:paraId="28EFF8FD" w14:textId="77777777" w:rsidR="00733207" w:rsidRDefault="00733207">
      <w:pPr>
        <w:pStyle w:val="Paragraphedeliste"/>
        <w:spacing w:before="120" w:after="120" w:line="360" w:lineRule="auto"/>
        <w:ind w:left="0" w:right="-284"/>
        <w:jc w:val="both"/>
        <w:rPr>
          <w:rFonts w:ascii="Rockwell" w:hAnsi="Rockwell"/>
          <w:sz w:val="26"/>
          <w:szCs w:val="26"/>
        </w:rPr>
      </w:pPr>
    </w:p>
    <w:p w14:paraId="192FCE31" w14:textId="77777777" w:rsidR="00733207" w:rsidRDefault="00912BAE">
      <w:pPr>
        <w:pStyle w:val="Titre6"/>
        <w:spacing w:before="240" w:after="240" w:line="360" w:lineRule="auto"/>
        <w:jc w:val="center"/>
        <w:rPr>
          <w:rFonts w:ascii="Rockwell" w:hAnsi="Rockwell"/>
          <w:b/>
          <w:i/>
          <w:color w:val="auto"/>
          <w:sz w:val="26"/>
          <w:szCs w:val="26"/>
        </w:rPr>
      </w:pPr>
      <w:bookmarkStart w:id="270" w:name="_Toc161320234"/>
      <w:bookmarkStart w:id="271" w:name="_Toc169855166"/>
      <w:bookmarkStart w:id="272" w:name="_Toc175128500"/>
      <w:r>
        <w:rPr>
          <w:rFonts w:ascii="Rockwell" w:hAnsi="Rockwell"/>
          <w:b/>
          <w:i/>
          <w:color w:val="auto"/>
          <w:sz w:val="26"/>
          <w:szCs w:val="26"/>
        </w:rPr>
        <w:t>2.1.1. Appréciation de l’observation</w:t>
      </w:r>
      <w:bookmarkEnd w:id="270"/>
      <w:r>
        <w:rPr>
          <w:rFonts w:ascii="Rockwell" w:hAnsi="Rockwell"/>
          <w:b/>
          <w:i/>
          <w:color w:val="auto"/>
          <w:sz w:val="26"/>
          <w:szCs w:val="26"/>
        </w:rPr>
        <w:t xml:space="preserve"> du pluralisme et de l’équilibre de l’information dans les médias en ligne</w:t>
      </w:r>
      <w:bookmarkEnd w:id="271"/>
      <w:bookmarkEnd w:id="272"/>
    </w:p>
    <w:p w14:paraId="5A05DDD4" w14:textId="77777777" w:rsidR="00733207" w:rsidRDefault="00733207">
      <w:pPr>
        <w:jc w:val="both"/>
        <w:rPr>
          <w:rFonts w:ascii="Rockwell" w:hAnsi="Rockwell"/>
          <w:sz w:val="10"/>
          <w:szCs w:val="10"/>
        </w:rPr>
      </w:pPr>
    </w:p>
    <w:p w14:paraId="2E1BF86A" w14:textId="77777777" w:rsidR="00733207" w:rsidRDefault="00912BAE">
      <w:pPr>
        <w:pStyle w:val="Paragraphedeliste"/>
        <w:spacing w:before="120" w:after="120" w:line="360" w:lineRule="auto"/>
        <w:ind w:left="0"/>
        <w:jc w:val="both"/>
        <w:rPr>
          <w:rFonts w:ascii="Rockwell" w:hAnsi="Rockwell"/>
          <w:color w:val="000000"/>
          <w:sz w:val="26"/>
          <w:szCs w:val="26"/>
        </w:rPr>
      </w:pPr>
      <w:r>
        <w:rPr>
          <w:rFonts w:ascii="Rockwell" w:hAnsi="Rockwell"/>
          <w:sz w:val="26"/>
          <w:szCs w:val="26"/>
        </w:rPr>
        <w:t xml:space="preserve">L’appréciation du pluralisme et de l’équilibre de l’information dans les médias en ligne a conduit au classement des partis et acteurs sociopolitiques ainsi que des </w:t>
      </w:r>
      <w:r>
        <w:rPr>
          <w:rFonts w:ascii="Rockwell" w:hAnsi="Rockwell"/>
          <w:bCs/>
          <w:sz w:val="26"/>
          <w:szCs w:val="26"/>
        </w:rPr>
        <w:t>informations thématiques</w:t>
      </w:r>
      <w:r>
        <w:rPr>
          <w:rFonts w:ascii="Rockwell" w:hAnsi="Rockwell"/>
          <w:color w:val="000000"/>
          <w:sz w:val="26"/>
          <w:szCs w:val="26"/>
        </w:rPr>
        <w:t xml:space="preserve"> selon le NA et le NI publiés dans ces médias.</w:t>
      </w:r>
    </w:p>
    <w:p w14:paraId="649A976F" w14:textId="77777777" w:rsidR="00733207" w:rsidRDefault="00733207">
      <w:pPr>
        <w:pStyle w:val="Paragraphedeliste"/>
        <w:spacing w:before="120" w:after="120" w:line="360" w:lineRule="auto"/>
        <w:ind w:left="0"/>
        <w:jc w:val="both"/>
        <w:rPr>
          <w:rFonts w:ascii="Rockwell" w:hAnsi="Rockwell"/>
          <w:color w:val="000000"/>
          <w:sz w:val="26"/>
          <w:szCs w:val="26"/>
        </w:rPr>
        <w:sectPr w:rsidR="00733207">
          <w:pgSz w:w="11906" w:h="16838"/>
          <w:pgMar w:top="1418" w:right="1418" w:bottom="709" w:left="709" w:header="709" w:footer="23" w:gutter="0"/>
          <w:cols w:space="708"/>
          <w:docGrid w:linePitch="360"/>
        </w:sectPr>
      </w:pPr>
    </w:p>
    <w:p w14:paraId="1A18B0AA" w14:textId="77777777" w:rsidR="00733207" w:rsidRDefault="00912BAE">
      <w:pPr>
        <w:pStyle w:val="Titre7"/>
        <w:numPr>
          <w:ilvl w:val="0"/>
          <w:numId w:val="24"/>
        </w:numPr>
        <w:jc w:val="center"/>
        <w:rPr>
          <w:rFonts w:ascii="Rockwell" w:hAnsi="Rockwell"/>
          <w:b/>
          <w:color w:val="auto"/>
          <w:sz w:val="24"/>
          <w:szCs w:val="24"/>
        </w:rPr>
      </w:pPr>
      <w:bookmarkStart w:id="273" w:name="_Toc175128501"/>
      <w:r>
        <w:rPr>
          <w:rFonts w:ascii="Rockwell" w:hAnsi="Rockwell"/>
          <w:b/>
          <w:bCs/>
          <w:color w:val="auto"/>
          <w:sz w:val="24"/>
          <w:szCs w:val="24"/>
        </w:rPr>
        <w:lastRenderedPageBreak/>
        <w:t xml:space="preserve">Classement des </w:t>
      </w:r>
      <w:r>
        <w:rPr>
          <w:rFonts w:ascii="Rockwell" w:hAnsi="Rockwell"/>
          <w:b/>
          <w:color w:val="auto"/>
          <w:sz w:val="24"/>
          <w:szCs w:val="24"/>
        </w:rPr>
        <w:t>partis politiques en fonction des NA et NI obtenus</w:t>
      </w:r>
      <w:bookmarkEnd w:id="273"/>
    </w:p>
    <w:p w14:paraId="403E17B1" w14:textId="77777777" w:rsidR="00733207" w:rsidRDefault="00733207">
      <w:pPr>
        <w:jc w:val="both"/>
        <w:rPr>
          <w:rFonts w:ascii="Rockwell" w:hAnsi="Rockwell"/>
          <w:sz w:val="10"/>
          <w:szCs w:val="10"/>
        </w:rPr>
      </w:pPr>
    </w:p>
    <w:p w14:paraId="291FB90B" w14:textId="77777777" w:rsidR="00733207" w:rsidRDefault="00912BAE">
      <w:pPr>
        <w:pStyle w:val="Paragraphedeliste"/>
        <w:spacing w:before="120" w:after="120" w:line="360" w:lineRule="auto"/>
        <w:ind w:left="0"/>
        <w:jc w:val="center"/>
        <w:rPr>
          <w:rFonts w:ascii="Rockwell" w:hAnsi="Rockwell"/>
          <w:i/>
          <w:color w:val="000000"/>
        </w:rPr>
      </w:pPr>
      <w:r>
        <w:rPr>
          <w:rFonts w:ascii="Rockwell" w:hAnsi="Rockwell"/>
          <w:b/>
          <w:i/>
          <w:color w:val="000000"/>
          <w:u w:val="single"/>
        </w:rPr>
        <w:t>Tableau n°7</w:t>
      </w:r>
      <w:r>
        <w:rPr>
          <w:rFonts w:ascii="Rockwell" w:hAnsi="Rockwell"/>
          <w:i/>
          <w:color w:val="000000"/>
        </w:rPr>
        <w:t> : Classement des dix premiers partis politiques selon le NA et le NI publiés dans les médias en ligne</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402"/>
        <w:gridCol w:w="1559"/>
        <w:gridCol w:w="1276"/>
        <w:gridCol w:w="1249"/>
        <w:gridCol w:w="1019"/>
      </w:tblGrid>
      <w:tr w:rsidR="00733207" w14:paraId="26BAE8BC" w14:textId="77777777">
        <w:trPr>
          <w:trHeight w:val="469"/>
          <w:jc w:val="center"/>
        </w:trPr>
        <w:tc>
          <w:tcPr>
            <w:tcW w:w="1413" w:type="dxa"/>
            <w:shd w:val="clear" w:color="auto" w:fill="auto"/>
          </w:tcPr>
          <w:p w14:paraId="410AA95F" w14:textId="77777777" w:rsidR="00733207" w:rsidRDefault="00912BAE" w:rsidP="00866BAD">
            <w:pPr>
              <w:spacing w:before="120" w:after="120" w:line="360" w:lineRule="auto"/>
              <w:jc w:val="center"/>
              <w:rPr>
                <w:rFonts w:ascii="Rockwell" w:eastAsia="Times New Roman" w:hAnsi="Rockwell"/>
                <w:b/>
                <w:color w:val="000000"/>
                <w:sz w:val="23"/>
                <w:szCs w:val="23"/>
              </w:rPr>
            </w:pPr>
            <w:r>
              <w:rPr>
                <w:rFonts w:ascii="Rockwell" w:eastAsia="Times New Roman" w:hAnsi="Rockwell"/>
                <w:b/>
                <w:color w:val="000000"/>
                <w:sz w:val="23"/>
                <w:szCs w:val="23"/>
              </w:rPr>
              <w:t>RANG</w:t>
            </w:r>
          </w:p>
        </w:tc>
        <w:tc>
          <w:tcPr>
            <w:tcW w:w="3402" w:type="dxa"/>
            <w:shd w:val="clear" w:color="auto" w:fill="auto"/>
          </w:tcPr>
          <w:p w14:paraId="51107B33" w14:textId="77777777" w:rsidR="00733207" w:rsidRDefault="00912BAE">
            <w:pPr>
              <w:spacing w:before="120" w:after="120" w:line="360" w:lineRule="auto"/>
              <w:jc w:val="both"/>
              <w:rPr>
                <w:rFonts w:ascii="Rockwell" w:eastAsia="Times New Roman" w:hAnsi="Rockwell"/>
                <w:color w:val="000000"/>
                <w:sz w:val="23"/>
                <w:szCs w:val="23"/>
              </w:rPr>
            </w:pPr>
            <w:r>
              <w:rPr>
                <w:rFonts w:ascii="Rockwell" w:eastAsia="Times New Roman" w:hAnsi="Rockwell"/>
                <w:b/>
                <w:bCs/>
                <w:color w:val="000000"/>
                <w:sz w:val="23"/>
                <w:szCs w:val="23"/>
              </w:rPr>
              <w:t>ACTEURS POLITIQUES</w:t>
            </w:r>
          </w:p>
        </w:tc>
        <w:tc>
          <w:tcPr>
            <w:tcW w:w="1559" w:type="dxa"/>
            <w:shd w:val="clear" w:color="auto" w:fill="auto"/>
          </w:tcPr>
          <w:p w14:paraId="00533DA1"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NA</w:t>
            </w:r>
          </w:p>
        </w:tc>
        <w:tc>
          <w:tcPr>
            <w:tcW w:w="1276" w:type="dxa"/>
            <w:shd w:val="clear" w:color="auto" w:fill="auto"/>
          </w:tcPr>
          <w:p w14:paraId="147004C2"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 NA</w:t>
            </w:r>
          </w:p>
        </w:tc>
        <w:tc>
          <w:tcPr>
            <w:tcW w:w="1249" w:type="dxa"/>
            <w:shd w:val="clear" w:color="auto" w:fill="auto"/>
          </w:tcPr>
          <w:p w14:paraId="287353F5"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NI</w:t>
            </w:r>
          </w:p>
        </w:tc>
        <w:tc>
          <w:tcPr>
            <w:tcW w:w="1019" w:type="dxa"/>
            <w:shd w:val="clear" w:color="auto" w:fill="auto"/>
          </w:tcPr>
          <w:p w14:paraId="6B6898CD"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 NI</w:t>
            </w:r>
          </w:p>
        </w:tc>
      </w:tr>
      <w:tr w:rsidR="00733207" w14:paraId="29A274E8" w14:textId="77777777">
        <w:trPr>
          <w:trHeight w:val="522"/>
          <w:jc w:val="center"/>
        </w:trPr>
        <w:tc>
          <w:tcPr>
            <w:tcW w:w="1413" w:type="dxa"/>
            <w:shd w:val="clear" w:color="auto" w:fill="auto"/>
          </w:tcPr>
          <w:p w14:paraId="6B7F3C4D" w14:textId="3475EC93"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1</w:t>
            </w:r>
            <w:r>
              <w:rPr>
                <w:rFonts w:ascii="Rockwell" w:eastAsia="Times New Roman" w:hAnsi="Rockwell"/>
                <w:color w:val="000000"/>
                <w:sz w:val="23"/>
                <w:szCs w:val="23"/>
                <w:vertAlign w:val="superscript"/>
              </w:rPr>
              <w:t>er</w:t>
            </w:r>
          </w:p>
        </w:tc>
        <w:tc>
          <w:tcPr>
            <w:tcW w:w="3402" w:type="dxa"/>
            <w:shd w:val="clear" w:color="auto" w:fill="auto"/>
          </w:tcPr>
          <w:p w14:paraId="0B39452B"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UPC</w:t>
            </w:r>
          </w:p>
        </w:tc>
        <w:tc>
          <w:tcPr>
            <w:tcW w:w="1559" w:type="dxa"/>
            <w:shd w:val="clear" w:color="auto" w:fill="auto"/>
          </w:tcPr>
          <w:p w14:paraId="2F1F4B61"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19</w:t>
            </w:r>
          </w:p>
        </w:tc>
        <w:tc>
          <w:tcPr>
            <w:tcW w:w="1276" w:type="dxa"/>
            <w:shd w:val="clear" w:color="auto" w:fill="auto"/>
          </w:tcPr>
          <w:p w14:paraId="5E9B8A06"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25,68%</w:t>
            </w:r>
          </w:p>
        </w:tc>
        <w:tc>
          <w:tcPr>
            <w:tcW w:w="1249" w:type="dxa"/>
            <w:shd w:val="clear" w:color="auto" w:fill="auto"/>
          </w:tcPr>
          <w:p w14:paraId="100AF474"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22</w:t>
            </w:r>
          </w:p>
        </w:tc>
        <w:tc>
          <w:tcPr>
            <w:tcW w:w="1019" w:type="dxa"/>
            <w:shd w:val="clear" w:color="auto" w:fill="auto"/>
          </w:tcPr>
          <w:p w14:paraId="0F50CBAD"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22,68%</w:t>
            </w:r>
          </w:p>
        </w:tc>
      </w:tr>
      <w:tr w:rsidR="00733207" w14:paraId="45CF2625" w14:textId="77777777">
        <w:trPr>
          <w:trHeight w:val="20"/>
          <w:jc w:val="center"/>
        </w:trPr>
        <w:tc>
          <w:tcPr>
            <w:tcW w:w="1413" w:type="dxa"/>
            <w:shd w:val="clear" w:color="auto" w:fill="auto"/>
          </w:tcPr>
          <w:p w14:paraId="586B9F94" w14:textId="2B018C29"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2</w:t>
            </w:r>
            <w:r>
              <w:rPr>
                <w:rFonts w:ascii="Rockwell" w:eastAsia="Times New Roman" w:hAnsi="Rockwell"/>
                <w:color w:val="000000"/>
                <w:sz w:val="23"/>
                <w:szCs w:val="23"/>
                <w:vertAlign w:val="superscript"/>
              </w:rPr>
              <w:t>e</w:t>
            </w:r>
          </w:p>
        </w:tc>
        <w:tc>
          <w:tcPr>
            <w:tcW w:w="3402" w:type="dxa"/>
            <w:shd w:val="clear" w:color="auto" w:fill="auto"/>
          </w:tcPr>
          <w:p w14:paraId="33D5CC8E"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CDP</w:t>
            </w:r>
          </w:p>
        </w:tc>
        <w:tc>
          <w:tcPr>
            <w:tcW w:w="1559" w:type="dxa"/>
            <w:shd w:val="clear" w:color="auto" w:fill="auto"/>
          </w:tcPr>
          <w:p w14:paraId="2C152A9F"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w:t>
            </w:r>
          </w:p>
        </w:tc>
        <w:tc>
          <w:tcPr>
            <w:tcW w:w="1276" w:type="dxa"/>
            <w:shd w:val="clear" w:color="auto" w:fill="auto"/>
          </w:tcPr>
          <w:p w14:paraId="4310D0BB"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17,57%</w:t>
            </w:r>
          </w:p>
        </w:tc>
        <w:tc>
          <w:tcPr>
            <w:tcW w:w="1249" w:type="dxa"/>
            <w:shd w:val="clear" w:color="auto" w:fill="auto"/>
          </w:tcPr>
          <w:p w14:paraId="77246DE5"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20</w:t>
            </w:r>
          </w:p>
        </w:tc>
        <w:tc>
          <w:tcPr>
            <w:tcW w:w="1019" w:type="dxa"/>
            <w:shd w:val="clear" w:color="auto" w:fill="auto"/>
          </w:tcPr>
          <w:p w14:paraId="4B98F3D6"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20,62%</w:t>
            </w:r>
          </w:p>
        </w:tc>
      </w:tr>
      <w:tr w:rsidR="00733207" w14:paraId="7FE12D77" w14:textId="77777777">
        <w:trPr>
          <w:trHeight w:val="20"/>
          <w:jc w:val="center"/>
        </w:trPr>
        <w:tc>
          <w:tcPr>
            <w:tcW w:w="1413" w:type="dxa"/>
            <w:shd w:val="clear" w:color="auto" w:fill="auto"/>
          </w:tcPr>
          <w:p w14:paraId="36F72545" w14:textId="756AC2AE" w:rsidR="00733207" w:rsidRDefault="00912BAE" w:rsidP="00866BAD">
            <w:pPr>
              <w:spacing w:before="120" w:after="120" w:line="360" w:lineRule="auto"/>
              <w:jc w:val="center"/>
              <w:rPr>
                <w:rFonts w:ascii="Rockwell" w:eastAsia="Times New Roman" w:hAnsi="Rockwell"/>
                <w:color w:val="000000"/>
                <w:sz w:val="23"/>
                <w:szCs w:val="23"/>
                <w:highlight w:val="yellow"/>
              </w:rPr>
            </w:pPr>
            <w:r>
              <w:rPr>
                <w:rFonts w:ascii="Rockwell" w:eastAsia="Times New Roman" w:hAnsi="Rockwell"/>
                <w:color w:val="000000"/>
                <w:sz w:val="23"/>
                <w:szCs w:val="23"/>
              </w:rPr>
              <w:t>3</w:t>
            </w:r>
            <w:r>
              <w:rPr>
                <w:rFonts w:ascii="Rockwell" w:eastAsia="Times New Roman" w:hAnsi="Rockwell"/>
                <w:color w:val="000000"/>
                <w:sz w:val="23"/>
                <w:szCs w:val="23"/>
                <w:vertAlign w:val="superscript"/>
              </w:rPr>
              <w:t>e</w:t>
            </w:r>
          </w:p>
        </w:tc>
        <w:tc>
          <w:tcPr>
            <w:tcW w:w="3402" w:type="dxa"/>
            <w:shd w:val="clear" w:color="auto" w:fill="auto"/>
          </w:tcPr>
          <w:p w14:paraId="425D9B03"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UNIR/MPS</w:t>
            </w:r>
          </w:p>
        </w:tc>
        <w:tc>
          <w:tcPr>
            <w:tcW w:w="1559" w:type="dxa"/>
            <w:shd w:val="clear" w:color="auto" w:fill="auto"/>
          </w:tcPr>
          <w:p w14:paraId="1C109EDB"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11</w:t>
            </w:r>
          </w:p>
        </w:tc>
        <w:tc>
          <w:tcPr>
            <w:tcW w:w="1276" w:type="dxa"/>
            <w:shd w:val="clear" w:color="auto" w:fill="auto"/>
          </w:tcPr>
          <w:p w14:paraId="44AAE617"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14,86%</w:t>
            </w:r>
          </w:p>
        </w:tc>
        <w:tc>
          <w:tcPr>
            <w:tcW w:w="1249" w:type="dxa"/>
            <w:shd w:val="clear" w:color="auto" w:fill="auto"/>
          </w:tcPr>
          <w:p w14:paraId="6B49D279"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19</w:t>
            </w:r>
          </w:p>
        </w:tc>
        <w:tc>
          <w:tcPr>
            <w:tcW w:w="1019" w:type="dxa"/>
            <w:shd w:val="clear" w:color="auto" w:fill="auto"/>
          </w:tcPr>
          <w:p w14:paraId="0A1C6F29"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19,59%</w:t>
            </w:r>
          </w:p>
        </w:tc>
      </w:tr>
      <w:tr w:rsidR="00733207" w14:paraId="076F543B" w14:textId="77777777">
        <w:trPr>
          <w:trHeight w:val="20"/>
          <w:jc w:val="center"/>
        </w:trPr>
        <w:tc>
          <w:tcPr>
            <w:tcW w:w="1413" w:type="dxa"/>
            <w:shd w:val="clear" w:color="auto" w:fill="auto"/>
          </w:tcPr>
          <w:p w14:paraId="7C9A298F" w14:textId="1BBB797C"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4</w:t>
            </w:r>
            <w:r>
              <w:rPr>
                <w:rFonts w:ascii="Rockwell" w:eastAsia="Times New Roman" w:hAnsi="Rockwell"/>
                <w:color w:val="000000"/>
                <w:sz w:val="23"/>
                <w:szCs w:val="23"/>
                <w:vertAlign w:val="superscript"/>
              </w:rPr>
              <w:t>e</w:t>
            </w:r>
          </w:p>
        </w:tc>
        <w:tc>
          <w:tcPr>
            <w:tcW w:w="3402" w:type="dxa"/>
            <w:shd w:val="clear" w:color="auto" w:fill="auto"/>
          </w:tcPr>
          <w:p w14:paraId="4139528D"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FA</w:t>
            </w:r>
          </w:p>
        </w:tc>
        <w:tc>
          <w:tcPr>
            <w:tcW w:w="1559" w:type="dxa"/>
            <w:shd w:val="clear" w:color="auto" w:fill="auto"/>
          </w:tcPr>
          <w:p w14:paraId="4F20D1F3"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10</w:t>
            </w:r>
          </w:p>
        </w:tc>
        <w:tc>
          <w:tcPr>
            <w:tcW w:w="1276" w:type="dxa"/>
            <w:shd w:val="clear" w:color="auto" w:fill="auto"/>
          </w:tcPr>
          <w:p w14:paraId="3923323E"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13,51%</w:t>
            </w:r>
          </w:p>
        </w:tc>
        <w:tc>
          <w:tcPr>
            <w:tcW w:w="1249" w:type="dxa"/>
            <w:shd w:val="clear" w:color="auto" w:fill="auto"/>
          </w:tcPr>
          <w:p w14:paraId="164B3BA2"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10</w:t>
            </w:r>
          </w:p>
        </w:tc>
        <w:tc>
          <w:tcPr>
            <w:tcW w:w="1019" w:type="dxa"/>
            <w:shd w:val="clear" w:color="auto" w:fill="auto"/>
          </w:tcPr>
          <w:p w14:paraId="5F3B77C9"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10,31%</w:t>
            </w:r>
          </w:p>
        </w:tc>
      </w:tr>
      <w:tr w:rsidR="00733207" w14:paraId="09CA8B21" w14:textId="77777777">
        <w:trPr>
          <w:trHeight w:val="20"/>
          <w:jc w:val="center"/>
        </w:trPr>
        <w:tc>
          <w:tcPr>
            <w:tcW w:w="1413" w:type="dxa"/>
            <w:shd w:val="clear" w:color="auto" w:fill="auto"/>
          </w:tcPr>
          <w:p w14:paraId="54FF18B9" w14:textId="02304FA9"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5</w:t>
            </w:r>
            <w:r>
              <w:rPr>
                <w:rFonts w:ascii="Rockwell" w:eastAsia="Times New Roman" w:hAnsi="Rockwell"/>
                <w:color w:val="000000"/>
                <w:sz w:val="23"/>
                <w:szCs w:val="23"/>
                <w:vertAlign w:val="superscript"/>
              </w:rPr>
              <w:t>e</w:t>
            </w:r>
          </w:p>
        </w:tc>
        <w:tc>
          <w:tcPr>
            <w:tcW w:w="3402" w:type="dxa"/>
            <w:shd w:val="clear" w:color="auto" w:fill="auto"/>
          </w:tcPr>
          <w:p w14:paraId="59646160"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NTD</w:t>
            </w:r>
          </w:p>
        </w:tc>
        <w:tc>
          <w:tcPr>
            <w:tcW w:w="1559" w:type="dxa"/>
            <w:shd w:val="clear" w:color="auto" w:fill="auto"/>
          </w:tcPr>
          <w:p w14:paraId="7AF8767D"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5</w:t>
            </w:r>
          </w:p>
        </w:tc>
        <w:tc>
          <w:tcPr>
            <w:tcW w:w="1276" w:type="dxa"/>
            <w:shd w:val="clear" w:color="auto" w:fill="auto"/>
          </w:tcPr>
          <w:p w14:paraId="28E698B7"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6,76%</w:t>
            </w:r>
          </w:p>
        </w:tc>
        <w:tc>
          <w:tcPr>
            <w:tcW w:w="1249" w:type="dxa"/>
            <w:shd w:val="clear" w:color="auto" w:fill="auto"/>
          </w:tcPr>
          <w:p w14:paraId="317D6F56"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5</w:t>
            </w:r>
          </w:p>
        </w:tc>
        <w:tc>
          <w:tcPr>
            <w:tcW w:w="1019" w:type="dxa"/>
            <w:shd w:val="clear" w:color="auto" w:fill="auto"/>
          </w:tcPr>
          <w:p w14:paraId="3424FB54"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5,15%</w:t>
            </w:r>
          </w:p>
        </w:tc>
      </w:tr>
      <w:tr w:rsidR="00733207" w14:paraId="3992FDEE" w14:textId="77777777">
        <w:trPr>
          <w:trHeight w:val="20"/>
          <w:jc w:val="center"/>
        </w:trPr>
        <w:tc>
          <w:tcPr>
            <w:tcW w:w="1413" w:type="dxa"/>
            <w:shd w:val="clear" w:color="auto" w:fill="auto"/>
          </w:tcPr>
          <w:p w14:paraId="3A481AA6" w14:textId="1DB582C4" w:rsidR="00733207" w:rsidRDefault="00866BAD" w:rsidP="00866BAD">
            <w:pPr>
              <w:spacing w:before="120" w:after="120" w:line="360" w:lineRule="auto"/>
              <w:ind w:left="-262"/>
              <w:jc w:val="center"/>
              <w:rPr>
                <w:rFonts w:ascii="Rockwell" w:eastAsia="Times New Roman" w:hAnsi="Rockwell"/>
                <w:color w:val="000000"/>
                <w:sz w:val="23"/>
                <w:szCs w:val="23"/>
              </w:rPr>
            </w:pPr>
            <w:r>
              <w:rPr>
                <w:rFonts w:ascii="Rockwell" w:eastAsia="Times New Roman" w:hAnsi="Rockwell"/>
                <w:color w:val="000000"/>
                <w:sz w:val="23"/>
                <w:szCs w:val="23"/>
              </w:rPr>
              <w:t>6</w:t>
            </w:r>
            <w:r w:rsidRPr="00866BAD">
              <w:rPr>
                <w:rFonts w:ascii="Rockwell" w:eastAsia="Times New Roman" w:hAnsi="Rockwell"/>
                <w:color w:val="000000"/>
                <w:sz w:val="23"/>
                <w:szCs w:val="23"/>
                <w:vertAlign w:val="superscript"/>
              </w:rPr>
              <w:t>e</w:t>
            </w:r>
          </w:p>
        </w:tc>
        <w:tc>
          <w:tcPr>
            <w:tcW w:w="3402" w:type="dxa"/>
            <w:shd w:val="clear" w:color="auto" w:fill="auto"/>
          </w:tcPr>
          <w:p w14:paraId="7B332BD7"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PPS</w:t>
            </w:r>
          </w:p>
        </w:tc>
        <w:tc>
          <w:tcPr>
            <w:tcW w:w="1559" w:type="dxa"/>
            <w:shd w:val="clear" w:color="auto" w:fill="auto"/>
          </w:tcPr>
          <w:p w14:paraId="7525D9A1"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w:t>
            </w:r>
          </w:p>
        </w:tc>
        <w:tc>
          <w:tcPr>
            <w:tcW w:w="1276" w:type="dxa"/>
            <w:shd w:val="clear" w:color="auto" w:fill="auto"/>
          </w:tcPr>
          <w:p w14:paraId="481ADF83"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5,41%</w:t>
            </w:r>
          </w:p>
        </w:tc>
        <w:tc>
          <w:tcPr>
            <w:tcW w:w="1249" w:type="dxa"/>
            <w:shd w:val="clear" w:color="auto" w:fill="auto"/>
          </w:tcPr>
          <w:p w14:paraId="49FD7F54"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w:t>
            </w:r>
          </w:p>
        </w:tc>
        <w:tc>
          <w:tcPr>
            <w:tcW w:w="1019" w:type="dxa"/>
            <w:shd w:val="clear" w:color="auto" w:fill="auto"/>
          </w:tcPr>
          <w:p w14:paraId="1D0A9215"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4,12%</w:t>
            </w:r>
          </w:p>
        </w:tc>
      </w:tr>
      <w:tr w:rsidR="00733207" w14:paraId="3F7DF62B" w14:textId="77777777">
        <w:trPr>
          <w:trHeight w:val="20"/>
          <w:jc w:val="center"/>
        </w:trPr>
        <w:tc>
          <w:tcPr>
            <w:tcW w:w="1413" w:type="dxa"/>
            <w:shd w:val="clear" w:color="auto" w:fill="auto"/>
          </w:tcPr>
          <w:p w14:paraId="5724662E" w14:textId="6EAAE2A0"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7</w:t>
            </w:r>
            <w:r>
              <w:rPr>
                <w:rFonts w:ascii="Rockwell" w:eastAsia="Times New Roman" w:hAnsi="Rockwell"/>
                <w:color w:val="000000"/>
                <w:sz w:val="23"/>
                <w:szCs w:val="23"/>
                <w:vertAlign w:val="superscript"/>
              </w:rPr>
              <w:t>e</w:t>
            </w:r>
          </w:p>
        </w:tc>
        <w:tc>
          <w:tcPr>
            <w:tcW w:w="3402" w:type="dxa"/>
            <w:shd w:val="clear" w:color="auto" w:fill="auto"/>
          </w:tcPr>
          <w:p w14:paraId="2A70E0EF"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MPP</w:t>
            </w:r>
          </w:p>
        </w:tc>
        <w:tc>
          <w:tcPr>
            <w:tcW w:w="1559" w:type="dxa"/>
            <w:shd w:val="clear" w:color="auto" w:fill="auto"/>
          </w:tcPr>
          <w:p w14:paraId="4771EBB8"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3</w:t>
            </w:r>
          </w:p>
        </w:tc>
        <w:tc>
          <w:tcPr>
            <w:tcW w:w="1276" w:type="dxa"/>
            <w:shd w:val="clear" w:color="auto" w:fill="auto"/>
          </w:tcPr>
          <w:p w14:paraId="786CC2D7"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4,05%</w:t>
            </w:r>
          </w:p>
        </w:tc>
        <w:tc>
          <w:tcPr>
            <w:tcW w:w="1249" w:type="dxa"/>
            <w:shd w:val="clear" w:color="auto" w:fill="auto"/>
          </w:tcPr>
          <w:p w14:paraId="7F7B9981"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w:t>
            </w:r>
          </w:p>
        </w:tc>
        <w:tc>
          <w:tcPr>
            <w:tcW w:w="1019" w:type="dxa"/>
            <w:shd w:val="clear" w:color="auto" w:fill="auto"/>
          </w:tcPr>
          <w:p w14:paraId="43BCDD2E"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4,12%</w:t>
            </w:r>
          </w:p>
        </w:tc>
      </w:tr>
      <w:tr w:rsidR="00733207" w14:paraId="48E698D0" w14:textId="77777777">
        <w:trPr>
          <w:trHeight w:val="20"/>
          <w:jc w:val="center"/>
        </w:trPr>
        <w:tc>
          <w:tcPr>
            <w:tcW w:w="1413" w:type="dxa"/>
            <w:shd w:val="clear" w:color="auto" w:fill="auto"/>
          </w:tcPr>
          <w:p w14:paraId="5E599BE6" w14:textId="2CC5074B"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8</w:t>
            </w:r>
            <w:r>
              <w:rPr>
                <w:rFonts w:ascii="Rockwell" w:eastAsia="Times New Roman" w:hAnsi="Rockwell"/>
                <w:color w:val="000000"/>
                <w:sz w:val="23"/>
                <w:szCs w:val="23"/>
                <w:vertAlign w:val="superscript"/>
              </w:rPr>
              <w:t>e</w:t>
            </w:r>
          </w:p>
        </w:tc>
        <w:tc>
          <w:tcPr>
            <w:tcW w:w="3402" w:type="dxa"/>
            <w:shd w:val="clear" w:color="auto" w:fill="auto"/>
          </w:tcPr>
          <w:p w14:paraId="2EBE9CF3"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PAREN</w:t>
            </w:r>
          </w:p>
        </w:tc>
        <w:tc>
          <w:tcPr>
            <w:tcW w:w="1559" w:type="dxa"/>
            <w:shd w:val="clear" w:color="auto" w:fill="auto"/>
          </w:tcPr>
          <w:p w14:paraId="6197DA4F"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w:t>
            </w:r>
          </w:p>
        </w:tc>
        <w:tc>
          <w:tcPr>
            <w:tcW w:w="1276" w:type="dxa"/>
            <w:shd w:val="clear" w:color="auto" w:fill="auto"/>
          </w:tcPr>
          <w:p w14:paraId="199F0635"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2,70%</w:t>
            </w:r>
          </w:p>
        </w:tc>
        <w:tc>
          <w:tcPr>
            <w:tcW w:w="1249" w:type="dxa"/>
            <w:shd w:val="clear" w:color="auto" w:fill="auto"/>
          </w:tcPr>
          <w:p w14:paraId="04BDDC40"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w:t>
            </w:r>
          </w:p>
        </w:tc>
        <w:tc>
          <w:tcPr>
            <w:tcW w:w="1019" w:type="dxa"/>
            <w:shd w:val="clear" w:color="auto" w:fill="auto"/>
          </w:tcPr>
          <w:p w14:paraId="02B7312F"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4,12%</w:t>
            </w:r>
          </w:p>
        </w:tc>
      </w:tr>
      <w:tr w:rsidR="00733207" w14:paraId="0DE2EEA4" w14:textId="77777777">
        <w:trPr>
          <w:trHeight w:val="20"/>
          <w:jc w:val="center"/>
        </w:trPr>
        <w:tc>
          <w:tcPr>
            <w:tcW w:w="1413" w:type="dxa"/>
            <w:shd w:val="clear" w:color="auto" w:fill="auto"/>
          </w:tcPr>
          <w:p w14:paraId="51813B01" w14:textId="77777777" w:rsidR="00733207" w:rsidRDefault="00912BAE" w:rsidP="00866BAD">
            <w:pPr>
              <w:spacing w:before="120" w:after="120" w:line="360" w:lineRule="auto"/>
              <w:jc w:val="center"/>
              <w:rPr>
                <w:rFonts w:ascii="Rockwell" w:eastAsia="Times New Roman" w:hAnsi="Rockwell"/>
                <w:color w:val="000000"/>
                <w:sz w:val="23"/>
                <w:szCs w:val="23"/>
              </w:rPr>
            </w:pPr>
            <w:r>
              <w:rPr>
                <w:rFonts w:ascii="Rockwell" w:eastAsia="Times New Roman" w:hAnsi="Rockwell"/>
                <w:color w:val="000000"/>
                <w:sz w:val="23"/>
                <w:szCs w:val="23"/>
              </w:rPr>
              <w:t>8</w:t>
            </w:r>
            <w:r>
              <w:rPr>
                <w:rFonts w:ascii="Rockwell" w:eastAsia="Times New Roman" w:hAnsi="Rockwell"/>
                <w:color w:val="000000"/>
                <w:sz w:val="23"/>
                <w:szCs w:val="23"/>
                <w:vertAlign w:val="superscript"/>
              </w:rPr>
              <w:t>e</w:t>
            </w:r>
            <w:r>
              <w:rPr>
                <w:rFonts w:ascii="Rockwell" w:eastAsia="Times New Roman" w:hAnsi="Rockwell"/>
                <w:color w:val="000000"/>
                <w:sz w:val="23"/>
                <w:szCs w:val="23"/>
              </w:rPr>
              <w:t xml:space="preserve"> ex</w:t>
            </w:r>
          </w:p>
        </w:tc>
        <w:tc>
          <w:tcPr>
            <w:tcW w:w="3402" w:type="dxa"/>
            <w:shd w:val="clear" w:color="auto" w:fill="auto"/>
          </w:tcPr>
          <w:p w14:paraId="65C1853B"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LD</w:t>
            </w:r>
          </w:p>
        </w:tc>
        <w:tc>
          <w:tcPr>
            <w:tcW w:w="1559" w:type="dxa"/>
            <w:shd w:val="clear" w:color="auto" w:fill="auto"/>
          </w:tcPr>
          <w:p w14:paraId="4C21098A"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w:t>
            </w:r>
          </w:p>
        </w:tc>
        <w:tc>
          <w:tcPr>
            <w:tcW w:w="1276" w:type="dxa"/>
            <w:shd w:val="clear" w:color="auto" w:fill="auto"/>
          </w:tcPr>
          <w:p w14:paraId="2A77DC8F"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2,70%</w:t>
            </w:r>
          </w:p>
        </w:tc>
        <w:tc>
          <w:tcPr>
            <w:tcW w:w="1249" w:type="dxa"/>
            <w:shd w:val="clear" w:color="auto" w:fill="auto"/>
          </w:tcPr>
          <w:p w14:paraId="5355233A"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w:t>
            </w:r>
          </w:p>
        </w:tc>
        <w:tc>
          <w:tcPr>
            <w:tcW w:w="1019" w:type="dxa"/>
            <w:shd w:val="clear" w:color="auto" w:fill="auto"/>
          </w:tcPr>
          <w:p w14:paraId="04355AA4"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2,06%</w:t>
            </w:r>
          </w:p>
        </w:tc>
      </w:tr>
      <w:tr w:rsidR="00733207" w14:paraId="0BE70965" w14:textId="77777777">
        <w:trPr>
          <w:trHeight w:val="436"/>
          <w:jc w:val="center"/>
        </w:trPr>
        <w:tc>
          <w:tcPr>
            <w:tcW w:w="1413" w:type="dxa"/>
            <w:shd w:val="clear" w:color="auto" w:fill="auto"/>
          </w:tcPr>
          <w:p w14:paraId="55E9D1BC" w14:textId="77777777" w:rsidR="00733207" w:rsidRDefault="00912BAE" w:rsidP="00866BAD">
            <w:pPr>
              <w:spacing w:before="120" w:after="120" w:line="360" w:lineRule="auto"/>
              <w:jc w:val="center"/>
              <w:rPr>
                <w:rFonts w:ascii="Rockwell" w:eastAsia="Times New Roman" w:hAnsi="Rockwell"/>
                <w:sz w:val="23"/>
                <w:szCs w:val="23"/>
              </w:rPr>
            </w:pPr>
            <w:r>
              <w:rPr>
                <w:rFonts w:ascii="Rockwell" w:eastAsia="Times New Roman" w:hAnsi="Rockwell"/>
                <w:color w:val="000000"/>
                <w:sz w:val="23"/>
                <w:szCs w:val="23"/>
              </w:rPr>
              <w:t>9</w:t>
            </w:r>
            <w:r>
              <w:rPr>
                <w:rFonts w:ascii="Rockwell" w:eastAsia="Times New Roman" w:hAnsi="Rockwell"/>
                <w:color w:val="000000"/>
                <w:sz w:val="23"/>
                <w:szCs w:val="23"/>
                <w:vertAlign w:val="superscript"/>
              </w:rPr>
              <w:t>e</w:t>
            </w:r>
          </w:p>
        </w:tc>
        <w:tc>
          <w:tcPr>
            <w:tcW w:w="3402" w:type="dxa"/>
            <w:shd w:val="clear" w:color="auto" w:fill="auto"/>
          </w:tcPr>
          <w:p w14:paraId="061FF011"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APC</w:t>
            </w:r>
          </w:p>
        </w:tc>
        <w:tc>
          <w:tcPr>
            <w:tcW w:w="1559" w:type="dxa"/>
            <w:shd w:val="clear" w:color="auto" w:fill="auto"/>
          </w:tcPr>
          <w:p w14:paraId="12497CB1"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276" w:type="dxa"/>
            <w:shd w:val="clear" w:color="auto" w:fill="auto"/>
          </w:tcPr>
          <w:p w14:paraId="284154D7"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1,35%</w:t>
            </w:r>
          </w:p>
        </w:tc>
        <w:tc>
          <w:tcPr>
            <w:tcW w:w="1249" w:type="dxa"/>
            <w:shd w:val="clear" w:color="auto" w:fill="auto"/>
          </w:tcPr>
          <w:p w14:paraId="6D607AF8"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w:t>
            </w:r>
          </w:p>
        </w:tc>
        <w:tc>
          <w:tcPr>
            <w:tcW w:w="1019" w:type="dxa"/>
            <w:shd w:val="clear" w:color="auto" w:fill="auto"/>
          </w:tcPr>
          <w:p w14:paraId="295A6525"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2,06%</w:t>
            </w:r>
          </w:p>
        </w:tc>
      </w:tr>
      <w:tr w:rsidR="00733207" w14:paraId="613D0A89" w14:textId="77777777">
        <w:trPr>
          <w:trHeight w:val="20"/>
          <w:jc w:val="center"/>
        </w:trPr>
        <w:tc>
          <w:tcPr>
            <w:tcW w:w="1413" w:type="dxa"/>
            <w:shd w:val="clear" w:color="auto" w:fill="auto"/>
          </w:tcPr>
          <w:p w14:paraId="39603013" w14:textId="77777777" w:rsidR="00733207" w:rsidRDefault="00912BAE" w:rsidP="00866BAD">
            <w:pPr>
              <w:spacing w:before="120" w:after="120" w:line="360" w:lineRule="auto"/>
              <w:jc w:val="center"/>
              <w:rPr>
                <w:rFonts w:ascii="Rockwell" w:eastAsia="Times New Roman" w:hAnsi="Rockwell"/>
                <w:sz w:val="23"/>
                <w:szCs w:val="23"/>
              </w:rPr>
            </w:pPr>
            <w:r>
              <w:rPr>
                <w:rFonts w:ascii="Rockwell" w:eastAsia="Times New Roman" w:hAnsi="Rockwell"/>
                <w:color w:val="000000"/>
                <w:sz w:val="23"/>
                <w:szCs w:val="23"/>
              </w:rPr>
              <w:t>9</w:t>
            </w:r>
            <w:r>
              <w:rPr>
                <w:rFonts w:ascii="Rockwell" w:eastAsia="Times New Roman" w:hAnsi="Rockwell"/>
                <w:color w:val="000000"/>
                <w:sz w:val="23"/>
                <w:szCs w:val="23"/>
                <w:vertAlign w:val="superscript"/>
              </w:rPr>
              <w:t>e</w:t>
            </w:r>
            <w:r>
              <w:rPr>
                <w:rFonts w:ascii="Rockwell" w:eastAsia="Times New Roman" w:hAnsi="Rockwell"/>
                <w:color w:val="000000"/>
                <w:sz w:val="23"/>
                <w:szCs w:val="23"/>
              </w:rPr>
              <w:t xml:space="preserve"> ex</w:t>
            </w:r>
          </w:p>
        </w:tc>
        <w:tc>
          <w:tcPr>
            <w:tcW w:w="3402" w:type="dxa"/>
            <w:shd w:val="clear" w:color="auto" w:fill="auto"/>
          </w:tcPr>
          <w:p w14:paraId="3A210E36"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MPC</w:t>
            </w:r>
          </w:p>
        </w:tc>
        <w:tc>
          <w:tcPr>
            <w:tcW w:w="1559" w:type="dxa"/>
            <w:shd w:val="clear" w:color="auto" w:fill="auto"/>
          </w:tcPr>
          <w:p w14:paraId="212B0822"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276" w:type="dxa"/>
            <w:shd w:val="clear" w:color="auto" w:fill="auto"/>
          </w:tcPr>
          <w:p w14:paraId="0AE3C404"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1,35%</w:t>
            </w:r>
          </w:p>
        </w:tc>
        <w:tc>
          <w:tcPr>
            <w:tcW w:w="1249" w:type="dxa"/>
            <w:shd w:val="clear" w:color="auto" w:fill="auto"/>
          </w:tcPr>
          <w:p w14:paraId="5EE381C0"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w:t>
            </w:r>
          </w:p>
        </w:tc>
        <w:tc>
          <w:tcPr>
            <w:tcW w:w="1019" w:type="dxa"/>
            <w:shd w:val="clear" w:color="auto" w:fill="auto"/>
          </w:tcPr>
          <w:p w14:paraId="58F59AB6"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2,06%</w:t>
            </w:r>
          </w:p>
        </w:tc>
      </w:tr>
      <w:tr w:rsidR="00733207" w14:paraId="46BBE4A3" w14:textId="77777777">
        <w:trPr>
          <w:trHeight w:val="20"/>
          <w:jc w:val="center"/>
        </w:trPr>
        <w:tc>
          <w:tcPr>
            <w:tcW w:w="1413" w:type="dxa"/>
            <w:shd w:val="clear" w:color="auto" w:fill="auto"/>
          </w:tcPr>
          <w:p w14:paraId="7DCA227A" w14:textId="77777777" w:rsidR="00733207" w:rsidRDefault="00912BAE" w:rsidP="00866BAD">
            <w:pPr>
              <w:spacing w:before="120" w:after="120" w:line="360" w:lineRule="auto"/>
              <w:jc w:val="center"/>
              <w:rPr>
                <w:rFonts w:ascii="Rockwell" w:eastAsia="Times New Roman" w:hAnsi="Rockwell"/>
                <w:sz w:val="23"/>
                <w:szCs w:val="23"/>
              </w:rPr>
            </w:pPr>
            <w:r>
              <w:rPr>
                <w:rFonts w:ascii="Rockwell" w:eastAsia="Times New Roman" w:hAnsi="Rockwell"/>
                <w:color w:val="000000"/>
                <w:sz w:val="23"/>
                <w:szCs w:val="23"/>
              </w:rPr>
              <w:t>9</w:t>
            </w:r>
            <w:r>
              <w:rPr>
                <w:rFonts w:ascii="Rockwell" w:eastAsia="Times New Roman" w:hAnsi="Rockwell"/>
                <w:color w:val="000000"/>
                <w:sz w:val="23"/>
                <w:szCs w:val="23"/>
                <w:vertAlign w:val="superscript"/>
              </w:rPr>
              <w:t>e</w:t>
            </w:r>
            <w:r>
              <w:rPr>
                <w:rFonts w:ascii="Rockwell" w:eastAsia="Times New Roman" w:hAnsi="Rockwell"/>
                <w:color w:val="000000"/>
                <w:sz w:val="23"/>
                <w:szCs w:val="23"/>
              </w:rPr>
              <w:t xml:space="preserve"> ex</w:t>
            </w:r>
          </w:p>
        </w:tc>
        <w:tc>
          <w:tcPr>
            <w:tcW w:w="3402" w:type="dxa"/>
            <w:shd w:val="clear" w:color="auto" w:fill="auto"/>
          </w:tcPr>
          <w:p w14:paraId="4E999410"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PDP/PS</w:t>
            </w:r>
          </w:p>
        </w:tc>
        <w:tc>
          <w:tcPr>
            <w:tcW w:w="1559" w:type="dxa"/>
            <w:shd w:val="clear" w:color="auto" w:fill="auto"/>
          </w:tcPr>
          <w:p w14:paraId="74D1F975"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276" w:type="dxa"/>
            <w:shd w:val="clear" w:color="auto" w:fill="auto"/>
          </w:tcPr>
          <w:p w14:paraId="365C00EE"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1,35%</w:t>
            </w:r>
          </w:p>
        </w:tc>
        <w:tc>
          <w:tcPr>
            <w:tcW w:w="1249" w:type="dxa"/>
            <w:shd w:val="clear" w:color="auto" w:fill="auto"/>
          </w:tcPr>
          <w:p w14:paraId="029C7505"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019" w:type="dxa"/>
            <w:shd w:val="clear" w:color="auto" w:fill="auto"/>
          </w:tcPr>
          <w:p w14:paraId="4741EA07"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1,03%</w:t>
            </w:r>
          </w:p>
        </w:tc>
      </w:tr>
      <w:tr w:rsidR="00733207" w14:paraId="77E324DB" w14:textId="77777777">
        <w:trPr>
          <w:trHeight w:val="20"/>
          <w:jc w:val="center"/>
        </w:trPr>
        <w:tc>
          <w:tcPr>
            <w:tcW w:w="1413" w:type="dxa"/>
            <w:shd w:val="clear" w:color="auto" w:fill="auto"/>
          </w:tcPr>
          <w:p w14:paraId="313F26BE" w14:textId="77777777" w:rsidR="00733207" w:rsidRDefault="00912BAE" w:rsidP="00866BAD">
            <w:pPr>
              <w:spacing w:before="120" w:after="120" w:line="360" w:lineRule="auto"/>
              <w:jc w:val="center"/>
              <w:rPr>
                <w:rFonts w:ascii="Rockwell" w:eastAsia="Times New Roman" w:hAnsi="Rockwell"/>
                <w:sz w:val="23"/>
                <w:szCs w:val="23"/>
              </w:rPr>
            </w:pPr>
            <w:r>
              <w:rPr>
                <w:rFonts w:ascii="Rockwell" w:eastAsia="Times New Roman" w:hAnsi="Rockwell"/>
                <w:color w:val="000000"/>
                <w:sz w:val="23"/>
                <w:szCs w:val="23"/>
              </w:rPr>
              <w:t>9</w:t>
            </w:r>
            <w:r>
              <w:rPr>
                <w:rFonts w:ascii="Rockwell" w:eastAsia="Times New Roman" w:hAnsi="Rockwell"/>
                <w:color w:val="000000"/>
                <w:sz w:val="23"/>
                <w:szCs w:val="23"/>
                <w:vertAlign w:val="superscript"/>
              </w:rPr>
              <w:t>e</w:t>
            </w:r>
            <w:r>
              <w:rPr>
                <w:rFonts w:ascii="Rockwell" w:eastAsia="Times New Roman" w:hAnsi="Rockwell"/>
                <w:color w:val="000000"/>
                <w:sz w:val="23"/>
                <w:szCs w:val="23"/>
              </w:rPr>
              <w:t xml:space="preserve"> ex</w:t>
            </w:r>
          </w:p>
        </w:tc>
        <w:tc>
          <w:tcPr>
            <w:tcW w:w="3402" w:type="dxa"/>
            <w:shd w:val="clear" w:color="auto" w:fill="auto"/>
          </w:tcPr>
          <w:p w14:paraId="5EBE2595"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RDN</w:t>
            </w:r>
          </w:p>
        </w:tc>
        <w:tc>
          <w:tcPr>
            <w:tcW w:w="1559" w:type="dxa"/>
            <w:shd w:val="clear" w:color="auto" w:fill="auto"/>
          </w:tcPr>
          <w:p w14:paraId="3FB4A7CF"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276" w:type="dxa"/>
            <w:shd w:val="clear" w:color="auto" w:fill="auto"/>
          </w:tcPr>
          <w:p w14:paraId="10969282"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1,35%</w:t>
            </w:r>
          </w:p>
        </w:tc>
        <w:tc>
          <w:tcPr>
            <w:tcW w:w="1249" w:type="dxa"/>
            <w:shd w:val="clear" w:color="auto" w:fill="auto"/>
          </w:tcPr>
          <w:p w14:paraId="7B7F44B0"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019" w:type="dxa"/>
            <w:shd w:val="clear" w:color="auto" w:fill="auto"/>
          </w:tcPr>
          <w:p w14:paraId="5C7B0E5E"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1,03%</w:t>
            </w:r>
          </w:p>
        </w:tc>
      </w:tr>
      <w:tr w:rsidR="00733207" w14:paraId="268830C6" w14:textId="77777777">
        <w:trPr>
          <w:trHeight w:val="20"/>
          <w:jc w:val="center"/>
        </w:trPr>
        <w:tc>
          <w:tcPr>
            <w:tcW w:w="1413" w:type="dxa"/>
            <w:shd w:val="clear" w:color="auto" w:fill="auto"/>
          </w:tcPr>
          <w:p w14:paraId="6009D74C" w14:textId="77777777" w:rsidR="00733207" w:rsidRDefault="00912BAE" w:rsidP="00866BAD">
            <w:pPr>
              <w:spacing w:before="120" w:after="120" w:line="360" w:lineRule="auto"/>
              <w:jc w:val="center"/>
              <w:rPr>
                <w:rFonts w:ascii="Rockwell" w:eastAsia="Times New Roman" w:hAnsi="Rockwell"/>
                <w:sz w:val="23"/>
                <w:szCs w:val="23"/>
              </w:rPr>
            </w:pPr>
            <w:r>
              <w:rPr>
                <w:rFonts w:ascii="Rockwell" w:eastAsia="Times New Roman" w:hAnsi="Rockwell"/>
                <w:color w:val="000000"/>
                <w:sz w:val="23"/>
                <w:szCs w:val="23"/>
              </w:rPr>
              <w:t>9</w:t>
            </w:r>
            <w:r>
              <w:rPr>
                <w:rFonts w:ascii="Rockwell" w:eastAsia="Times New Roman" w:hAnsi="Rockwell"/>
                <w:color w:val="000000"/>
                <w:sz w:val="23"/>
                <w:szCs w:val="23"/>
                <w:vertAlign w:val="superscript"/>
              </w:rPr>
              <w:t>e</w:t>
            </w:r>
            <w:r>
              <w:rPr>
                <w:rFonts w:ascii="Rockwell" w:eastAsia="Times New Roman" w:hAnsi="Rockwell"/>
                <w:color w:val="000000"/>
                <w:sz w:val="23"/>
                <w:szCs w:val="23"/>
              </w:rPr>
              <w:t xml:space="preserve"> ex</w:t>
            </w:r>
          </w:p>
        </w:tc>
        <w:tc>
          <w:tcPr>
            <w:tcW w:w="3402" w:type="dxa"/>
            <w:shd w:val="clear" w:color="auto" w:fill="auto"/>
          </w:tcPr>
          <w:p w14:paraId="7495749E" w14:textId="77777777" w:rsidR="00733207" w:rsidRDefault="00912BAE">
            <w:pPr>
              <w:spacing w:before="120" w:after="120" w:line="360" w:lineRule="auto"/>
              <w:jc w:val="both"/>
              <w:rPr>
                <w:rFonts w:ascii="Rockwell" w:eastAsia="Times New Roman" w:hAnsi="Rockwell"/>
                <w:b/>
                <w:bCs/>
                <w:color w:val="000000"/>
                <w:sz w:val="23"/>
                <w:szCs w:val="23"/>
              </w:rPr>
            </w:pPr>
            <w:r>
              <w:rPr>
                <w:rFonts w:ascii="Rockwell" w:eastAsia="Times New Roman" w:hAnsi="Rockwell"/>
                <w:b/>
                <w:bCs/>
                <w:color w:val="000000"/>
                <w:sz w:val="23"/>
                <w:szCs w:val="23"/>
              </w:rPr>
              <w:t>SENS</w:t>
            </w:r>
          </w:p>
        </w:tc>
        <w:tc>
          <w:tcPr>
            <w:tcW w:w="1559" w:type="dxa"/>
            <w:shd w:val="clear" w:color="auto" w:fill="auto"/>
          </w:tcPr>
          <w:p w14:paraId="24A7D4D3"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276" w:type="dxa"/>
            <w:shd w:val="clear" w:color="auto" w:fill="auto"/>
          </w:tcPr>
          <w:p w14:paraId="559C6D34"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1,35%</w:t>
            </w:r>
          </w:p>
        </w:tc>
        <w:tc>
          <w:tcPr>
            <w:tcW w:w="1249" w:type="dxa"/>
            <w:shd w:val="clear" w:color="auto" w:fill="auto"/>
          </w:tcPr>
          <w:p w14:paraId="6D1659D3"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w:t>
            </w:r>
          </w:p>
        </w:tc>
        <w:tc>
          <w:tcPr>
            <w:tcW w:w="1019" w:type="dxa"/>
            <w:shd w:val="clear" w:color="auto" w:fill="auto"/>
          </w:tcPr>
          <w:p w14:paraId="0D80F01D" w14:textId="77777777" w:rsidR="00733207" w:rsidRDefault="00912BAE">
            <w:pPr>
              <w:spacing w:before="120" w:after="120" w:line="360" w:lineRule="auto"/>
              <w:jc w:val="both"/>
              <w:rPr>
                <w:rFonts w:ascii="Rockwell" w:eastAsia="Times New Roman" w:hAnsi="Rockwell"/>
                <w:b/>
                <w:bCs/>
                <w:sz w:val="23"/>
                <w:szCs w:val="23"/>
              </w:rPr>
            </w:pPr>
            <w:r>
              <w:rPr>
                <w:rFonts w:ascii="Rockwell" w:eastAsia="Times New Roman" w:hAnsi="Rockwell"/>
                <w:b/>
                <w:bCs/>
                <w:sz w:val="23"/>
                <w:szCs w:val="23"/>
              </w:rPr>
              <w:t>1,03%</w:t>
            </w:r>
          </w:p>
        </w:tc>
      </w:tr>
    </w:tbl>
    <w:p w14:paraId="6E0A9AA2" w14:textId="77777777" w:rsidR="00733207" w:rsidRDefault="00912BAE">
      <w:pPr>
        <w:spacing w:before="120" w:after="120" w:line="360" w:lineRule="auto"/>
        <w:jc w:val="both"/>
        <w:rPr>
          <w:rFonts w:ascii="Rockwell" w:hAnsi="Rockwell"/>
          <w:i/>
          <w:color w:val="000000" w:themeColor="text1"/>
        </w:rPr>
        <w:sectPr w:rsidR="00733207">
          <w:pgSz w:w="11906" w:h="16838"/>
          <w:pgMar w:top="1418" w:right="1418" w:bottom="709" w:left="709" w:header="709" w:footer="23"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6314D6A1" w14:textId="77777777" w:rsidR="00733207" w:rsidRDefault="00912BAE">
      <w:pPr>
        <w:spacing w:before="120" w:after="120" w:line="240" w:lineRule="auto"/>
        <w:ind w:left="709"/>
        <w:jc w:val="center"/>
        <w:rPr>
          <w:rFonts w:ascii="Rockwell" w:hAnsi="Rockwell"/>
          <w:b/>
          <w:i/>
          <w:color w:val="000000"/>
          <w:u w:val="single"/>
        </w:rPr>
      </w:pPr>
      <w:r>
        <w:rPr>
          <w:rFonts w:ascii="Rockwell" w:hAnsi="Rockwell"/>
          <w:b/>
          <w:i/>
          <w:color w:val="000000"/>
          <w:u w:val="single"/>
        </w:rPr>
        <w:lastRenderedPageBreak/>
        <w:t>Graphique n°7</w:t>
      </w:r>
      <w:r>
        <w:rPr>
          <w:rFonts w:ascii="Rockwell" w:hAnsi="Rockwell"/>
          <w:b/>
          <w:i/>
          <w:color w:val="000000"/>
        </w:rPr>
        <w:t xml:space="preserve"> : </w:t>
      </w:r>
      <w:r>
        <w:rPr>
          <w:rFonts w:ascii="Rockwell" w:hAnsi="Rockwell"/>
          <w:i/>
          <w:color w:val="000000"/>
        </w:rPr>
        <w:t>Représentation des dix premiers partis politiques selon le NA et le NI publiés dans les médias en ligne</w:t>
      </w:r>
    </w:p>
    <w:p w14:paraId="317AC13F" w14:textId="77777777" w:rsidR="00733207" w:rsidRDefault="00733207">
      <w:pPr>
        <w:spacing w:before="120" w:after="120" w:line="240" w:lineRule="auto"/>
        <w:ind w:left="720"/>
        <w:jc w:val="both"/>
        <w:rPr>
          <w:rFonts w:ascii="Rockwell" w:hAnsi="Rockwell"/>
          <w:i/>
          <w:color w:val="000000"/>
          <w:sz w:val="10"/>
          <w:szCs w:val="10"/>
        </w:rPr>
      </w:pPr>
    </w:p>
    <w:p w14:paraId="4D5450CC" w14:textId="77777777" w:rsidR="00733207" w:rsidRDefault="00733207">
      <w:pPr>
        <w:spacing w:before="120" w:after="120" w:line="360" w:lineRule="auto"/>
        <w:ind w:left="720"/>
        <w:jc w:val="both"/>
        <w:rPr>
          <w:rFonts w:ascii="Rockwell" w:hAnsi="Rockwell"/>
          <w:b/>
          <w:color w:val="FF0000"/>
          <w:sz w:val="10"/>
          <w:szCs w:val="10"/>
        </w:rPr>
      </w:pPr>
    </w:p>
    <w:p w14:paraId="36AC83D1" w14:textId="77777777" w:rsidR="00733207" w:rsidRDefault="00912BAE">
      <w:pPr>
        <w:pStyle w:val="Paragraphedeliste"/>
        <w:spacing w:before="120" w:after="120" w:line="360" w:lineRule="auto"/>
        <w:ind w:left="0"/>
        <w:jc w:val="both"/>
        <w:rPr>
          <w:rFonts w:ascii="Rockwell" w:hAnsi="Rockwell"/>
          <w:sz w:val="26"/>
          <w:szCs w:val="26"/>
        </w:rPr>
      </w:pPr>
      <w:r>
        <w:rPr>
          <w:rFonts w:ascii="Rockwell" w:hAnsi="Rockwell"/>
          <w:noProof/>
          <w:sz w:val="26"/>
          <w:szCs w:val="26"/>
          <w:lang w:eastAsia="fr-FR"/>
        </w:rPr>
        <w:drawing>
          <wp:inline distT="0" distB="0" distL="0" distR="0" wp14:anchorId="3CD7B8C9" wp14:editId="3AD8C432">
            <wp:extent cx="6096000" cy="3590925"/>
            <wp:effectExtent l="0" t="0" r="0" b="9525"/>
            <wp:docPr id="55" name="Graphique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349BD5F" w14:textId="77777777" w:rsidR="00733207" w:rsidRDefault="00733207">
      <w:pPr>
        <w:spacing w:before="120" w:after="120" w:line="360" w:lineRule="auto"/>
        <w:ind w:left="709"/>
        <w:jc w:val="both"/>
        <w:rPr>
          <w:rFonts w:ascii="Rockwell" w:eastAsia="Times New Roman" w:hAnsi="Rockwell"/>
          <w:b/>
          <w:sz w:val="18"/>
          <w:szCs w:val="18"/>
        </w:rPr>
      </w:pPr>
    </w:p>
    <w:p w14:paraId="0EF2B431" w14:textId="77777777" w:rsidR="00733207" w:rsidRDefault="00912BAE">
      <w:pPr>
        <w:pStyle w:val="Titre7"/>
        <w:numPr>
          <w:ilvl w:val="0"/>
          <w:numId w:val="24"/>
        </w:numPr>
        <w:spacing w:before="120" w:after="120" w:line="360" w:lineRule="auto"/>
        <w:jc w:val="center"/>
        <w:rPr>
          <w:rFonts w:ascii="Rockwell" w:hAnsi="Rockwell"/>
          <w:b/>
          <w:color w:val="auto"/>
          <w:sz w:val="24"/>
          <w:szCs w:val="24"/>
        </w:rPr>
      </w:pPr>
      <w:bookmarkStart w:id="274" w:name="_Toc161320237"/>
      <w:bookmarkStart w:id="275" w:name="_Toc175128502"/>
      <w:r>
        <w:rPr>
          <w:rFonts w:ascii="Rockwell" w:hAnsi="Rockwell"/>
          <w:b/>
          <w:color w:val="auto"/>
          <w:sz w:val="24"/>
          <w:szCs w:val="24"/>
        </w:rPr>
        <w:t>Classement des acteurs sociopolitiques</w:t>
      </w:r>
      <w:bookmarkEnd w:id="274"/>
      <w:r>
        <w:rPr>
          <w:rFonts w:ascii="Rockwell" w:hAnsi="Rockwell"/>
          <w:b/>
          <w:color w:val="auto"/>
          <w:sz w:val="24"/>
          <w:szCs w:val="24"/>
        </w:rPr>
        <w:t xml:space="preserve"> en fonction des NA et NI obtenus</w:t>
      </w:r>
      <w:bookmarkEnd w:id="275"/>
    </w:p>
    <w:p w14:paraId="0FF764A4" w14:textId="77777777" w:rsidR="00733207" w:rsidRDefault="00912BAE">
      <w:pPr>
        <w:pStyle w:val="Paragraphedeliste"/>
        <w:spacing w:after="0" w:line="240" w:lineRule="auto"/>
        <w:ind w:left="284"/>
        <w:jc w:val="center"/>
        <w:rPr>
          <w:rFonts w:ascii="Rockwell" w:hAnsi="Rockwell"/>
          <w:i/>
          <w:color w:val="000000"/>
        </w:rPr>
      </w:pPr>
      <w:r>
        <w:rPr>
          <w:rFonts w:ascii="Rockwell" w:hAnsi="Rockwell"/>
          <w:b/>
          <w:i/>
          <w:color w:val="000000"/>
          <w:u w:val="single"/>
        </w:rPr>
        <w:t>Tableau n°8</w:t>
      </w:r>
      <w:r>
        <w:rPr>
          <w:rFonts w:ascii="Rockwell" w:hAnsi="Rockwell"/>
          <w:i/>
          <w:color w:val="000000"/>
          <w:u w:val="single"/>
        </w:rPr>
        <w:t> </w:t>
      </w:r>
      <w:r>
        <w:rPr>
          <w:rFonts w:ascii="Rockwell" w:hAnsi="Rockwell"/>
          <w:i/>
          <w:color w:val="000000"/>
        </w:rPr>
        <w:t>: Classement des acteurs sociopolitiques selon le NA et le NI publiés dans les médias en ligne</w:t>
      </w:r>
    </w:p>
    <w:p w14:paraId="20DC9AD5" w14:textId="77777777" w:rsidR="00733207" w:rsidRDefault="00733207">
      <w:pPr>
        <w:pStyle w:val="Paragraphedeliste"/>
        <w:spacing w:after="0" w:line="240" w:lineRule="auto"/>
        <w:ind w:left="0"/>
        <w:jc w:val="both"/>
        <w:rPr>
          <w:rFonts w:ascii="Rockwell" w:hAnsi="Rockwell"/>
          <w:i/>
          <w:color w:val="000000"/>
          <w:sz w:val="18"/>
          <w:szCs w:val="18"/>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701"/>
        <w:gridCol w:w="1275"/>
        <w:gridCol w:w="993"/>
        <w:gridCol w:w="1559"/>
      </w:tblGrid>
      <w:tr w:rsidR="00733207" w14:paraId="64614C26" w14:textId="77777777">
        <w:trPr>
          <w:trHeight w:val="512"/>
          <w:jc w:val="center"/>
        </w:trPr>
        <w:tc>
          <w:tcPr>
            <w:tcW w:w="3823" w:type="dxa"/>
            <w:shd w:val="clear" w:color="auto" w:fill="auto"/>
          </w:tcPr>
          <w:p w14:paraId="4A2C9A25"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ACTEURS SOCIOPOLITIQUES</w:t>
            </w:r>
          </w:p>
        </w:tc>
        <w:tc>
          <w:tcPr>
            <w:tcW w:w="1701" w:type="dxa"/>
            <w:shd w:val="clear" w:color="auto" w:fill="auto"/>
          </w:tcPr>
          <w:p w14:paraId="2C226332"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NA</w:t>
            </w:r>
          </w:p>
        </w:tc>
        <w:tc>
          <w:tcPr>
            <w:tcW w:w="1275" w:type="dxa"/>
            <w:shd w:val="clear" w:color="auto" w:fill="auto"/>
          </w:tcPr>
          <w:p w14:paraId="3E444244"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NA</w:t>
            </w:r>
          </w:p>
        </w:tc>
        <w:tc>
          <w:tcPr>
            <w:tcW w:w="993" w:type="dxa"/>
            <w:shd w:val="clear" w:color="auto" w:fill="auto"/>
          </w:tcPr>
          <w:p w14:paraId="5BAF0105"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NI</w:t>
            </w:r>
          </w:p>
        </w:tc>
        <w:tc>
          <w:tcPr>
            <w:tcW w:w="1559" w:type="dxa"/>
            <w:shd w:val="clear" w:color="auto" w:fill="auto"/>
          </w:tcPr>
          <w:p w14:paraId="63C7003F"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NI</w:t>
            </w:r>
          </w:p>
        </w:tc>
      </w:tr>
      <w:tr w:rsidR="00733207" w14:paraId="3336B758" w14:textId="77777777">
        <w:trPr>
          <w:trHeight w:val="70"/>
          <w:jc w:val="center"/>
        </w:trPr>
        <w:tc>
          <w:tcPr>
            <w:tcW w:w="3823" w:type="dxa"/>
            <w:shd w:val="clear" w:color="auto" w:fill="auto"/>
          </w:tcPr>
          <w:p w14:paraId="03B330CA"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GOUVERNEMENT</w:t>
            </w:r>
          </w:p>
        </w:tc>
        <w:tc>
          <w:tcPr>
            <w:tcW w:w="1701" w:type="dxa"/>
            <w:shd w:val="clear" w:color="auto" w:fill="auto"/>
          </w:tcPr>
          <w:p w14:paraId="0C6366D7"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331</w:t>
            </w:r>
          </w:p>
        </w:tc>
        <w:tc>
          <w:tcPr>
            <w:tcW w:w="1275" w:type="dxa"/>
            <w:shd w:val="clear" w:color="auto" w:fill="auto"/>
          </w:tcPr>
          <w:p w14:paraId="5C6CF516"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50,53%</w:t>
            </w:r>
          </w:p>
        </w:tc>
        <w:tc>
          <w:tcPr>
            <w:tcW w:w="993" w:type="dxa"/>
            <w:shd w:val="clear" w:color="auto" w:fill="auto"/>
          </w:tcPr>
          <w:p w14:paraId="5B03228F"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664</w:t>
            </w:r>
          </w:p>
        </w:tc>
        <w:tc>
          <w:tcPr>
            <w:tcW w:w="1559" w:type="dxa"/>
            <w:shd w:val="clear" w:color="auto" w:fill="auto"/>
          </w:tcPr>
          <w:p w14:paraId="2251B26D"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49,55%</w:t>
            </w:r>
          </w:p>
        </w:tc>
      </w:tr>
      <w:tr w:rsidR="00733207" w14:paraId="206E27CC" w14:textId="77777777">
        <w:trPr>
          <w:trHeight w:val="70"/>
          <w:jc w:val="center"/>
        </w:trPr>
        <w:tc>
          <w:tcPr>
            <w:tcW w:w="3823" w:type="dxa"/>
            <w:shd w:val="clear" w:color="auto" w:fill="auto"/>
          </w:tcPr>
          <w:p w14:paraId="55248A34"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OSC</w:t>
            </w:r>
          </w:p>
        </w:tc>
        <w:tc>
          <w:tcPr>
            <w:tcW w:w="1701" w:type="dxa"/>
            <w:shd w:val="clear" w:color="auto" w:fill="auto"/>
          </w:tcPr>
          <w:p w14:paraId="75D6C18E"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145</w:t>
            </w:r>
          </w:p>
        </w:tc>
        <w:tc>
          <w:tcPr>
            <w:tcW w:w="1275" w:type="dxa"/>
            <w:shd w:val="clear" w:color="auto" w:fill="auto"/>
          </w:tcPr>
          <w:p w14:paraId="4ACC6E87"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22,14%</w:t>
            </w:r>
          </w:p>
        </w:tc>
        <w:tc>
          <w:tcPr>
            <w:tcW w:w="993" w:type="dxa"/>
            <w:shd w:val="clear" w:color="auto" w:fill="auto"/>
          </w:tcPr>
          <w:p w14:paraId="1FB91A52"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317</w:t>
            </w:r>
          </w:p>
        </w:tc>
        <w:tc>
          <w:tcPr>
            <w:tcW w:w="1559" w:type="dxa"/>
            <w:shd w:val="clear" w:color="auto" w:fill="auto"/>
          </w:tcPr>
          <w:p w14:paraId="1B337723"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23,66%</w:t>
            </w:r>
          </w:p>
        </w:tc>
      </w:tr>
      <w:tr w:rsidR="00733207" w14:paraId="43EC36E9" w14:textId="77777777">
        <w:trPr>
          <w:trHeight w:val="78"/>
          <w:jc w:val="center"/>
        </w:trPr>
        <w:tc>
          <w:tcPr>
            <w:tcW w:w="3823" w:type="dxa"/>
            <w:shd w:val="clear" w:color="auto" w:fill="auto"/>
          </w:tcPr>
          <w:p w14:paraId="3CF98BC9"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PRESIDENCE</w:t>
            </w:r>
          </w:p>
        </w:tc>
        <w:tc>
          <w:tcPr>
            <w:tcW w:w="1701" w:type="dxa"/>
            <w:shd w:val="clear" w:color="auto" w:fill="auto"/>
          </w:tcPr>
          <w:p w14:paraId="4C746D38"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107</w:t>
            </w:r>
          </w:p>
        </w:tc>
        <w:tc>
          <w:tcPr>
            <w:tcW w:w="1275" w:type="dxa"/>
            <w:shd w:val="clear" w:color="auto" w:fill="auto"/>
          </w:tcPr>
          <w:p w14:paraId="298ED6F6"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16,34%</w:t>
            </w:r>
          </w:p>
        </w:tc>
        <w:tc>
          <w:tcPr>
            <w:tcW w:w="993" w:type="dxa"/>
            <w:shd w:val="clear" w:color="auto" w:fill="auto"/>
          </w:tcPr>
          <w:p w14:paraId="67D95822"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215</w:t>
            </w:r>
          </w:p>
        </w:tc>
        <w:tc>
          <w:tcPr>
            <w:tcW w:w="1559" w:type="dxa"/>
            <w:shd w:val="clear" w:color="auto" w:fill="auto"/>
          </w:tcPr>
          <w:p w14:paraId="1816F61B"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16,04%</w:t>
            </w:r>
          </w:p>
        </w:tc>
      </w:tr>
      <w:tr w:rsidR="00733207" w14:paraId="7652E932" w14:textId="77777777">
        <w:trPr>
          <w:trHeight w:val="78"/>
          <w:jc w:val="center"/>
        </w:trPr>
        <w:tc>
          <w:tcPr>
            <w:tcW w:w="3823" w:type="dxa"/>
            <w:shd w:val="clear" w:color="auto" w:fill="auto"/>
          </w:tcPr>
          <w:p w14:paraId="58035EF6"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PARTIS POLITIQUES</w:t>
            </w:r>
          </w:p>
        </w:tc>
        <w:tc>
          <w:tcPr>
            <w:tcW w:w="1701" w:type="dxa"/>
            <w:shd w:val="clear" w:color="auto" w:fill="auto"/>
          </w:tcPr>
          <w:p w14:paraId="145EE6CD"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29</w:t>
            </w:r>
          </w:p>
        </w:tc>
        <w:tc>
          <w:tcPr>
            <w:tcW w:w="1275" w:type="dxa"/>
            <w:shd w:val="clear" w:color="auto" w:fill="auto"/>
          </w:tcPr>
          <w:p w14:paraId="17C8FB60"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4,43%</w:t>
            </w:r>
          </w:p>
        </w:tc>
        <w:tc>
          <w:tcPr>
            <w:tcW w:w="993" w:type="dxa"/>
            <w:shd w:val="clear" w:color="auto" w:fill="auto"/>
          </w:tcPr>
          <w:p w14:paraId="14604E7F"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42</w:t>
            </w:r>
          </w:p>
        </w:tc>
        <w:tc>
          <w:tcPr>
            <w:tcW w:w="1559" w:type="dxa"/>
            <w:shd w:val="clear" w:color="auto" w:fill="auto"/>
          </w:tcPr>
          <w:p w14:paraId="4DB00F97"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3,13%</w:t>
            </w:r>
          </w:p>
        </w:tc>
      </w:tr>
      <w:tr w:rsidR="00733207" w14:paraId="017B37C1" w14:textId="77777777">
        <w:trPr>
          <w:trHeight w:val="78"/>
          <w:jc w:val="center"/>
        </w:trPr>
        <w:tc>
          <w:tcPr>
            <w:tcW w:w="3823" w:type="dxa"/>
            <w:shd w:val="clear" w:color="auto" w:fill="auto"/>
          </w:tcPr>
          <w:p w14:paraId="65C91F18"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ALT</w:t>
            </w:r>
          </w:p>
        </w:tc>
        <w:tc>
          <w:tcPr>
            <w:tcW w:w="1701" w:type="dxa"/>
            <w:shd w:val="clear" w:color="auto" w:fill="auto"/>
          </w:tcPr>
          <w:p w14:paraId="6FBAC657"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23</w:t>
            </w:r>
          </w:p>
        </w:tc>
        <w:tc>
          <w:tcPr>
            <w:tcW w:w="1275" w:type="dxa"/>
            <w:shd w:val="clear" w:color="auto" w:fill="auto"/>
          </w:tcPr>
          <w:p w14:paraId="6B57E3A6"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3,51%</w:t>
            </w:r>
          </w:p>
        </w:tc>
        <w:tc>
          <w:tcPr>
            <w:tcW w:w="993" w:type="dxa"/>
            <w:shd w:val="clear" w:color="auto" w:fill="auto"/>
          </w:tcPr>
          <w:p w14:paraId="25C554D0"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67</w:t>
            </w:r>
          </w:p>
        </w:tc>
        <w:tc>
          <w:tcPr>
            <w:tcW w:w="1559" w:type="dxa"/>
            <w:shd w:val="clear" w:color="auto" w:fill="auto"/>
          </w:tcPr>
          <w:p w14:paraId="1E536CA2" w14:textId="77777777" w:rsidR="00733207" w:rsidRDefault="00912BAE">
            <w:pPr>
              <w:spacing w:after="0" w:line="360" w:lineRule="auto"/>
              <w:jc w:val="both"/>
              <w:rPr>
                <w:rFonts w:ascii="Rockwell" w:eastAsia="Times New Roman" w:hAnsi="Rockwell"/>
                <w:color w:val="000000"/>
                <w:sz w:val="24"/>
                <w:szCs w:val="24"/>
              </w:rPr>
            </w:pPr>
            <w:r>
              <w:rPr>
                <w:rFonts w:ascii="Rockwell" w:eastAsia="Times New Roman" w:hAnsi="Rockwell"/>
                <w:color w:val="000000"/>
                <w:sz w:val="24"/>
                <w:szCs w:val="24"/>
              </w:rPr>
              <w:t>5,00%</w:t>
            </w:r>
          </w:p>
        </w:tc>
      </w:tr>
      <w:tr w:rsidR="00733207" w14:paraId="3516189C" w14:textId="77777777">
        <w:trPr>
          <w:trHeight w:val="315"/>
          <w:jc w:val="center"/>
        </w:trPr>
        <w:tc>
          <w:tcPr>
            <w:tcW w:w="3823" w:type="dxa"/>
            <w:shd w:val="clear" w:color="auto" w:fill="auto"/>
          </w:tcPr>
          <w:p w14:paraId="6F16A3BA"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AUTRES INSTITUTIONS</w:t>
            </w:r>
          </w:p>
        </w:tc>
        <w:tc>
          <w:tcPr>
            <w:tcW w:w="1701" w:type="dxa"/>
            <w:shd w:val="clear" w:color="auto" w:fill="auto"/>
          </w:tcPr>
          <w:p w14:paraId="529414C0"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20</w:t>
            </w:r>
          </w:p>
        </w:tc>
        <w:tc>
          <w:tcPr>
            <w:tcW w:w="1275" w:type="dxa"/>
            <w:shd w:val="clear" w:color="auto" w:fill="auto"/>
          </w:tcPr>
          <w:p w14:paraId="15ECEAA3"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3,05%</w:t>
            </w:r>
          </w:p>
        </w:tc>
        <w:tc>
          <w:tcPr>
            <w:tcW w:w="993" w:type="dxa"/>
            <w:shd w:val="clear" w:color="auto" w:fill="auto"/>
          </w:tcPr>
          <w:p w14:paraId="3CF21D5F"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35</w:t>
            </w:r>
          </w:p>
        </w:tc>
        <w:tc>
          <w:tcPr>
            <w:tcW w:w="1559" w:type="dxa"/>
            <w:shd w:val="clear" w:color="auto" w:fill="auto"/>
          </w:tcPr>
          <w:p w14:paraId="2F5D9B28"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2,61%</w:t>
            </w:r>
          </w:p>
        </w:tc>
      </w:tr>
      <w:tr w:rsidR="00733207" w14:paraId="4C5D3218" w14:textId="77777777">
        <w:trPr>
          <w:trHeight w:val="315"/>
          <w:jc w:val="center"/>
        </w:trPr>
        <w:tc>
          <w:tcPr>
            <w:tcW w:w="3823" w:type="dxa"/>
            <w:shd w:val="clear" w:color="auto" w:fill="auto"/>
          </w:tcPr>
          <w:p w14:paraId="2BBAF2AA"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TOTAL</w:t>
            </w:r>
          </w:p>
        </w:tc>
        <w:tc>
          <w:tcPr>
            <w:tcW w:w="1701" w:type="dxa"/>
            <w:shd w:val="clear" w:color="auto" w:fill="auto"/>
          </w:tcPr>
          <w:p w14:paraId="3DFC1D01"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655</w:t>
            </w:r>
          </w:p>
        </w:tc>
        <w:tc>
          <w:tcPr>
            <w:tcW w:w="1275" w:type="dxa"/>
            <w:shd w:val="clear" w:color="auto" w:fill="auto"/>
          </w:tcPr>
          <w:p w14:paraId="0BF18084"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100,00%</w:t>
            </w:r>
          </w:p>
        </w:tc>
        <w:tc>
          <w:tcPr>
            <w:tcW w:w="993" w:type="dxa"/>
            <w:shd w:val="clear" w:color="auto" w:fill="auto"/>
          </w:tcPr>
          <w:p w14:paraId="4ADBF090"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1340</w:t>
            </w:r>
          </w:p>
        </w:tc>
        <w:tc>
          <w:tcPr>
            <w:tcW w:w="1559" w:type="dxa"/>
            <w:shd w:val="clear" w:color="auto" w:fill="auto"/>
          </w:tcPr>
          <w:p w14:paraId="72A8AF62"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100,00%</w:t>
            </w:r>
          </w:p>
        </w:tc>
      </w:tr>
    </w:tbl>
    <w:p w14:paraId="0F737E5A" w14:textId="77777777" w:rsidR="00733207" w:rsidRDefault="00912BAE">
      <w:pPr>
        <w:spacing w:before="120" w:after="120" w:line="360" w:lineRule="auto"/>
        <w:ind w:left="426"/>
        <w:jc w:val="both"/>
        <w:rPr>
          <w:rFonts w:ascii="Rockwell" w:hAnsi="Rockwell"/>
          <w:i/>
          <w:color w:val="000000" w:themeColor="text1"/>
        </w:rPr>
        <w:sectPr w:rsidR="00733207">
          <w:pgSz w:w="11906" w:h="16838"/>
          <w:pgMar w:top="1418" w:right="1418" w:bottom="709" w:left="709" w:header="709" w:footer="23"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73BBD8FF" w14:textId="77777777" w:rsidR="00733207" w:rsidRDefault="00912BAE">
      <w:pPr>
        <w:spacing w:before="120" w:after="120" w:line="360" w:lineRule="auto"/>
        <w:jc w:val="center"/>
        <w:rPr>
          <w:rFonts w:ascii="Rockwell" w:hAnsi="Rockwell"/>
          <w:i/>
          <w:color w:val="000000"/>
        </w:rPr>
      </w:pPr>
      <w:r>
        <w:rPr>
          <w:rFonts w:ascii="Rockwell" w:hAnsi="Rockwell"/>
          <w:b/>
          <w:i/>
          <w:color w:val="000000"/>
          <w:u w:val="single"/>
        </w:rPr>
        <w:lastRenderedPageBreak/>
        <w:t>Graphique n°8</w:t>
      </w:r>
      <w:r>
        <w:rPr>
          <w:rFonts w:ascii="Rockwell" w:hAnsi="Rockwell"/>
          <w:i/>
          <w:color w:val="000000"/>
        </w:rPr>
        <w:t> : Représentation des acteurs sociopolitiques selon le NA et le NI publiés dans les médias en ligne</w:t>
      </w:r>
    </w:p>
    <w:p w14:paraId="08809C69" w14:textId="77777777" w:rsidR="00733207" w:rsidRDefault="00733207">
      <w:pPr>
        <w:spacing w:before="120" w:after="120" w:line="240" w:lineRule="auto"/>
        <w:ind w:left="1701"/>
        <w:jc w:val="both"/>
        <w:rPr>
          <w:rFonts w:ascii="Rockwell" w:hAnsi="Rockwell"/>
          <w:i/>
          <w:color w:val="000000"/>
          <w:sz w:val="10"/>
          <w:szCs w:val="10"/>
        </w:rPr>
      </w:pPr>
    </w:p>
    <w:p w14:paraId="48FD1FAB" w14:textId="77777777" w:rsidR="00733207" w:rsidRDefault="00912BAE">
      <w:pPr>
        <w:spacing w:before="120" w:after="120" w:line="360" w:lineRule="auto"/>
        <w:ind w:left="-491"/>
        <w:jc w:val="both"/>
        <w:rPr>
          <w:rFonts w:ascii="Rockwell" w:hAnsi="Rockwell"/>
          <w:sz w:val="26"/>
          <w:szCs w:val="26"/>
        </w:rPr>
      </w:pPr>
      <w:r>
        <w:rPr>
          <w:rFonts w:ascii="Rockwell" w:hAnsi="Rockwell"/>
          <w:noProof/>
          <w:sz w:val="26"/>
          <w:szCs w:val="26"/>
          <w:lang w:eastAsia="fr-FR"/>
        </w:rPr>
        <w:drawing>
          <wp:inline distT="0" distB="0" distL="0" distR="0" wp14:anchorId="28EB8F74" wp14:editId="6FEB0E15">
            <wp:extent cx="5728335" cy="3011805"/>
            <wp:effectExtent l="0" t="0" r="5715" b="17145"/>
            <wp:docPr id="56" name="Graphique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1B4AD73" w14:textId="77777777" w:rsidR="00733207" w:rsidRDefault="00733207">
      <w:pPr>
        <w:spacing w:before="120" w:after="120" w:line="360" w:lineRule="auto"/>
        <w:ind w:left="-491"/>
        <w:jc w:val="both"/>
        <w:rPr>
          <w:rFonts w:ascii="Rockwell" w:hAnsi="Rockwell"/>
          <w:sz w:val="26"/>
          <w:szCs w:val="26"/>
        </w:rPr>
      </w:pPr>
    </w:p>
    <w:p w14:paraId="7B6EF5CE" w14:textId="0F8C27DA" w:rsidR="00733207" w:rsidRDefault="00912BAE">
      <w:pPr>
        <w:pStyle w:val="Titre6"/>
        <w:jc w:val="center"/>
        <w:rPr>
          <w:rFonts w:ascii="Rockwell" w:hAnsi="Rockwell"/>
          <w:b/>
          <w:i/>
          <w:color w:val="auto"/>
          <w:sz w:val="24"/>
          <w:szCs w:val="24"/>
        </w:rPr>
      </w:pPr>
      <w:bookmarkStart w:id="276" w:name="_Toc175128503"/>
      <w:r>
        <w:rPr>
          <w:rFonts w:ascii="Rockwell" w:hAnsi="Rockwell"/>
          <w:b/>
          <w:i/>
          <w:color w:val="auto"/>
          <w:sz w:val="24"/>
          <w:szCs w:val="24"/>
        </w:rPr>
        <w:t xml:space="preserve">c. </w:t>
      </w:r>
      <w:r w:rsidR="00866BAD">
        <w:rPr>
          <w:rFonts w:ascii="Rockwell" w:hAnsi="Rockwell"/>
          <w:b/>
          <w:i/>
          <w:color w:val="auto"/>
          <w:sz w:val="24"/>
          <w:szCs w:val="24"/>
        </w:rPr>
        <w:t xml:space="preserve">Cartographie </w:t>
      </w:r>
      <w:r>
        <w:rPr>
          <w:rFonts w:ascii="Rockwell" w:hAnsi="Rockwell"/>
          <w:b/>
          <w:i/>
          <w:color w:val="auto"/>
          <w:sz w:val="24"/>
          <w:szCs w:val="24"/>
        </w:rPr>
        <w:t>des thématiques traitées par les médias en ligne</w:t>
      </w:r>
      <w:bookmarkEnd w:id="276"/>
    </w:p>
    <w:p w14:paraId="6AD8E8A7" w14:textId="77777777" w:rsidR="00733207" w:rsidRDefault="00733207">
      <w:pPr>
        <w:spacing w:before="120" w:after="120" w:line="360" w:lineRule="auto"/>
        <w:jc w:val="both"/>
        <w:rPr>
          <w:rFonts w:ascii="Rockwell" w:hAnsi="Rockwell"/>
          <w:sz w:val="10"/>
          <w:szCs w:val="10"/>
        </w:rPr>
      </w:pPr>
    </w:p>
    <w:p w14:paraId="1E624296" w14:textId="77777777" w:rsidR="00733207" w:rsidRDefault="00912BAE">
      <w:pPr>
        <w:tabs>
          <w:tab w:val="left" w:pos="8728"/>
        </w:tabs>
        <w:spacing w:before="120" w:after="120" w:line="240" w:lineRule="auto"/>
        <w:ind w:left="142"/>
        <w:jc w:val="center"/>
        <w:rPr>
          <w:rFonts w:ascii="Rockwell" w:hAnsi="Rockwell"/>
          <w:i/>
        </w:rPr>
      </w:pPr>
      <w:r>
        <w:rPr>
          <w:rFonts w:ascii="Rockwell" w:hAnsi="Rockwell"/>
          <w:b/>
          <w:i/>
          <w:u w:val="single"/>
        </w:rPr>
        <w:t>Tableau n°9</w:t>
      </w:r>
      <w:r>
        <w:rPr>
          <w:rFonts w:ascii="Rockwell" w:hAnsi="Rockwell"/>
          <w:i/>
        </w:rPr>
        <w:t> : Classement des informations thématiques selon le NA et le NI publiés dans la presse en ligne</w:t>
      </w:r>
    </w:p>
    <w:p w14:paraId="3AA127F8" w14:textId="77777777" w:rsidR="00733207" w:rsidRDefault="00733207">
      <w:pPr>
        <w:tabs>
          <w:tab w:val="left" w:pos="8728"/>
        </w:tabs>
        <w:spacing w:before="120" w:after="120" w:line="240" w:lineRule="auto"/>
        <w:ind w:left="1843"/>
        <w:jc w:val="both"/>
        <w:rPr>
          <w:rFonts w:ascii="Rockwell" w:hAnsi="Rockwell"/>
          <w:i/>
        </w:rPr>
      </w:pPr>
    </w:p>
    <w:tbl>
      <w:tblPr>
        <w:tblpPr w:leftFromText="141" w:rightFromText="141" w:vertAnchor="text" w:tblpXSpec="center" w:tblpY="1"/>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1276"/>
        <w:gridCol w:w="1559"/>
        <w:gridCol w:w="1276"/>
        <w:gridCol w:w="1706"/>
      </w:tblGrid>
      <w:tr w:rsidR="00733207" w14:paraId="3D53E7C3" w14:textId="77777777">
        <w:trPr>
          <w:trHeight w:val="20"/>
        </w:trPr>
        <w:tc>
          <w:tcPr>
            <w:tcW w:w="3114" w:type="dxa"/>
            <w:shd w:val="clear" w:color="auto" w:fill="auto"/>
          </w:tcPr>
          <w:p w14:paraId="538726C4" w14:textId="77777777" w:rsidR="00733207" w:rsidRDefault="00912BAE">
            <w:pPr>
              <w:spacing w:after="0" w:line="360" w:lineRule="auto"/>
              <w:jc w:val="both"/>
              <w:rPr>
                <w:rFonts w:ascii="Rockwell" w:eastAsia="Times New Roman" w:hAnsi="Rockwell" w:cs="Calibri"/>
                <w:b/>
                <w:bCs/>
                <w:color w:val="000000"/>
                <w:sz w:val="24"/>
                <w:szCs w:val="24"/>
              </w:rPr>
            </w:pPr>
            <w:bookmarkStart w:id="277" w:name="_Hlk160534411"/>
            <w:r>
              <w:rPr>
                <w:rFonts w:ascii="Rockwell" w:eastAsia="Times New Roman" w:hAnsi="Rockwell" w:cs="Calibri"/>
                <w:b/>
                <w:bCs/>
                <w:color w:val="000000"/>
                <w:sz w:val="24"/>
                <w:szCs w:val="24"/>
              </w:rPr>
              <w:t>THEMES</w:t>
            </w:r>
          </w:p>
        </w:tc>
        <w:tc>
          <w:tcPr>
            <w:tcW w:w="1276" w:type="dxa"/>
            <w:shd w:val="clear" w:color="auto" w:fill="auto"/>
          </w:tcPr>
          <w:p w14:paraId="02E70699"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NA</w:t>
            </w:r>
          </w:p>
        </w:tc>
        <w:tc>
          <w:tcPr>
            <w:tcW w:w="1559" w:type="dxa"/>
            <w:shd w:val="clear" w:color="auto" w:fill="auto"/>
          </w:tcPr>
          <w:p w14:paraId="73F4C371"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NA</w:t>
            </w:r>
          </w:p>
        </w:tc>
        <w:tc>
          <w:tcPr>
            <w:tcW w:w="1276" w:type="dxa"/>
            <w:shd w:val="clear" w:color="auto" w:fill="auto"/>
          </w:tcPr>
          <w:p w14:paraId="0FFAB82C"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NI</w:t>
            </w:r>
          </w:p>
        </w:tc>
        <w:tc>
          <w:tcPr>
            <w:tcW w:w="1706" w:type="dxa"/>
            <w:shd w:val="clear" w:color="auto" w:fill="auto"/>
          </w:tcPr>
          <w:p w14:paraId="20782C9B"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NI</w:t>
            </w:r>
          </w:p>
        </w:tc>
      </w:tr>
      <w:tr w:rsidR="00733207" w14:paraId="7D34E8B3" w14:textId="77777777">
        <w:trPr>
          <w:trHeight w:val="20"/>
        </w:trPr>
        <w:tc>
          <w:tcPr>
            <w:tcW w:w="3114" w:type="dxa"/>
            <w:shd w:val="clear" w:color="auto" w:fill="auto"/>
          </w:tcPr>
          <w:p w14:paraId="56EEF92F"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RELIGION</w:t>
            </w:r>
          </w:p>
        </w:tc>
        <w:tc>
          <w:tcPr>
            <w:tcW w:w="1276" w:type="dxa"/>
            <w:shd w:val="clear" w:color="auto" w:fill="auto"/>
          </w:tcPr>
          <w:p w14:paraId="28DA55A5"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477</w:t>
            </w:r>
          </w:p>
        </w:tc>
        <w:tc>
          <w:tcPr>
            <w:tcW w:w="1559" w:type="dxa"/>
            <w:shd w:val="clear" w:color="auto" w:fill="auto"/>
          </w:tcPr>
          <w:p w14:paraId="5B145F0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30,93%</w:t>
            </w:r>
          </w:p>
        </w:tc>
        <w:tc>
          <w:tcPr>
            <w:tcW w:w="1276" w:type="dxa"/>
            <w:shd w:val="clear" w:color="auto" w:fill="auto"/>
          </w:tcPr>
          <w:p w14:paraId="378F53D5"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1143</w:t>
            </w:r>
          </w:p>
        </w:tc>
        <w:tc>
          <w:tcPr>
            <w:tcW w:w="1706" w:type="dxa"/>
            <w:shd w:val="clear" w:color="auto" w:fill="auto"/>
          </w:tcPr>
          <w:p w14:paraId="108FF19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37,27%</w:t>
            </w:r>
          </w:p>
        </w:tc>
      </w:tr>
      <w:tr w:rsidR="00733207" w14:paraId="59F9A01C" w14:textId="77777777">
        <w:trPr>
          <w:trHeight w:val="20"/>
        </w:trPr>
        <w:tc>
          <w:tcPr>
            <w:tcW w:w="3114" w:type="dxa"/>
            <w:shd w:val="clear" w:color="auto" w:fill="auto"/>
          </w:tcPr>
          <w:p w14:paraId="71D024F8"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SANTE</w:t>
            </w:r>
          </w:p>
        </w:tc>
        <w:tc>
          <w:tcPr>
            <w:tcW w:w="1276" w:type="dxa"/>
            <w:shd w:val="clear" w:color="auto" w:fill="auto"/>
          </w:tcPr>
          <w:p w14:paraId="5927275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472</w:t>
            </w:r>
          </w:p>
        </w:tc>
        <w:tc>
          <w:tcPr>
            <w:tcW w:w="1559" w:type="dxa"/>
            <w:shd w:val="clear" w:color="auto" w:fill="auto"/>
          </w:tcPr>
          <w:p w14:paraId="4E1E22E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30,61%</w:t>
            </w:r>
          </w:p>
        </w:tc>
        <w:tc>
          <w:tcPr>
            <w:tcW w:w="1276" w:type="dxa"/>
            <w:shd w:val="clear" w:color="auto" w:fill="auto"/>
          </w:tcPr>
          <w:p w14:paraId="752EDFDF"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760</w:t>
            </w:r>
          </w:p>
        </w:tc>
        <w:tc>
          <w:tcPr>
            <w:tcW w:w="1706" w:type="dxa"/>
            <w:shd w:val="clear" w:color="auto" w:fill="auto"/>
          </w:tcPr>
          <w:p w14:paraId="224F5EE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24,78%</w:t>
            </w:r>
          </w:p>
        </w:tc>
      </w:tr>
      <w:tr w:rsidR="00733207" w14:paraId="428E24C2" w14:textId="77777777">
        <w:trPr>
          <w:trHeight w:val="20"/>
        </w:trPr>
        <w:tc>
          <w:tcPr>
            <w:tcW w:w="3114" w:type="dxa"/>
            <w:shd w:val="clear" w:color="auto" w:fill="auto"/>
          </w:tcPr>
          <w:p w14:paraId="58802F3B"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POLITIQUE</w:t>
            </w:r>
          </w:p>
        </w:tc>
        <w:tc>
          <w:tcPr>
            <w:tcW w:w="1276" w:type="dxa"/>
            <w:shd w:val="clear" w:color="auto" w:fill="auto"/>
          </w:tcPr>
          <w:p w14:paraId="48A0DB33"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206</w:t>
            </w:r>
          </w:p>
        </w:tc>
        <w:tc>
          <w:tcPr>
            <w:tcW w:w="1559" w:type="dxa"/>
            <w:shd w:val="clear" w:color="auto" w:fill="auto"/>
          </w:tcPr>
          <w:p w14:paraId="5E061B87"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13,36%</w:t>
            </w:r>
          </w:p>
        </w:tc>
        <w:tc>
          <w:tcPr>
            <w:tcW w:w="1276" w:type="dxa"/>
            <w:shd w:val="clear" w:color="auto" w:fill="auto"/>
          </w:tcPr>
          <w:p w14:paraId="2B5AE861"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515</w:t>
            </w:r>
          </w:p>
        </w:tc>
        <w:tc>
          <w:tcPr>
            <w:tcW w:w="1706" w:type="dxa"/>
            <w:shd w:val="clear" w:color="auto" w:fill="auto"/>
          </w:tcPr>
          <w:p w14:paraId="59919F03"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16,79%</w:t>
            </w:r>
          </w:p>
        </w:tc>
      </w:tr>
      <w:tr w:rsidR="00733207" w14:paraId="2FD5814C" w14:textId="77777777">
        <w:trPr>
          <w:trHeight w:val="20"/>
        </w:trPr>
        <w:tc>
          <w:tcPr>
            <w:tcW w:w="3114" w:type="dxa"/>
            <w:shd w:val="clear" w:color="auto" w:fill="auto"/>
          </w:tcPr>
          <w:p w14:paraId="62250B2E"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ECONOMIE</w:t>
            </w:r>
          </w:p>
        </w:tc>
        <w:tc>
          <w:tcPr>
            <w:tcW w:w="1276" w:type="dxa"/>
            <w:shd w:val="clear" w:color="auto" w:fill="auto"/>
          </w:tcPr>
          <w:p w14:paraId="422AC258"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164</w:t>
            </w:r>
          </w:p>
        </w:tc>
        <w:tc>
          <w:tcPr>
            <w:tcW w:w="1559" w:type="dxa"/>
            <w:shd w:val="clear" w:color="auto" w:fill="auto"/>
          </w:tcPr>
          <w:p w14:paraId="7D6E939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10,64%</w:t>
            </w:r>
          </w:p>
        </w:tc>
        <w:tc>
          <w:tcPr>
            <w:tcW w:w="1276" w:type="dxa"/>
            <w:shd w:val="clear" w:color="auto" w:fill="auto"/>
          </w:tcPr>
          <w:p w14:paraId="1621F296"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188</w:t>
            </w:r>
          </w:p>
        </w:tc>
        <w:tc>
          <w:tcPr>
            <w:tcW w:w="1706" w:type="dxa"/>
            <w:shd w:val="clear" w:color="auto" w:fill="auto"/>
          </w:tcPr>
          <w:p w14:paraId="2F642468"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6,13%</w:t>
            </w:r>
          </w:p>
        </w:tc>
      </w:tr>
      <w:tr w:rsidR="00733207" w14:paraId="6EFC37DF" w14:textId="77777777">
        <w:trPr>
          <w:trHeight w:val="20"/>
        </w:trPr>
        <w:tc>
          <w:tcPr>
            <w:tcW w:w="3114" w:type="dxa"/>
            <w:shd w:val="clear" w:color="auto" w:fill="auto"/>
          </w:tcPr>
          <w:p w14:paraId="2CCE2072"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SOCIETE</w:t>
            </w:r>
          </w:p>
        </w:tc>
        <w:tc>
          <w:tcPr>
            <w:tcW w:w="1276" w:type="dxa"/>
            <w:shd w:val="clear" w:color="auto" w:fill="auto"/>
          </w:tcPr>
          <w:p w14:paraId="7ABF751A"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124</w:t>
            </w:r>
          </w:p>
        </w:tc>
        <w:tc>
          <w:tcPr>
            <w:tcW w:w="1559" w:type="dxa"/>
            <w:shd w:val="clear" w:color="auto" w:fill="auto"/>
          </w:tcPr>
          <w:p w14:paraId="1DFC4F6C"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8,04%</w:t>
            </w:r>
          </w:p>
        </w:tc>
        <w:tc>
          <w:tcPr>
            <w:tcW w:w="1276" w:type="dxa"/>
            <w:shd w:val="clear" w:color="auto" w:fill="auto"/>
          </w:tcPr>
          <w:p w14:paraId="737FA824"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204</w:t>
            </w:r>
          </w:p>
        </w:tc>
        <w:tc>
          <w:tcPr>
            <w:tcW w:w="1706" w:type="dxa"/>
            <w:shd w:val="clear" w:color="auto" w:fill="auto"/>
          </w:tcPr>
          <w:p w14:paraId="036258FB"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6,65%</w:t>
            </w:r>
          </w:p>
        </w:tc>
      </w:tr>
      <w:tr w:rsidR="00733207" w14:paraId="4465FCE4" w14:textId="77777777">
        <w:trPr>
          <w:trHeight w:val="20"/>
        </w:trPr>
        <w:tc>
          <w:tcPr>
            <w:tcW w:w="3114" w:type="dxa"/>
            <w:shd w:val="clear" w:color="auto" w:fill="auto"/>
          </w:tcPr>
          <w:p w14:paraId="5CF86A09"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CULTURE</w:t>
            </w:r>
          </w:p>
        </w:tc>
        <w:tc>
          <w:tcPr>
            <w:tcW w:w="1276" w:type="dxa"/>
            <w:shd w:val="clear" w:color="auto" w:fill="auto"/>
          </w:tcPr>
          <w:p w14:paraId="4108B735"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42</w:t>
            </w:r>
          </w:p>
        </w:tc>
        <w:tc>
          <w:tcPr>
            <w:tcW w:w="1559" w:type="dxa"/>
            <w:shd w:val="clear" w:color="auto" w:fill="auto"/>
          </w:tcPr>
          <w:p w14:paraId="0669413A"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2,72%</w:t>
            </w:r>
          </w:p>
        </w:tc>
        <w:tc>
          <w:tcPr>
            <w:tcW w:w="1276" w:type="dxa"/>
            <w:shd w:val="clear" w:color="auto" w:fill="auto"/>
          </w:tcPr>
          <w:p w14:paraId="0EF800C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103</w:t>
            </w:r>
          </w:p>
        </w:tc>
        <w:tc>
          <w:tcPr>
            <w:tcW w:w="1706" w:type="dxa"/>
            <w:shd w:val="clear" w:color="auto" w:fill="auto"/>
          </w:tcPr>
          <w:p w14:paraId="5B436AD3"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3,36%</w:t>
            </w:r>
          </w:p>
        </w:tc>
      </w:tr>
      <w:tr w:rsidR="00733207" w14:paraId="235CE37F" w14:textId="77777777">
        <w:trPr>
          <w:trHeight w:val="20"/>
        </w:trPr>
        <w:tc>
          <w:tcPr>
            <w:tcW w:w="3114" w:type="dxa"/>
            <w:shd w:val="clear" w:color="auto" w:fill="auto"/>
          </w:tcPr>
          <w:p w14:paraId="17A3814F"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SECURITE</w:t>
            </w:r>
          </w:p>
        </w:tc>
        <w:tc>
          <w:tcPr>
            <w:tcW w:w="1276" w:type="dxa"/>
            <w:shd w:val="clear" w:color="auto" w:fill="auto"/>
          </w:tcPr>
          <w:p w14:paraId="76A47C4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31</w:t>
            </w:r>
          </w:p>
        </w:tc>
        <w:tc>
          <w:tcPr>
            <w:tcW w:w="1559" w:type="dxa"/>
            <w:shd w:val="clear" w:color="auto" w:fill="auto"/>
          </w:tcPr>
          <w:p w14:paraId="1F41968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2,01%</w:t>
            </w:r>
          </w:p>
        </w:tc>
        <w:tc>
          <w:tcPr>
            <w:tcW w:w="1276" w:type="dxa"/>
            <w:shd w:val="clear" w:color="auto" w:fill="auto"/>
          </w:tcPr>
          <w:p w14:paraId="32396D60"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64</w:t>
            </w:r>
          </w:p>
        </w:tc>
        <w:tc>
          <w:tcPr>
            <w:tcW w:w="1706" w:type="dxa"/>
            <w:shd w:val="clear" w:color="auto" w:fill="auto"/>
          </w:tcPr>
          <w:p w14:paraId="6025C0A8"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2,09%</w:t>
            </w:r>
          </w:p>
        </w:tc>
      </w:tr>
      <w:tr w:rsidR="00733207" w14:paraId="30495F07" w14:textId="77777777">
        <w:trPr>
          <w:trHeight w:val="20"/>
        </w:trPr>
        <w:tc>
          <w:tcPr>
            <w:tcW w:w="3114" w:type="dxa"/>
            <w:shd w:val="clear" w:color="auto" w:fill="auto"/>
          </w:tcPr>
          <w:p w14:paraId="3D903948"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GENRE</w:t>
            </w:r>
          </w:p>
        </w:tc>
        <w:tc>
          <w:tcPr>
            <w:tcW w:w="1276" w:type="dxa"/>
            <w:shd w:val="clear" w:color="auto" w:fill="auto"/>
          </w:tcPr>
          <w:p w14:paraId="60F2573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26</w:t>
            </w:r>
          </w:p>
        </w:tc>
        <w:tc>
          <w:tcPr>
            <w:tcW w:w="1559" w:type="dxa"/>
            <w:shd w:val="clear" w:color="auto" w:fill="auto"/>
          </w:tcPr>
          <w:p w14:paraId="4C080369"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1,69%</w:t>
            </w:r>
          </w:p>
        </w:tc>
        <w:tc>
          <w:tcPr>
            <w:tcW w:w="1276" w:type="dxa"/>
            <w:shd w:val="clear" w:color="auto" w:fill="auto"/>
          </w:tcPr>
          <w:p w14:paraId="6A77C2B6"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90</w:t>
            </w:r>
          </w:p>
        </w:tc>
        <w:tc>
          <w:tcPr>
            <w:tcW w:w="1706" w:type="dxa"/>
            <w:shd w:val="clear" w:color="auto" w:fill="auto"/>
          </w:tcPr>
          <w:p w14:paraId="0F75ABB8"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2,93%</w:t>
            </w:r>
          </w:p>
        </w:tc>
      </w:tr>
      <w:tr w:rsidR="00733207" w14:paraId="1E1B8048" w14:textId="77777777">
        <w:trPr>
          <w:trHeight w:val="20"/>
        </w:trPr>
        <w:tc>
          <w:tcPr>
            <w:tcW w:w="3114" w:type="dxa"/>
            <w:shd w:val="clear" w:color="auto" w:fill="auto"/>
          </w:tcPr>
          <w:p w14:paraId="09CF5754"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276" w:type="dxa"/>
            <w:shd w:val="clear" w:color="auto" w:fill="auto"/>
          </w:tcPr>
          <w:p w14:paraId="7255E570"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1542</w:t>
            </w:r>
          </w:p>
        </w:tc>
        <w:tc>
          <w:tcPr>
            <w:tcW w:w="1559" w:type="dxa"/>
            <w:shd w:val="clear" w:color="auto" w:fill="auto"/>
          </w:tcPr>
          <w:p w14:paraId="644FF52B"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276" w:type="dxa"/>
            <w:shd w:val="clear" w:color="auto" w:fill="auto"/>
          </w:tcPr>
          <w:p w14:paraId="6A7D59A5"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3067</w:t>
            </w:r>
          </w:p>
        </w:tc>
        <w:tc>
          <w:tcPr>
            <w:tcW w:w="1706" w:type="dxa"/>
            <w:shd w:val="clear" w:color="auto" w:fill="auto"/>
          </w:tcPr>
          <w:p w14:paraId="65E505C7"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bookmarkEnd w:id="277"/>
    <w:p w14:paraId="7160B04A" w14:textId="77777777" w:rsidR="00733207" w:rsidRDefault="00912BAE">
      <w:pPr>
        <w:spacing w:before="120" w:after="120" w:line="360" w:lineRule="auto"/>
        <w:ind w:left="567"/>
        <w:jc w:val="both"/>
        <w:rPr>
          <w:rFonts w:ascii="Rockwell" w:hAnsi="Rockwell"/>
          <w:i/>
          <w:color w:val="000000" w:themeColor="text1"/>
        </w:rPr>
        <w:sectPr w:rsidR="00733207">
          <w:pgSz w:w="11906" w:h="16838"/>
          <w:pgMar w:top="1418" w:right="1418" w:bottom="709" w:left="709" w:header="709" w:footer="23"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62B745FA" w14:textId="77777777" w:rsidR="00733207" w:rsidRDefault="00912BAE">
      <w:pPr>
        <w:tabs>
          <w:tab w:val="left" w:pos="1418"/>
          <w:tab w:val="left" w:pos="4220"/>
        </w:tabs>
        <w:spacing w:before="120" w:after="120" w:line="240" w:lineRule="auto"/>
        <w:ind w:left="567"/>
        <w:jc w:val="center"/>
        <w:rPr>
          <w:rFonts w:ascii="Rockwell" w:hAnsi="Rockwell"/>
          <w:i/>
        </w:rPr>
      </w:pPr>
      <w:r>
        <w:rPr>
          <w:rFonts w:ascii="Rockwell" w:hAnsi="Rockwell"/>
          <w:b/>
          <w:i/>
          <w:color w:val="000000"/>
          <w:u w:val="single"/>
        </w:rPr>
        <w:lastRenderedPageBreak/>
        <w:t xml:space="preserve">Graphique n°9 : </w:t>
      </w:r>
      <w:r>
        <w:rPr>
          <w:rFonts w:ascii="Rockwell" w:hAnsi="Rockwell"/>
          <w:i/>
        </w:rPr>
        <w:t>Représentation des informations thématiques selon le NA et le NI publiés dans les médias en ligne</w:t>
      </w:r>
    </w:p>
    <w:p w14:paraId="2C0465C8" w14:textId="77777777" w:rsidR="00733207" w:rsidRDefault="00733207">
      <w:pPr>
        <w:tabs>
          <w:tab w:val="left" w:pos="1418"/>
          <w:tab w:val="left" w:pos="4220"/>
        </w:tabs>
        <w:spacing w:before="120" w:after="120" w:line="360" w:lineRule="auto"/>
        <w:ind w:left="-491"/>
        <w:jc w:val="center"/>
        <w:rPr>
          <w:rFonts w:ascii="Rockwell" w:hAnsi="Rockwell"/>
          <w:sz w:val="10"/>
          <w:szCs w:val="10"/>
          <w:u w:val="single"/>
        </w:rPr>
      </w:pPr>
    </w:p>
    <w:p w14:paraId="3FC17AF4" w14:textId="77777777" w:rsidR="00733207" w:rsidRDefault="00912BAE">
      <w:pPr>
        <w:tabs>
          <w:tab w:val="left" w:pos="1903"/>
        </w:tabs>
        <w:spacing w:before="120" w:after="120" w:line="360" w:lineRule="auto"/>
        <w:ind w:left="567"/>
        <w:jc w:val="center"/>
        <w:rPr>
          <w:rFonts w:ascii="Rockwell" w:eastAsia="Times New Roman" w:hAnsi="Rockwell"/>
          <w:sz w:val="26"/>
          <w:szCs w:val="26"/>
        </w:rPr>
      </w:pPr>
      <w:r>
        <w:rPr>
          <w:rFonts w:ascii="Rockwell" w:hAnsi="Rockwell"/>
          <w:noProof/>
          <w:sz w:val="26"/>
          <w:szCs w:val="26"/>
          <w:lang w:eastAsia="fr-FR"/>
        </w:rPr>
        <w:drawing>
          <wp:inline distT="0" distB="0" distL="0" distR="0" wp14:anchorId="27883DA2" wp14:editId="30B12906">
            <wp:extent cx="5610225" cy="4171950"/>
            <wp:effectExtent l="0" t="0" r="9525" b="0"/>
            <wp:docPr id="57" name="Graphique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03B9456" w14:textId="77777777" w:rsidR="00733207" w:rsidRDefault="00733207">
      <w:pPr>
        <w:tabs>
          <w:tab w:val="left" w:pos="1903"/>
        </w:tabs>
        <w:spacing w:before="120" w:after="120" w:line="360" w:lineRule="auto"/>
        <w:ind w:left="-491"/>
        <w:jc w:val="both"/>
        <w:rPr>
          <w:rFonts w:ascii="Rockwell" w:eastAsia="Times New Roman" w:hAnsi="Rockwell"/>
          <w:sz w:val="26"/>
          <w:szCs w:val="26"/>
        </w:rPr>
        <w:sectPr w:rsidR="00733207">
          <w:pgSz w:w="11906" w:h="16838"/>
          <w:pgMar w:top="1418" w:right="1418" w:bottom="709" w:left="709" w:header="709" w:footer="23" w:gutter="0"/>
          <w:cols w:space="708"/>
          <w:docGrid w:linePitch="360"/>
        </w:sectPr>
      </w:pPr>
    </w:p>
    <w:p w14:paraId="3E3F670E" w14:textId="77777777" w:rsidR="00733207" w:rsidRDefault="00912BAE">
      <w:pPr>
        <w:pStyle w:val="Titre6"/>
        <w:spacing w:before="120" w:after="120" w:line="360" w:lineRule="auto"/>
        <w:ind w:firstLine="851"/>
        <w:jc w:val="center"/>
        <w:rPr>
          <w:rFonts w:ascii="Rockwell" w:hAnsi="Rockwell"/>
          <w:i/>
          <w:color w:val="auto"/>
          <w:sz w:val="26"/>
          <w:szCs w:val="26"/>
        </w:rPr>
      </w:pPr>
      <w:bookmarkStart w:id="278" w:name="_Toc161320239"/>
      <w:bookmarkStart w:id="279" w:name="_Toc169855167"/>
      <w:bookmarkStart w:id="280" w:name="_Toc175128504"/>
      <w:r>
        <w:rPr>
          <w:rFonts w:ascii="Rockwell" w:hAnsi="Rockwell"/>
          <w:i/>
          <w:color w:val="auto"/>
          <w:sz w:val="26"/>
          <w:szCs w:val="26"/>
        </w:rPr>
        <w:lastRenderedPageBreak/>
        <w:t>2.1.2. Classification de la presse en ligne</w:t>
      </w:r>
      <w:bookmarkEnd w:id="278"/>
      <w:bookmarkEnd w:id="279"/>
      <w:bookmarkEnd w:id="280"/>
    </w:p>
    <w:p w14:paraId="21614E0B" w14:textId="77777777" w:rsidR="00733207" w:rsidRDefault="00733207">
      <w:pPr>
        <w:jc w:val="both"/>
        <w:rPr>
          <w:rFonts w:ascii="Rockwell" w:hAnsi="Rockwell"/>
          <w:sz w:val="10"/>
          <w:szCs w:val="10"/>
        </w:rPr>
      </w:pPr>
    </w:p>
    <w:p w14:paraId="2CFBBA30" w14:textId="77777777" w:rsidR="00733207" w:rsidRDefault="00912BAE">
      <w:pPr>
        <w:pStyle w:val="Titre7"/>
        <w:numPr>
          <w:ilvl w:val="0"/>
          <w:numId w:val="25"/>
        </w:numPr>
        <w:spacing w:before="120" w:after="120" w:line="360" w:lineRule="auto"/>
        <w:ind w:hanging="294"/>
        <w:jc w:val="center"/>
        <w:rPr>
          <w:rFonts w:ascii="Rockwell" w:hAnsi="Rockwell"/>
          <w:b/>
          <w:color w:val="auto"/>
          <w:sz w:val="24"/>
          <w:szCs w:val="24"/>
        </w:rPr>
      </w:pPr>
      <w:bookmarkStart w:id="281" w:name="_Toc161320240"/>
      <w:bookmarkStart w:id="282" w:name="_Toc175128505"/>
      <w:r>
        <w:rPr>
          <w:rFonts w:ascii="Rockwell" w:hAnsi="Rockwell"/>
          <w:b/>
          <w:color w:val="auto"/>
          <w:sz w:val="24"/>
          <w:szCs w:val="24"/>
        </w:rPr>
        <w:t>Classement des médias en ligne suivant le nombre de partis politiques cités</w:t>
      </w:r>
      <w:bookmarkEnd w:id="281"/>
      <w:bookmarkEnd w:id="282"/>
    </w:p>
    <w:p w14:paraId="50229422" w14:textId="77777777" w:rsidR="00733207" w:rsidRDefault="00912BAE">
      <w:pPr>
        <w:spacing w:before="120" w:after="120" w:line="360" w:lineRule="auto"/>
        <w:ind w:left="360"/>
        <w:jc w:val="center"/>
        <w:rPr>
          <w:rFonts w:ascii="Rockwell" w:hAnsi="Rockwell"/>
          <w:bCs/>
          <w:i/>
          <w:color w:val="000000"/>
        </w:rPr>
      </w:pPr>
      <w:r>
        <w:rPr>
          <w:rFonts w:ascii="Rockwell" w:hAnsi="Rockwell"/>
          <w:b/>
          <w:i/>
          <w:color w:val="000000"/>
          <w:u w:val="single"/>
        </w:rPr>
        <w:t>Tableau n°10</w:t>
      </w:r>
      <w:r>
        <w:rPr>
          <w:rFonts w:ascii="Rockwell" w:hAnsi="Rockwell"/>
          <w:i/>
          <w:color w:val="000000"/>
        </w:rPr>
        <w:t xml:space="preserve"> : </w:t>
      </w:r>
      <w:r>
        <w:rPr>
          <w:rFonts w:ascii="Rockwell" w:hAnsi="Rockwell"/>
          <w:bCs/>
          <w:i/>
          <w:color w:val="000000"/>
        </w:rPr>
        <w:t>Classement des médias en ligne selon les</w:t>
      </w:r>
      <w:r>
        <w:rPr>
          <w:rFonts w:ascii="Rockwell" w:hAnsi="Rockwell"/>
          <w:i/>
          <w:color w:val="000000"/>
        </w:rPr>
        <w:t xml:space="preserve"> NA et des NI accordés aux partis politiques</w:t>
      </w:r>
    </w:p>
    <w:tbl>
      <w:tblPr>
        <w:tblW w:w="8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3391"/>
        <w:gridCol w:w="890"/>
        <w:gridCol w:w="1337"/>
        <w:gridCol w:w="905"/>
        <w:gridCol w:w="1327"/>
      </w:tblGrid>
      <w:tr w:rsidR="00733207" w14:paraId="5EF03504" w14:textId="77777777">
        <w:trPr>
          <w:trHeight w:val="63"/>
          <w:jc w:val="center"/>
        </w:trPr>
        <w:tc>
          <w:tcPr>
            <w:tcW w:w="1061" w:type="dxa"/>
            <w:shd w:val="clear" w:color="auto" w:fill="auto"/>
          </w:tcPr>
          <w:p w14:paraId="5999CE3E"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RANG</w:t>
            </w:r>
          </w:p>
        </w:tc>
        <w:tc>
          <w:tcPr>
            <w:tcW w:w="3391" w:type="dxa"/>
            <w:shd w:val="clear" w:color="auto" w:fill="auto"/>
          </w:tcPr>
          <w:p w14:paraId="7C89FDF5"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MEDIAS EN LIGNE</w:t>
            </w:r>
          </w:p>
        </w:tc>
        <w:tc>
          <w:tcPr>
            <w:tcW w:w="890" w:type="dxa"/>
            <w:shd w:val="clear" w:color="auto" w:fill="auto"/>
          </w:tcPr>
          <w:p w14:paraId="54E08D40"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NA</w:t>
            </w:r>
          </w:p>
        </w:tc>
        <w:tc>
          <w:tcPr>
            <w:tcW w:w="1337" w:type="dxa"/>
            <w:shd w:val="clear" w:color="auto" w:fill="auto"/>
          </w:tcPr>
          <w:p w14:paraId="4597A3CC"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%NA</w:t>
            </w:r>
          </w:p>
        </w:tc>
        <w:tc>
          <w:tcPr>
            <w:tcW w:w="905" w:type="dxa"/>
            <w:shd w:val="clear" w:color="auto" w:fill="auto"/>
          </w:tcPr>
          <w:p w14:paraId="657390E4"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NI</w:t>
            </w:r>
          </w:p>
        </w:tc>
        <w:tc>
          <w:tcPr>
            <w:tcW w:w="1327" w:type="dxa"/>
            <w:shd w:val="clear" w:color="auto" w:fill="auto"/>
          </w:tcPr>
          <w:p w14:paraId="1D8A551F"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%NI</w:t>
            </w:r>
          </w:p>
        </w:tc>
      </w:tr>
      <w:tr w:rsidR="00733207" w14:paraId="71D83AB5" w14:textId="77777777">
        <w:trPr>
          <w:trHeight w:val="63"/>
          <w:jc w:val="center"/>
        </w:trPr>
        <w:tc>
          <w:tcPr>
            <w:tcW w:w="1061" w:type="dxa"/>
            <w:shd w:val="clear" w:color="auto" w:fill="auto"/>
          </w:tcPr>
          <w:p w14:paraId="402EC17B"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1</w:t>
            </w:r>
            <w:r>
              <w:rPr>
                <w:rFonts w:ascii="Rockwell" w:eastAsia="Times New Roman" w:hAnsi="Rockwell"/>
                <w:b/>
                <w:bCs/>
                <w:color w:val="000000"/>
                <w:sz w:val="26"/>
                <w:szCs w:val="26"/>
                <w:vertAlign w:val="superscript"/>
              </w:rPr>
              <w:t>er</w:t>
            </w:r>
            <w:r>
              <w:rPr>
                <w:rFonts w:ascii="Rockwell" w:eastAsia="Times New Roman" w:hAnsi="Rockwell"/>
                <w:b/>
                <w:bCs/>
                <w:color w:val="000000"/>
                <w:sz w:val="26"/>
                <w:szCs w:val="26"/>
              </w:rPr>
              <w:t xml:space="preserve"> </w:t>
            </w:r>
          </w:p>
        </w:tc>
        <w:tc>
          <w:tcPr>
            <w:tcW w:w="3391" w:type="dxa"/>
            <w:shd w:val="clear" w:color="auto" w:fill="auto"/>
          </w:tcPr>
          <w:p w14:paraId="5CC15C28"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 xml:space="preserve">www.actualites.bf </w:t>
            </w:r>
          </w:p>
        </w:tc>
        <w:tc>
          <w:tcPr>
            <w:tcW w:w="890" w:type="dxa"/>
            <w:shd w:val="clear" w:color="auto" w:fill="auto"/>
          </w:tcPr>
          <w:p w14:paraId="00F94785"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27</w:t>
            </w:r>
          </w:p>
        </w:tc>
        <w:tc>
          <w:tcPr>
            <w:tcW w:w="1337" w:type="dxa"/>
            <w:shd w:val="clear" w:color="auto" w:fill="auto"/>
          </w:tcPr>
          <w:p w14:paraId="76397CC0"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36,49%</w:t>
            </w:r>
          </w:p>
        </w:tc>
        <w:tc>
          <w:tcPr>
            <w:tcW w:w="905" w:type="dxa"/>
            <w:shd w:val="clear" w:color="auto" w:fill="auto"/>
          </w:tcPr>
          <w:p w14:paraId="1673BDE0"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29</w:t>
            </w:r>
          </w:p>
        </w:tc>
        <w:tc>
          <w:tcPr>
            <w:tcW w:w="1327" w:type="dxa"/>
            <w:shd w:val="clear" w:color="auto" w:fill="auto"/>
          </w:tcPr>
          <w:p w14:paraId="7147FD95"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29,90%</w:t>
            </w:r>
          </w:p>
        </w:tc>
      </w:tr>
      <w:tr w:rsidR="00733207" w14:paraId="385C0F0D" w14:textId="77777777">
        <w:trPr>
          <w:trHeight w:val="63"/>
          <w:jc w:val="center"/>
        </w:trPr>
        <w:tc>
          <w:tcPr>
            <w:tcW w:w="1061" w:type="dxa"/>
            <w:shd w:val="clear" w:color="auto" w:fill="auto"/>
          </w:tcPr>
          <w:p w14:paraId="0F511C15"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2</w:t>
            </w:r>
            <w:r>
              <w:rPr>
                <w:rFonts w:ascii="Rockwell" w:eastAsia="Times New Roman" w:hAnsi="Rockwell"/>
                <w:b/>
                <w:bCs/>
                <w:color w:val="000000"/>
                <w:sz w:val="26"/>
                <w:szCs w:val="26"/>
                <w:vertAlign w:val="superscript"/>
              </w:rPr>
              <w:t>e</w:t>
            </w:r>
            <w:r>
              <w:rPr>
                <w:rFonts w:ascii="Rockwell" w:eastAsia="Times New Roman" w:hAnsi="Rockwell"/>
                <w:b/>
                <w:bCs/>
                <w:color w:val="000000"/>
                <w:sz w:val="26"/>
                <w:szCs w:val="26"/>
              </w:rPr>
              <w:t xml:space="preserve"> </w:t>
            </w:r>
          </w:p>
        </w:tc>
        <w:tc>
          <w:tcPr>
            <w:tcW w:w="3391" w:type="dxa"/>
            <w:shd w:val="clear" w:color="auto" w:fill="auto"/>
          </w:tcPr>
          <w:p w14:paraId="35AEFB84"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www.minute.bf</w:t>
            </w:r>
          </w:p>
        </w:tc>
        <w:tc>
          <w:tcPr>
            <w:tcW w:w="890" w:type="dxa"/>
            <w:shd w:val="clear" w:color="auto" w:fill="auto"/>
          </w:tcPr>
          <w:p w14:paraId="14F3BF09"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18</w:t>
            </w:r>
          </w:p>
        </w:tc>
        <w:tc>
          <w:tcPr>
            <w:tcW w:w="1337" w:type="dxa"/>
            <w:shd w:val="clear" w:color="auto" w:fill="auto"/>
          </w:tcPr>
          <w:p w14:paraId="65F48C11"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24,32%</w:t>
            </w:r>
          </w:p>
        </w:tc>
        <w:tc>
          <w:tcPr>
            <w:tcW w:w="905" w:type="dxa"/>
            <w:shd w:val="clear" w:color="auto" w:fill="auto"/>
          </w:tcPr>
          <w:p w14:paraId="71AE532C"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24</w:t>
            </w:r>
          </w:p>
        </w:tc>
        <w:tc>
          <w:tcPr>
            <w:tcW w:w="1327" w:type="dxa"/>
            <w:shd w:val="clear" w:color="auto" w:fill="auto"/>
          </w:tcPr>
          <w:p w14:paraId="47B9A782"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24,74%</w:t>
            </w:r>
          </w:p>
        </w:tc>
      </w:tr>
      <w:tr w:rsidR="00733207" w14:paraId="4346462A" w14:textId="77777777">
        <w:trPr>
          <w:trHeight w:val="63"/>
          <w:jc w:val="center"/>
        </w:trPr>
        <w:tc>
          <w:tcPr>
            <w:tcW w:w="1061" w:type="dxa"/>
            <w:shd w:val="clear" w:color="auto" w:fill="auto"/>
          </w:tcPr>
          <w:p w14:paraId="3EBA43FC"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3</w:t>
            </w:r>
            <w:r>
              <w:rPr>
                <w:rFonts w:ascii="Rockwell" w:eastAsia="Times New Roman" w:hAnsi="Rockwell"/>
                <w:b/>
                <w:bCs/>
                <w:color w:val="000000"/>
                <w:sz w:val="26"/>
                <w:szCs w:val="26"/>
                <w:vertAlign w:val="superscript"/>
              </w:rPr>
              <w:t>e</w:t>
            </w:r>
            <w:r>
              <w:rPr>
                <w:rFonts w:ascii="Rockwell" w:eastAsia="Times New Roman" w:hAnsi="Rockwell"/>
                <w:b/>
                <w:bCs/>
                <w:color w:val="000000"/>
                <w:sz w:val="26"/>
                <w:szCs w:val="26"/>
              </w:rPr>
              <w:t xml:space="preserve"> </w:t>
            </w:r>
          </w:p>
        </w:tc>
        <w:tc>
          <w:tcPr>
            <w:tcW w:w="3391" w:type="dxa"/>
            <w:shd w:val="clear" w:color="auto" w:fill="auto"/>
          </w:tcPr>
          <w:p w14:paraId="0ACEE15C" w14:textId="77777777" w:rsidR="00733207" w:rsidRPr="00866BAD" w:rsidRDefault="00E06378">
            <w:pPr>
              <w:spacing w:before="120" w:after="120" w:line="360" w:lineRule="auto"/>
              <w:jc w:val="both"/>
              <w:rPr>
                <w:rFonts w:ascii="Rockwell" w:eastAsia="Times New Roman" w:hAnsi="Rockwell" w:cs="Calibri"/>
                <w:color w:val="0563C1"/>
                <w:sz w:val="26"/>
                <w:szCs w:val="26"/>
              </w:rPr>
            </w:pPr>
            <w:hyperlink r:id="rId40" w:history="1">
              <w:r w:rsidR="00912BAE" w:rsidRPr="00866BAD">
                <w:rPr>
                  <w:rFonts w:ascii="Rockwell" w:eastAsia="Times New Roman" w:hAnsi="Rockwell" w:cs="Calibri"/>
                  <w:sz w:val="26"/>
                  <w:szCs w:val="26"/>
                </w:rPr>
                <w:t xml:space="preserve">www.lefaso.net </w:t>
              </w:r>
            </w:hyperlink>
          </w:p>
        </w:tc>
        <w:tc>
          <w:tcPr>
            <w:tcW w:w="890" w:type="dxa"/>
            <w:shd w:val="clear" w:color="auto" w:fill="auto"/>
          </w:tcPr>
          <w:p w14:paraId="3DA82C7C"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17</w:t>
            </w:r>
          </w:p>
        </w:tc>
        <w:tc>
          <w:tcPr>
            <w:tcW w:w="1337" w:type="dxa"/>
            <w:shd w:val="clear" w:color="auto" w:fill="auto"/>
          </w:tcPr>
          <w:p w14:paraId="77BF755F"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22,97%</w:t>
            </w:r>
          </w:p>
        </w:tc>
        <w:tc>
          <w:tcPr>
            <w:tcW w:w="905" w:type="dxa"/>
            <w:shd w:val="clear" w:color="auto" w:fill="auto"/>
          </w:tcPr>
          <w:p w14:paraId="0706C609"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25</w:t>
            </w:r>
          </w:p>
        </w:tc>
        <w:tc>
          <w:tcPr>
            <w:tcW w:w="1327" w:type="dxa"/>
            <w:shd w:val="clear" w:color="auto" w:fill="auto"/>
          </w:tcPr>
          <w:p w14:paraId="29E7F8F3"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25,77%</w:t>
            </w:r>
          </w:p>
        </w:tc>
      </w:tr>
      <w:tr w:rsidR="00733207" w14:paraId="09321367" w14:textId="77777777">
        <w:trPr>
          <w:trHeight w:val="63"/>
          <w:jc w:val="center"/>
        </w:trPr>
        <w:tc>
          <w:tcPr>
            <w:tcW w:w="1061" w:type="dxa"/>
            <w:shd w:val="clear" w:color="auto" w:fill="auto"/>
          </w:tcPr>
          <w:p w14:paraId="79FE8276"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4</w:t>
            </w:r>
            <w:r>
              <w:rPr>
                <w:rFonts w:ascii="Rockwell" w:eastAsia="Times New Roman" w:hAnsi="Rockwell"/>
                <w:b/>
                <w:bCs/>
                <w:color w:val="000000"/>
                <w:sz w:val="26"/>
                <w:szCs w:val="26"/>
                <w:vertAlign w:val="superscript"/>
              </w:rPr>
              <w:t>e</w:t>
            </w:r>
          </w:p>
        </w:tc>
        <w:tc>
          <w:tcPr>
            <w:tcW w:w="3391" w:type="dxa"/>
            <w:shd w:val="clear" w:color="auto" w:fill="auto"/>
          </w:tcPr>
          <w:p w14:paraId="33DFD477"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 xml:space="preserve">www.burkina24.com </w:t>
            </w:r>
          </w:p>
        </w:tc>
        <w:tc>
          <w:tcPr>
            <w:tcW w:w="890" w:type="dxa"/>
            <w:shd w:val="clear" w:color="auto" w:fill="auto"/>
          </w:tcPr>
          <w:p w14:paraId="2CE6ACC7"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8</w:t>
            </w:r>
          </w:p>
        </w:tc>
        <w:tc>
          <w:tcPr>
            <w:tcW w:w="1337" w:type="dxa"/>
            <w:shd w:val="clear" w:color="auto" w:fill="auto"/>
          </w:tcPr>
          <w:p w14:paraId="287F1613"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10,81%</w:t>
            </w:r>
          </w:p>
        </w:tc>
        <w:tc>
          <w:tcPr>
            <w:tcW w:w="905" w:type="dxa"/>
            <w:shd w:val="clear" w:color="auto" w:fill="auto"/>
          </w:tcPr>
          <w:p w14:paraId="2E7EB131"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14</w:t>
            </w:r>
          </w:p>
        </w:tc>
        <w:tc>
          <w:tcPr>
            <w:tcW w:w="1327" w:type="dxa"/>
            <w:shd w:val="clear" w:color="auto" w:fill="auto"/>
          </w:tcPr>
          <w:p w14:paraId="4D6079EB"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14,43%</w:t>
            </w:r>
          </w:p>
        </w:tc>
      </w:tr>
      <w:tr w:rsidR="00733207" w14:paraId="66BC3C4D" w14:textId="77777777">
        <w:trPr>
          <w:trHeight w:val="63"/>
          <w:jc w:val="center"/>
        </w:trPr>
        <w:tc>
          <w:tcPr>
            <w:tcW w:w="1061" w:type="dxa"/>
            <w:shd w:val="clear" w:color="auto" w:fill="auto"/>
          </w:tcPr>
          <w:p w14:paraId="611F0087"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5</w:t>
            </w:r>
            <w:r>
              <w:rPr>
                <w:rFonts w:ascii="Rockwell" w:eastAsia="Times New Roman" w:hAnsi="Rockwell"/>
                <w:b/>
                <w:bCs/>
                <w:color w:val="000000"/>
                <w:sz w:val="26"/>
                <w:szCs w:val="26"/>
                <w:vertAlign w:val="superscript"/>
              </w:rPr>
              <w:t>e</w:t>
            </w:r>
            <w:r>
              <w:rPr>
                <w:rFonts w:ascii="Rockwell" w:eastAsia="Times New Roman" w:hAnsi="Rockwell"/>
                <w:b/>
                <w:bCs/>
                <w:color w:val="000000"/>
                <w:sz w:val="26"/>
                <w:szCs w:val="26"/>
              </w:rPr>
              <w:t xml:space="preserve"> </w:t>
            </w:r>
          </w:p>
        </w:tc>
        <w:tc>
          <w:tcPr>
            <w:tcW w:w="3391" w:type="dxa"/>
            <w:shd w:val="clear" w:color="auto" w:fill="auto"/>
          </w:tcPr>
          <w:p w14:paraId="7D641807"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 xml:space="preserve">www.infowakat.net   </w:t>
            </w:r>
          </w:p>
        </w:tc>
        <w:tc>
          <w:tcPr>
            <w:tcW w:w="890" w:type="dxa"/>
            <w:shd w:val="clear" w:color="auto" w:fill="auto"/>
          </w:tcPr>
          <w:p w14:paraId="03FAAE59"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4</w:t>
            </w:r>
          </w:p>
        </w:tc>
        <w:tc>
          <w:tcPr>
            <w:tcW w:w="1337" w:type="dxa"/>
            <w:shd w:val="clear" w:color="auto" w:fill="auto"/>
          </w:tcPr>
          <w:p w14:paraId="42FF2BBA"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5,41%</w:t>
            </w:r>
          </w:p>
        </w:tc>
        <w:tc>
          <w:tcPr>
            <w:tcW w:w="905" w:type="dxa"/>
            <w:shd w:val="clear" w:color="auto" w:fill="auto"/>
          </w:tcPr>
          <w:p w14:paraId="523D5C88"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5</w:t>
            </w:r>
          </w:p>
        </w:tc>
        <w:tc>
          <w:tcPr>
            <w:tcW w:w="1327" w:type="dxa"/>
            <w:shd w:val="clear" w:color="auto" w:fill="auto"/>
          </w:tcPr>
          <w:p w14:paraId="17139EB5" w14:textId="77777777" w:rsidR="00733207" w:rsidRDefault="00912BAE">
            <w:pPr>
              <w:spacing w:before="120" w:after="120" w:line="360" w:lineRule="auto"/>
              <w:jc w:val="both"/>
              <w:rPr>
                <w:rFonts w:ascii="Rockwell" w:eastAsia="Times New Roman" w:hAnsi="Rockwell"/>
                <w:color w:val="000000"/>
                <w:sz w:val="26"/>
                <w:szCs w:val="26"/>
              </w:rPr>
            </w:pPr>
            <w:r>
              <w:rPr>
                <w:rFonts w:ascii="Rockwell" w:eastAsia="Times New Roman" w:hAnsi="Rockwell"/>
                <w:color w:val="000000"/>
                <w:sz w:val="26"/>
                <w:szCs w:val="26"/>
              </w:rPr>
              <w:t>5,15%</w:t>
            </w:r>
          </w:p>
        </w:tc>
      </w:tr>
      <w:tr w:rsidR="00733207" w14:paraId="06F4BF3C" w14:textId="77777777">
        <w:trPr>
          <w:trHeight w:val="63"/>
          <w:jc w:val="center"/>
        </w:trPr>
        <w:tc>
          <w:tcPr>
            <w:tcW w:w="4452" w:type="dxa"/>
            <w:gridSpan w:val="2"/>
            <w:shd w:val="clear" w:color="auto" w:fill="auto"/>
          </w:tcPr>
          <w:p w14:paraId="5E6238CD"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 TOTAL</w:t>
            </w:r>
          </w:p>
        </w:tc>
        <w:tc>
          <w:tcPr>
            <w:tcW w:w="890" w:type="dxa"/>
            <w:shd w:val="clear" w:color="auto" w:fill="auto"/>
          </w:tcPr>
          <w:p w14:paraId="792A00B6" w14:textId="77777777" w:rsidR="00733207" w:rsidRDefault="00912BAE">
            <w:pPr>
              <w:spacing w:before="120" w:after="120" w:line="360" w:lineRule="auto"/>
              <w:jc w:val="both"/>
              <w:rPr>
                <w:rFonts w:ascii="Rockwell" w:eastAsia="Times New Roman" w:hAnsi="Rockwell"/>
                <w:b/>
                <w:color w:val="000000"/>
                <w:sz w:val="26"/>
                <w:szCs w:val="26"/>
              </w:rPr>
            </w:pPr>
            <w:r>
              <w:rPr>
                <w:rFonts w:ascii="Rockwell" w:eastAsia="Times New Roman" w:hAnsi="Rockwell"/>
                <w:b/>
                <w:color w:val="000000"/>
                <w:sz w:val="26"/>
                <w:szCs w:val="26"/>
              </w:rPr>
              <w:t>74</w:t>
            </w:r>
          </w:p>
        </w:tc>
        <w:tc>
          <w:tcPr>
            <w:tcW w:w="1337" w:type="dxa"/>
            <w:shd w:val="clear" w:color="auto" w:fill="auto"/>
          </w:tcPr>
          <w:p w14:paraId="5B6A4A11"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100,00%</w:t>
            </w:r>
          </w:p>
        </w:tc>
        <w:tc>
          <w:tcPr>
            <w:tcW w:w="905" w:type="dxa"/>
            <w:shd w:val="clear" w:color="auto" w:fill="auto"/>
          </w:tcPr>
          <w:p w14:paraId="17A84313" w14:textId="77777777" w:rsidR="00733207" w:rsidRDefault="00912BAE">
            <w:pPr>
              <w:spacing w:before="120" w:after="120" w:line="360" w:lineRule="auto"/>
              <w:jc w:val="both"/>
              <w:rPr>
                <w:rFonts w:ascii="Rockwell" w:eastAsia="Times New Roman" w:hAnsi="Rockwell"/>
                <w:b/>
                <w:color w:val="000000"/>
                <w:sz w:val="26"/>
                <w:szCs w:val="26"/>
              </w:rPr>
            </w:pPr>
            <w:r>
              <w:rPr>
                <w:rFonts w:ascii="Rockwell" w:eastAsia="Times New Roman" w:hAnsi="Rockwell"/>
                <w:b/>
                <w:color w:val="000000"/>
                <w:sz w:val="26"/>
                <w:szCs w:val="26"/>
              </w:rPr>
              <w:t>97</w:t>
            </w:r>
          </w:p>
        </w:tc>
        <w:tc>
          <w:tcPr>
            <w:tcW w:w="1327" w:type="dxa"/>
            <w:shd w:val="clear" w:color="auto" w:fill="auto"/>
          </w:tcPr>
          <w:p w14:paraId="2D21DBA9" w14:textId="77777777" w:rsidR="00733207" w:rsidRDefault="00912BAE">
            <w:pPr>
              <w:spacing w:before="120" w:after="120" w:line="360" w:lineRule="auto"/>
              <w:jc w:val="both"/>
              <w:rPr>
                <w:rFonts w:ascii="Rockwell" w:eastAsia="Times New Roman" w:hAnsi="Rockwell"/>
                <w:b/>
                <w:bCs/>
                <w:color w:val="000000"/>
                <w:sz w:val="26"/>
                <w:szCs w:val="26"/>
              </w:rPr>
            </w:pPr>
            <w:r>
              <w:rPr>
                <w:rFonts w:ascii="Rockwell" w:eastAsia="Times New Roman" w:hAnsi="Rockwell"/>
                <w:b/>
                <w:bCs/>
                <w:color w:val="000000"/>
                <w:sz w:val="26"/>
                <w:szCs w:val="26"/>
              </w:rPr>
              <w:t>100,00%</w:t>
            </w:r>
          </w:p>
        </w:tc>
      </w:tr>
    </w:tbl>
    <w:p w14:paraId="7659164B" w14:textId="77777777" w:rsidR="00733207" w:rsidRDefault="00912BAE">
      <w:pPr>
        <w:spacing w:before="120" w:after="120" w:line="360" w:lineRule="auto"/>
        <w:ind w:left="426"/>
        <w:jc w:val="both"/>
        <w:rPr>
          <w:rFonts w:ascii="Rockwell" w:hAnsi="Rockwell"/>
          <w:i/>
          <w:color w:val="000000" w:themeColor="text1"/>
        </w:r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52B92F9C" w14:textId="77777777" w:rsidR="00733207" w:rsidRDefault="00733207">
      <w:pPr>
        <w:spacing w:before="120" w:after="120" w:line="360" w:lineRule="auto"/>
        <w:ind w:left="426"/>
        <w:jc w:val="both"/>
        <w:rPr>
          <w:rFonts w:ascii="Rockwell" w:hAnsi="Rockwell"/>
          <w:i/>
          <w:color w:val="000000" w:themeColor="text1"/>
        </w:rPr>
      </w:pPr>
    </w:p>
    <w:p w14:paraId="09004034" w14:textId="77777777" w:rsidR="00733207" w:rsidRDefault="00733207">
      <w:pPr>
        <w:spacing w:before="120" w:after="120" w:line="360" w:lineRule="auto"/>
        <w:ind w:left="426"/>
        <w:jc w:val="both"/>
        <w:rPr>
          <w:rFonts w:ascii="Rockwell" w:hAnsi="Rockwell"/>
          <w:i/>
          <w:color w:val="000000" w:themeColor="text1"/>
        </w:rPr>
        <w:sectPr w:rsidR="00733207">
          <w:pgSz w:w="11906" w:h="16838"/>
          <w:pgMar w:top="1418" w:right="1418" w:bottom="709" w:left="709" w:header="709" w:footer="23" w:gutter="0"/>
          <w:cols w:space="708"/>
          <w:docGrid w:linePitch="360"/>
        </w:sectPr>
      </w:pPr>
    </w:p>
    <w:p w14:paraId="1482A651" w14:textId="77777777" w:rsidR="00733207" w:rsidRDefault="00912BAE">
      <w:pPr>
        <w:pStyle w:val="Paragraphedeliste"/>
        <w:spacing w:before="120" w:after="120" w:line="360" w:lineRule="auto"/>
        <w:ind w:left="0"/>
        <w:jc w:val="center"/>
        <w:rPr>
          <w:rFonts w:ascii="Rockwell" w:hAnsi="Rockwell"/>
          <w:bCs/>
          <w:i/>
          <w:color w:val="000000"/>
        </w:rPr>
      </w:pPr>
      <w:r>
        <w:rPr>
          <w:rFonts w:ascii="Rockwell" w:hAnsi="Rockwell"/>
          <w:b/>
          <w:i/>
          <w:color w:val="000000"/>
          <w:u w:val="single"/>
        </w:rPr>
        <w:lastRenderedPageBreak/>
        <w:t>Graphique n°10</w:t>
      </w:r>
      <w:r>
        <w:rPr>
          <w:rFonts w:ascii="Rockwell" w:hAnsi="Rockwell"/>
          <w:i/>
          <w:color w:val="000000"/>
        </w:rPr>
        <w:t xml:space="preserve"> : Représentation </w:t>
      </w:r>
      <w:r>
        <w:rPr>
          <w:rFonts w:ascii="Rockwell" w:hAnsi="Rockwell"/>
          <w:bCs/>
          <w:i/>
          <w:color w:val="000000"/>
        </w:rPr>
        <w:t>des médias en ligne selon les</w:t>
      </w:r>
      <w:r>
        <w:rPr>
          <w:rFonts w:ascii="Rockwell" w:hAnsi="Rockwell"/>
          <w:i/>
          <w:color w:val="000000"/>
        </w:rPr>
        <w:t xml:space="preserve"> NA et des NI accordés aux partis politiques</w:t>
      </w:r>
    </w:p>
    <w:p w14:paraId="733326B2" w14:textId="77777777" w:rsidR="00733207" w:rsidRDefault="00912BAE" w:rsidP="000F5D96">
      <w:pPr>
        <w:pStyle w:val="Paragraphedeliste"/>
        <w:spacing w:before="120" w:after="120" w:line="360" w:lineRule="auto"/>
        <w:ind w:left="-284"/>
        <w:jc w:val="center"/>
        <w:rPr>
          <w:rFonts w:ascii="Rockwell" w:hAnsi="Rockwell"/>
          <w:b/>
          <w:sz w:val="26"/>
          <w:szCs w:val="26"/>
        </w:rPr>
      </w:pPr>
      <w:r>
        <w:rPr>
          <w:rFonts w:ascii="Rockwell" w:hAnsi="Rockwell"/>
          <w:noProof/>
          <w:sz w:val="26"/>
          <w:szCs w:val="26"/>
          <w:lang w:eastAsia="fr-FR"/>
        </w:rPr>
        <w:drawing>
          <wp:inline distT="0" distB="0" distL="0" distR="0" wp14:anchorId="177F955D" wp14:editId="1491BD85">
            <wp:extent cx="5734050" cy="3086100"/>
            <wp:effectExtent l="0" t="0" r="0" b="0"/>
            <wp:docPr id="58" name="Graphique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0C60807D" w14:textId="77777777" w:rsidR="00733207" w:rsidRDefault="00733207">
      <w:pPr>
        <w:pStyle w:val="Paragraphedeliste"/>
        <w:spacing w:before="120" w:after="120" w:line="360" w:lineRule="auto"/>
        <w:ind w:left="-284"/>
        <w:jc w:val="both"/>
        <w:rPr>
          <w:rFonts w:ascii="Rockwell" w:hAnsi="Rockwell"/>
          <w:b/>
          <w:sz w:val="26"/>
          <w:szCs w:val="26"/>
        </w:rPr>
      </w:pPr>
    </w:p>
    <w:p w14:paraId="6D2DFEC5" w14:textId="77777777" w:rsidR="00733207" w:rsidRDefault="00912BAE">
      <w:pPr>
        <w:pStyle w:val="Titre7"/>
        <w:numPr>
          <w:ilvl w:val="0"/>
          <w:numId w:val="25"/>
        </w:numPr>
        <w:spacing w:before="120" w:after="120" w:line="360" w:lineRule="auto"/>
        <w:jc w:val="center"/>
        <w:rPr>
          <w:rFonts w:ascii="Rockwell" w:hAnsi="Rockwell"/>
          <w:b/>
          <w:color w:val="auto"/>
          <w:sz w:val="24"/>
          <w:szCs w:val="24"/>
        </w:rPr>
      </w:pPr>
      <w:bookmarkStart w:id="283" w:name="_Toc161320241"/>
      <w:bookmarkStart w:id="284" w:name="_Toc175128506"/>
      <w:r>
        <w:rPr>
          <w:rFonts w:ascii="Rockwell" w:hAnsi="Rockwell"/>
          <w:b/>
          <w:color w:val="auto"/>
          <w:sz w:val="24"/>
          <w:szCs w:val="24"/>
        </w:rPr>
        <w:t>Classement des médias en ligne suivant le nombre d’acteurs sociopolitiques cités</w:t>
      </w:r>
      <w:bookmarkEnd w:id="283"/>
      <w:bookmarkEnd w:id="284"/>
    </w:p>
    <w:p w14:paraId="1893B0B9" w14:textId="77777777" w:rsidR="00733207" w:rsidRDefault="00912BAE">
      <w:pPr>
        <w:spacing w:before="120" w:after="120" w:line="240" w:lineRule="auto"/>
        <w:ind w:left="567"/>
        <w:jc w:val="center"/>
        <w:rPr>
          <w:rFonts w:ascii="Rockwell" w:hAnsi="Rockwell"/>
          <w:bCs/>
          <w:i/>
          <w:sz w:val="18"/>
          <w:szCs w:val="18"/>
        </w:rPr>
      </w:pPr>
      <w:r>
        <w:rPr>
          <w:rFonts w:ascii="Rockwell" w:hAnsi="Rockwell"/>
          <w:b/>
          <w:i/>
          <w:u w:val="single"/>
        </w:rPr>
        <w:t>Tableau 11</w:t>
      </w:r>
      <w:r>
        <w:rPr>
          <w:rFonts w:ascii="Rockwell" w:hAnsi="Rockwell"/>
          <w:b/>
          <w:i/>
        </w:rPr>
        <w:t> :</w:t>
      </w:r>
      <w:r>
        <w:rPr>
          <w:rFonts w:ascii="Rockwell" w:hAnsi="Rockwell"/>
          <w:b/>
          <w:i/>
          <w:sz w:val="18"/>
          <w:szCs w:val="18"/>
        </w:rPr>
        <w:t xml:space="preserve"> </w:t>
      </w:r>
      <w:r>
        <w:rPr>
          <w:rFonts w:ascii="Rockwell" w:hAnsi="Rockwell"/>
          <w:bCs/>
          <w:i/>
        </w:rPr>
        <w:t>Classement des médias en ligne</w:t>
      </w:r>
      <w:r>
        <w:rPr>
          <w:rFonts w:ascii="Rockwell" w:hAnsi="Rockwell"/>
          <w:i/>
        </w:rPr>
        <w:t xml:space="preserve"> selon les NA et des NI accordés aux acteurs sociopolitiques</w:t>
      </w:r>
    </w:p>
    <w:tbl>
      <w:tblPr>
        <w:tblW w:w="99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
        <w:gridCol w:w="3352"/>
        <w:gridCol w:w="1216"/>
        <w:gridCol w:w="1586"/>
        <w:gridCol w:w="1346"/>
        <w:gridCol w:w="1586"/>
      </w:tblGrid>
      <w:tr w:rsidR="00733207" w14:paraId="13C20560" w14:textId="77777777">
        <w:trPr>
          <w:trHeight w:val="105"/>
          <w:jc w:val="center"/>
        </w:trPr>
        <w:tc>
          <w:tcPr>
            <w:tcW w:w="892" w:type="dxa"/>
            <w:shd w:val="clear" w:color="auto" w:fill="auto"/>
          </w:tcPr>
          <w:p w14:paraId="74EF6512"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w:t>
            </w:r>
          </w:p>
        </w:tc>
        <w:tc>
          <w:tcPr>
            <w:tcW w:w="3352" w:type="dxa"/>
            <w:shd w:val="clear" w:color="auto" w:fill="auto"/>
          </w:tcPr>
          <w:p w14:paraId="1F0568C4"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MEDIAS EN LIGNE</w:t>
            </w:r>
          </w:p>
        </w:tc>
        <w:tc>
          <w:tcPr>
            <w:tcW w:w="1216" w:type="dxa"/>
            <w:shd w:val="clear" w:color="auto" w:fill="auto"/>
          </w:tcPr>
          <w:p w14:paraId="2D90D92F"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NA</w:t>
            </w:r>
          </w:p>
        </w:tc>
        <w:tc>
          <w:tcPr>
            <w:tcW w:w="1586" w:type="dxa"/>
            <w:shd w:val="clear" w:color="auto" w:fill="auto"/>
          </w:tcPr>
          <w:p w14:paraId="28E89979"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%NA</w:t>
            </w:r>
          </w:p>
        </w:tc>
        <w:tc>
          <w:tcPr>
            <w:tcW w:w="1346" w:type="dxa"/>
            <w:shd w:val="clear" w:color="auto" w:fill="auto"/>
          </w:tcPr>
          <w:p w14:paraId="7E546FAD"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NI</w:t>
            </w:r>
          </w:p>
        </w:tc>
        <w:tc>
          <w:tcPr>
            <w:tcW w:w="1586" w:type="dxa"/>
            <w:shd w:val="clear" w:color="auto" w:fill="auto"/>
          </w:tcPr>
          <w:p w14:paraId="084D2CF2"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%NI</w:t>
            </w:r>
          </w:p>
        </w:tc>
      </w:tr>
      <w:tr w:rsidR="00733207" w14:paraId="67ACDDE5" w14:textId="77777777">
        <w:trPr>
          <w:trHeight w:val="452"/>
          <w:jc w:val="center"/>
        </w:trPr>
        <w:tc>
          <w:tcPr>
            <w:tcW w:w="892" w:type="dxa"/>
            <w:shd w:val="clear" w:color="auto" w:fill="auto"/>
          </w:tcPr>
          <w:p w14:paraId="1554F5F7"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w:t>
            </w:r>
            <w:r>
              <w:rPr>
                <w:rFonts w:ascii="Rockwell" w:eastAsia="Times New Roman" w:hAnsi="Rockwell" w:cs="Calibri"/>
                <w:b/>
                <w:bCs/>
                <w:color w:val="000000"/>
                <w:sz w:val="24"/>
                <w:szCs w:val="24"/>
                <w:vertAlign w:val="superscript"/>
              </w:rPr>
              <w:t>er</w:t>
            </w:r>
          </w:p>
        </w:tc>
        <w:tc>
          <w:tcPr>
            <w:tcW w:w="3352" w:type="dxa"/>
            <w:shd w:val="clear" w:color="auto" w:fill="auto"/>
          </w:tcPr>
          <w:p w14:paraId="776CC025"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 xml:space="preserve">www.actualites.bf </w:t>
            </w:r>
          </w:p>
        </w:tc>
        <w:tc>
          <w:tcPr>
            <w:tcW w:w="1216" w:type="dxa"/>
            <w:shd w:val="clear" w:color="auto" w:fill="auto"/>
          </w:tcPr>
          <w:p w14:paraId="22144D38"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210</w:t>
            </w:r>
          </w:p>
        </w:tc>
        <w:tc>
          <w:tcPr>
            <w:tcW w:w="1586" w:type="dxa"/>
            <w:shd w:val="clear" w:color="auto" w:fill="auto"/>
          </w:tcPr>
          <w:p w14:paraId="7FE327E5"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32,06%</w:t>
            </w:r>
          </w:p>
        </w:tc>
        <w:tc>
          <w:tcPr>
            <w:tcW w:w="1346" w:type="dxa"/>
            <w:shd w:val="clear" w:color="auto" w:fill="auto"/>
          </w:tcPr>
          <w:p w14:paraId="487E7221"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293</w:t>
            </w:r>
          </w:p>
        </w:tc>
        <w:tc>
          <w:tcPr>
            <w:tcW w:w="1586" w:type="dxa"/>
            <w:shd w:val="clear" w:color="auto" w:fill="auto"/>
          </w:tcPr>
          <w:p w14:paraId="35ED323B"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21,87%</w:t>
            </w:r>
          </w:p>
        </w:tc>
      </w:tr>
      <w:tr w:rsidR="00733207" w14:paraId="4EED6875" w14:textId="77777777">
        <w:trPr>
          <w:trHeight w:val="497"/>
          <w:jc w:val="center"/>
        </w:trPr>
        <w:tc>
          <w:tcPr>
            <w:tcW w:w="892" w:type="dxa"/>
            <w:shd w:val="clear" w:color="auto" w:fill="auto"/>
          </w:tcPr>
          <w:p w14:paraId="6DC9799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2</w:t>
            </w:r>
            <w:r>
              <w:rPr>
                <w:rFonts w:ascii="Rockwell" w:eastAsia="Times New Roman" w:hAnsi="Rockwell" w:cs="Calibri"/>
                <w:b/>
                <w:bCs/>
                <w:color w:val="000000"/>
                <w:sz w:val="24"/>
                <w:szCs w:val="24"/>
                <w:vertAlign w:val="superscript"/>
              </w:rPr>
              <w:t>e</w:t>
            </w:r>
          </w:p>
        </w:tc>
        <w:tc>
          <w:tcPr>
            <w:tcW w:w="3352" w:type="dxa"/>
            <w:shd w:val="clear" w:color="auto" w:fill="auto"/>
          </w:tcPr>
          <w:p w14:paraId="6549DF02"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www.minute.bf</w:t>
            </w:r>
          </w:p>
        </w:tc>
        <w:tc>
          <w:tcPr>
            <w:tcW w:w="1216" w:type="dxa"/>
            <w:shd w:val="clear" w:color="auto" w:fill="auto"/>
          </w:tcPr>
          <w:p w14:paraId="5DFD2B10"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175</w:t>
            </w:r>
          </w:p>
        </w:tc>
        <w:tc>
          <w:tcPr>
            <w:tcW w:w="1586" w:type="dxa"/>
            <w:shd w:val="clear" w:color="auto" w:fill="auto"/>
          </w:tcPr>
          <w:p w14:paraId="5469EEC3"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26,72%</w:t>
            </w:r>
          </w:p>
        </w:tc>
        <w:tc>
          <w:tcPr>
            <w:tcW w:w="1346" w:type="dxa"/>
            <w:shd w:val="clear" w:color="auto" w:fill="auto"/>
          </w:tcPr>
          <w:p w14:paraId="7EF98288"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331</w:t>
            </w:r>
          </w:p>
        </w:tc>
        <w:tc>
          <w:tcPr>
            <w:tcW w:w="1586" w:type="dxa"/>
            <w:shd w:val="clear" w:color="auto" w:fill="auto"/>
          </w:tcPr>
          <w:p w14:paraId="4511977D"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24,70%</w:t>
            </w:r>
          </w:p>
        </w:tc>
      </w:tr>
      <w:tr w:rsidR="00733207" w14:paraId="7AAFE2BA" w14:textId="77777777">
        <w:trPr>
          <w:trHeight w:val="318"/>
          <w:jc w:val="center"/>
        </w:trPr>
        <w:tc>
          <w:tcPr>
            <w:tcW w:w="892" w:type="dxa"/>
            <w:shd w:val="clear" w:color="auto" w:fill="auto"/>
          </w:tcPr>
          <w:p w14:paraId="04CD2660" w14:textId="77777777" w:rsidR="00733207" w:rsidRDefault="00912BAE">
            <w:pPr>
              <w:spacing w:before="120" w:after="120" w:line="360" w:lineRule="auto"/>
              <w:jc w:val="both"/>
              <w:rPr>
                <w:rFonts w:ascii="Rockwell" w:eastAsia="Times New Roman" w:hAnsi="Rockwell" w:cs="Calibri"/>
                <w:b/>
                <w:bCs/>
                <w:sz w:val="24"/>
                <w:szCs w:val="24"/>
              </w:rPr>
            </w:pPr>
            <w:r>
              <w:rPr>
                <w:rFonts w:ascii="Rockwell" w:eastAsia="Times New Roman" w:hAnsi="Rockwell" w:cs="Calibri"/>
                <w:b/>
                <w:bCs/>
                <w:sz w:val="24"/>
                <w:szCs w:val="24"/>
              </w:rPr>
              <w:t>3</w:t>
            </w:r>
            <w:r>
              <w:rPr>
                <w:rFonts w:ascii="Rockwell" w:eastAsia="Times New Roman" w:hAnsi="Rockwell" w:cs="Calibri"/>
                <w:b/>
                <w:bCs/>
                <w:sz w:val="24"/>
                <w:szCs w:val="24"/>
                <w:vertAlign w:val="superscript"/>
              </w:rPr>
              <w:t>e</w:t>
            </w:r>
          </w:p>
        </w:tc>
        <w:tc>
          <w:tcPr>
            <w:tcW w:w="3352" w:type="dxa"/>
            <w:shd w:val="clear" w:color="auto" w:fill="auto"/>
          </w:tcPr>
          <w:p w14:paraId="4D45EA7F" w14:textId="77777777" w:rsidR="00733207" w:rsidRPr="00EB5B59" w:rsidRDefault="00E06378">
            <w:pPr>
              <w:spacing w:before="120" w:after="120" w:line="360" w:lineRule="auto"/>
              <w:jc w:val="both"/>
              <w:rPr>
                <w:rFonts w:ascii="Rockwell" w:eastAsia="Times New Roman" w:hAnsi="Rockwell" w:cs="Calibri"/>
                <w:sz w:val="24"/>
                <w:szCs w:val="24"/>
              </w:rPr>
            </w:pPr>
            <w:hyperlink w:history="1">
              <w:r w:rsidR="00912BAE" w:rsidRPr="00EB5B59">
                <w:rPr>
                  <w:rStyle w:val="Lienhypertexte"/>
                  <w:rFonts w:ascii="Rockwell" w:eastAsia="Times New Roman" w:hAnsi="Rockwell" w:cs="Calibri"/>
                  <w:color w:val="auto"/>
                  <w:sz w:val="24"/>
                  <w:szCs w:val="24"/>
                  <w:u w:val="none"/>
                </w:rPr>
                <w:t xml:space="preserve">www.lefaso.net </w:t>
              </w:r>
            </w:hyperlink>
          </w:p>
        </w:tc>
        <w:tc>
          <w:tcPr>
            <w:tcW w:w="1216" w:type="dxa"/>
            <w:shd w:val="clear" w:color="auto" w:fill="auto"/>
          </w:tcPr>
          <w:p w14:paraId="0E41D7C4"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128</w:t>
            </w:r>
          </w:p>
        </w:tc>
        <w:tc>
          <w:tcPr>
            <w:tcW w:w="1586" w:type="dxa"/>
            <w:shd w:val="clear" w:color="auto" w:fill="auto"/>
          </w:tcPr>
          <w:p w14:paraId="0EFF3493"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19,54%</w:t>
            </w:r>
          </w:p>
        </w:tc>
        <w:tc>
          <w:tcPr>
            <w:tcW w:w="1346" w:type="dxa"/>
            <w:shd w:val="clear" w:color="auto" w:fill="auto"/>
          </w:tcPr>
          <w:p w14:paraId="6F90B1FB"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440</w:t>
            </w:r>
          </w:p>
        </w:tc>
        <w:tc>
          <w:tcPr>
            <w:tcW w:w="1586" w:type="dxa"/>
            <w:shd w:val="clear" w:color="auto" w:fill="auto"/>
          </w:tcPr>
          <w:p w14:paraId="1D08EE6F"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32,84%</w:t>
            </w:r>
          </w:p>
        </w:tc>
      </w:tr>
      <w:tr w:rsidR="00733207" w14:paraId="1E7CDAB2" w14:textId="77777777">
        <w:trPr>
          <w:trHeight w:val="453"/>
          <w:jc w:val="center"/>
        </w:trPr>
        <w:tc>
          <w:tcPr>
            <w:tcW w:w="892" w:type="dxa"/>
            <w:shd w:val="clear" w:color="auto" w:fill="auto"/>
          </w:tcPr>
          <w:p w14:paraId="4899E192"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4</w:t>
            </w:r>
            <w:r>
              <w:rPr>
                <w:rFonts w:ascii="Rockwell" w:eastAsia="Times New Roman" w:hAnsi="Rockwell" w:cs="Calibri"/>
                <w:b/>
                <w:bCs/>
                <w:color w:val="000000"/>
                <w:sz w:val="24"/>
                <w:szCs w:val="24"/>
                <w:vertAlign w:val="superscript"/>
              </w:rPr>
              <w:t>e</w:t>
            </w:r>
          </w:p>
        </w:tc>
        <w:tc>
          <w:tcPr>
            <w:tcW w:w="3352" w:type="dxa"/>
            <w:shd w:val="clear" w:color="auto" w:fill="auto"/>
          </w:tcPr>
          <w:p w14:paraId="526F7C5F"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 xml:space="preserve">www.burkina24.com </w:t>
            </w:r>
          </w:p>
        </w:tc>
        <w:tc>
          <w:tcPr>
            <w:tcW w:w="1216" w:type="dxa"/>
            <w:shd w:val="clear" w:color="auto" w:fill="auto"/>
          </w:tcPr>
          <w:p w14:paraId="1A033CA7"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89</w:t>
            </w:r>
          </w:p>
        </w:tc>
        <w:tc>
          <w:tcPr>
            <w:tcW w:w="1586" w:type="dxa"/>
            <w:shd w:val="clear" w:color="auto" w:fill="auto"/>
          </w:tcPr>
          <w:p w14:paraId="093A9AFA"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13,59%</w:t>
            </w:r>
          </w:p>
        </w:tc>
        <w:tc>
          <w:tcPr>
            <w:tcW w:w="1346" w:type="dxa"/>
            <w:shd w:val="clear" w:color="auto" w:fill="auto"/>
          </w:tcPr>
          <w:p w14:paraId="2858272A"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177</w:t>
            </w:r>
          </w:p>
        </w:tc>
        <w:tc>
          <w:tcPr>
            <w:tcW w:w="1586" w:type="dxa"/>
            <w:shd w:val="clear" w:color="auto" w:fill="auto"/>
          </w:tcPr>
          <w:p w14:paraId="58E32E87"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13,21%</w:t>
            </w:r>
          </w:p>
        </w:tc>
      </w:tr>
      <w:tr w:rsidR="00733207" w14:paraId="3A40EA80" w14:textId="77777777">
        <w:trPr>
          <w:trHeight w:val="209"/>
          <w:jc w:val="center"/>
        </w:trPr>
        <w:tc>
          <w:tcPr>
            <w:tcW w:w="892" w:type="dxa"/>
            <w:shd w:val="clear" w:color="auto" w:fill="auto"/>
          </w:tcPr>
          <w:p w14:paraId="36DE967D"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5</w:t>
            </w:r>
            <w:r>
              <w:rPr>
                <w:rFonts w:ascii="Rockwell" w:eastAsia="Times New Roman" w:hAnsi="Rockwell" w:cs="Calibri"/>
                <w:b/>
                <w:bCs/>
                <w:color w:val="000000"/>
                <w:sz w:val="24"/>
                <w:szCs w:val="24"/>
                <w:vertAlign w:val="superscript"/>
              </w:rPr>
              <w:t>e</w:t>
            </w:r>
          </w:p>
        </w:tc>
        <w:tc>
          <w:tcPr>
            <w:tcW w:w="3352" w:type="dxa"/>
            <w:shd w:val="clear" w:color="auto" w:fill="auto"/>
          </w:tcPr>
          <w:p w14:paraId="143FF941"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 xml:space="preserve">www.infowakat.net   </w:t>
            </w:r>
          </w:p>
        </w:tc>
        <w:tc>
          <w:tcPr>
            <w:tcW w:w="1216" w:type="dxa"/>
            <w:shd w:val="clear" w:color="auto" w:fill="auto"/>
          </w:tcPr>
          <w:p w14:paraId="7549DCCC"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53</w:t>
            </w:r>
          </w:p>
        </w:tc>
        <w:tc>
          <w:tcPr>
            <w:tcW w:w="1586" w:type="dxa"/>
            <w:shd w:val="clear" w:color="auto" w:fill="auto"/>
          </w:tcPr>
          <w:p w14:paraId="2DA86211"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8,09%</w:t>
            </w:r>
          </w:p>
        </w:tc>
        <w:tc>
          <w:tcPr>
            <w:tcW w:w="1346" w:type="dxa"/>
            <w:shd w:val="clear" w:color="auto" w:fill="auto"/>
          </w:tcPr>
          <w:p w14:paraId="2FC6E5A4"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99</w:t>
            </w:r>
          </w:p>
        </w:tc>
        <w:tc>
          <w:tcPr>
            <w:tcW w:w="1586" w:type="dxa"/>
            <w:shd w:val="clear" w:color="auto" w:fill="auto"/>
          </w:tcPr>
          <w:p w14:paraId="7C6498A5" w14:textId="77777777" w:rsidR="00733207" w:rsidRDefault="00912BAE">
            <w:pPr>
              <w:spacing w:before="120" w:after="120" w:line="360" w:lineRule="auto"/>
              <w:jc w:val="both"/>
              <w:rPr>
                <w:rFonts w:ascii="Rockwell" w:eastAsia="Times New Roman" w:hAnsi="Rockwell" w:cs="Calibri"/>
                <w:bCs/>
                <w:color w:val="000000"/>
                <w:sz w:val="24"/>
                <w:szCs w:val="24"/>
              </w:rPr>
            </w:pPr>
            <w:r>
              <w:rPr>
                <w:rFonts w:ascii="Rockwell" w:eastAsia="Times New Roman" w:hAnsi="Rockwell" w:cs="Calibri"/>
                <w:bCs/>
                <w:color w:val="000000"/>
                <w:sz w:val="24"/>
                <w:szCs w:val="24"/>
              </w:rPr>
              <w:t>7,39%</w:t>
            </w:r>
          </w:p>
        </w:tc>
      </w:tr>
      <w:tr w:rsidR="00733207" w14:paraId="1689DB0E" w14:textId="77777777">
        <w:trPr>
          <w:trHeight w:val="584"/>
          <w:jc w:val="center"/>
        </w:trPr>
        <w:tc>
          <w:tcPr>
            <w:tcW w:w="4244" w:type="dxa"/>
            <w:gridSpan w:val="2"/>
            <w:shd w:val="clear" w:color="auto" w:fill="auto"/>
          </w:tcPr>
          <w:p w14:paraId="67711461"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216" w:type="dxa"/>
            <w:shd w:val="clear" w:color="auto" w:fill="auto"/>
          </w:tcPr>
          <w:p w14:paraId="7827ABF2"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655</w:t>
            </w:r>
          </w:p>
        </w:tc>
        <w:tc>
          <w:tcPr>
            <w:tcW w:w="1586" w:type="dxa"/>
            <w:shd w:val="clear" w:color="auto" w:fill="auto"/>
          </w:tcPr>
          <w:p w14:paraId="24FC5389"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346" w:type="dxa"/>
            <w:shd w:val="clear" w:color="auto" w:fill="auto"/>
          </w:tcPr>
          <w:p w14:paraId="7F1D628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1340</w:t>
            </w:r>
          </w:p>
        </w:tc>
        <w:tc>
          <w:tcPr>
            <w:tcW w:w="1586" w:type="dxa"/>
            <w:shd w:val="clear" w:color="auto" w:fill="auto"/>
          </w:tcPr>
          <w:p w14:paraId="255A5C0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p w14:paraId="0CECC91C" w14:textId="77777777" w:rsidR="00733207" w:rsidRDefault="00912BAE">
      <w:pPr>
        <w:spacing w:before="120" w:after="120" w:line="360" w:lineRule="auto"/>
        <w:ind w:left="-142"/>
        <w:jc w:val="both"/>
        <w:rPr>
          <w:rFonts w:ascii="Rockwell" w:hAnsi="Rockwell"/>
          <w:i/>
          <w:color w:val="000000" w:themeColor="text1"/>
        </w:rPr>
        <w:sectPr w:rsidR="00733207">
          <w:pgSz w:w="11906" w:h="16838"/>
          <w:pgMar w:top="1418" w:right="1418" w:bottom="709" w:left="709" w:header="709" w:footer="23" w:gutter="0"/>
          <w:cols w:space="708"/>
          <w:docGrid w:linePitch="360"/>
        </w:sectPr>
      </w:pPr>
      <w:r>
        <w:rPr>
          <w:rFonts w:ascii="Rockwell" w:hAnsi="Rockwell"/>
          <w:b/>
          <w:i/>
          <w:color w:val="000000" w:themeColor="text1"/>
          <w:u w:val="single"/>
        </w:rPr>
        <w:t xml:space="preserve"> Source </w:t>
      </w:r>
      <w:r>
        <w:rPr>
          <w:rFonts w:ascii="Rockwell" w:hAnsi="Rockwell"/>
          <w:b/>
          <w:i/>
          <w:color w:val="000000" w:themeColor="text1"/>
        </w:rPr>
        <w:t>:</w:t>
      </w:r>
      <w:r>
        <w:rPr>
          <w:rFonts w:ascii="Rockwell" w:hAnsi="Rockwell"/>
          <w:i/>
          <w:color w:val="000000" w:themeColor="text1"/>
        </w:rPr>
        <w:t xml:space="preserve"> CSC</w:t>
      </w:r>
    </w:p>
    <w:p w14:paraId="00490E65" w14:textId="77777777" w:rsidR="00733207" w:rsidRDefault="00912BAE">
      <w:pPr>
        <w:tabs>
          <w:tab w:val="left" w:pos="7375"/>
        </w:tabs>
        <w:spacing w:after="0" w:line="360" w:lineRule="auto"/>
        <w:ind w:left="284"/>
        <w:jc w:val="center"/>
        <w:rPr>
          <w:rFonts w:ascii="Rockwell" w:hAnsi="Rockwell"/>
          <w:i/>
        </w:rPr>
      </w:pPr>
      <w:r>
        <w:rPr>
          <w:rFonts w:ascii="Rockwell" w:hAnsi="Rockwell"/>
          <w:b/>
          <w:i/>
          <w:color w:val="000000"/>
          <w:u w:val="single"/>
        </w:rPr>
        <w:lastRenderedPageBreak/>
        <w:t>Graphique n°11</w:t>
      </w:r>
      <w:r>
        <w:rPr>
          <w:rFonts w:ascii="Rockwell" w:hAnsi="Rockwell"/>
          <w:b/>
          <w:i/>
          <w:color w:val="000000"/>
        </w:rPr>
        <w:t xml:space="preserve"> : </w:t>
      </w:r>
      <w:r>
        <w:rPr>
          <w:rFonts w:ascii="Rockwell" w:eastAsia="Times New Roman" w:hAnsi="Rockwell"/>
          <w:i/>
        </w:rPr>
        <w:t xml:space="preserve">Représentation </w:t>
      </w:r>
      <w:r>
        <w:rPr>
          <w:rFonts w:ascii="Rockwell" w:hAnsi="Rockwell"/>
          <w:bCs/>
          <w:i/>
        </w:rPr>
        <w:t>des médias en ligne</w:t>
      </w:r>
      <w:r>
        <w:rPr>
          <w:rFonts w:ascii="Rockwell" w:hAnsi="Rockwell"/>
          <w:i/>
        </w:rPr>
        <w:t xml:space="preserve"> selon les NA et des NI accordés aux acteurs sociopolitiques</w:t>
      </w:r>
    </w:p>
    <w:p w14:paraId="0DB9D95D" w14:textId="77777777" w:rsidR="00733207" w:rsidRDefault="00912BAE" w:rsidP="000F5D96">
      <w:pPr>
        <w:pStyle w:val="Paragraphedeliste"/>
        <w:spacing w:before="120" w:after="120" w:line="360" w:lineRule="auto"/>
        <w:ind w:left="0"/>
        <w:jc w:val="center"/>
        <w:rPr>
          <w:rFonts w:ascii="Rockwell" w:hAnsi="Rockwell"/>
          <w:b/>
          <w:color w:val="FF0000"/>
          <w:sz w:val="26"/>
          <w:szCs w:val="26"/>
        </w:rPr>
      </w:pPr>
      <w:r>
        <w:rPr>
          <w:rFonts w:ascii="Rockwell" w:hAnsi="Rockwell"/>
          <w:noProof/>
          <w:sz w:val="26"/>
          <w:szCs w:val="26"/>
          <w:lang w:eastAsia="fr-FR"/>
        </w:rPr>
        <w:drawing>
          <wp:inline distT="0" distB="0" distL="0" distR="0" wp14:anchorId="36205BA7" wp14:editId="1268E253">
            <wp:extent cx="6000750" cy="3619500"/>
            <wp:effectExtent l="0" t="0" r="0" b="0"/>
            <wp:docPr id="60" name="Graphique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DD47FC2" w14:textId="77777777" w:rsidR="00733207" w:rsidRDefault="00733207">
      <w:pPr>
        <w:pStyle w:val="Paragraphedeliste"/>
        <w:spacing w:before="120" w:after="120" w:line="360" w:lineRule="auto"/>
        <w:ind w:left="0"/>
        <w:jc w:val="both"/>
        <w:rPr>
          <w:rFonts w:ascii="Rockwell" w:hAnsi="Rockwell"/>
          <w:b/>
          <w:color w:val="FF0000"/>
          <w:sz w:val="16"/>
          <w:szCs w:val="16"/>
        </w:rPr>
      </w:pPr>
    </w:p>
    <w:p w14:paraId="4C35F572" w14:textId="77777777" w:rsidR="00733207" w:rsidRDefault="00912BAE">
      <w:pPr>
        <w:pStyle w:val="Titre7"/>
        <w:spacing w:before="120" w:after="120" w:line="360" w:lineRule="auto"/>
        <w:ind w:left="360"/>
        <w:jc w:val="center"/>
        <w:rPr>
          <w:rFonts w:ascii="Rockwell" w:hAnsi="Rockwell"/>
          <w:b/>
          <w:color w:val="auto"/>
          <w:sz w:val="24"/>
          <w:szCs w:val="24"/>
        </w:rPr>
      </w:pPr>
      <w:bookmarkStart w:id="285" w:name="_Toc175128507"/>
      <w:bookmarkStart w:id="286" w:name="_Toc161320242"/>
      <w:r>
        <w:rPr>
          <w:rFonts w:ascii="Rockwell" w:hAnsi="Rockwell"/>
          <w:b/>
          <w:color w:val="auto"/>
          <w:sz w:val="24"/>
          <w:szCs w:val="24"/>
        </w:rPr>
        <w:t>c. Classement des médias en ligne suivant le nombre d’informations thématiques citée</w:t>
      </w:r>
      <w:bookmarkEnd w:id="285"/>
      <w:bookmarkEnd w:id="286"/>
    </w:p>
    <w:p w14:paraId="4D15FCC4" w14:textId="77777777" w:rsidR="00733207" w:rsidRDefault="00912BAE">
      <w:pPr>
        <w:spacing w:before="120" w:after="120" w:line="240" w:lineRule="auto"/>
        <w:ind w:left="360"/>
        <w:jc w:val="center"/>
        <w:rPr>
          <w:rFonts w:ascii="Rockwell" w:hAnsi="Rockwell"/>
          <w:bCs/>
          <w:i/>
        </w:rPr>
      </w:pPr>
      <w:r>
        <w:rPr>
          <w:rFonts w:ascii="Rockwell" w:hAnsi="Rockwell"/>
          <w:b/>
          <w:i/>
          <w:u w:val="single"/>
        </w:rPr>
        <w:t>Tableau 12 :</w:t>
      </w:r>
      <w:r>
        <w:rPr>
          <w:rFonts w:ascii="Rockwell" w:hAnsi="Rockwell"/>
          <w:b/>
          <w:i/>
        </w:rPr>
        <w:t xml:space="preserve"> </w:t>
      </w:r>
      <w:r>
        <w:rPr>
          <w:rFonts w:ascii="Rockwell" w:hAnsi="Rockwell"/>
          <w:bCs/>
          <w:i/>
        </w:rPr>
        <w:t xml:space="preserve">Classement des médias en ligne selon les </w:t>
      </w:r>
      <w:r>
        <w:rPr>
          <w:rFonts w:ascii="Rockwell" w:hAnsi="Rockwell"/>
          <w:i/>
        </w:rPr>
        <w:t>NA et les NI</w:t>
      </w:r>
      <w:r>
        <w:rPr>
          <w:rFonts w:ascii="Rockwell" w:hAnsi="Rockwell"/>
          <w:bCs/>
          <w:i/>
        </w:rPr>
        <w:t xml:space="preserve"> accordés aux informations thématiques</w:t>
      </w:r>
    </w:p>
    <w:p w14:paraId="5F8EC9B0" w14:textId="77777777" w:rsidR="00733207" w:rsidRDefault="00733207">
      <w:pPr>
        <w:spacing w:before="120" w:after="120" w:line="240" w:lineRule="auto"/>
        <w:ind w:left="1560"/>
        <w:jc w:val="both"/>
        <w:rPr>
          <w:rFonts w:ascii="Rockwell" w:hAnsi="Rockwell"/>
          <w:b/>
          <w:bCs/>
          <w:i/>
          <w:sz w:val="10"/>
          <w:szCs w:val="10"/>
        </w:rPr>
      </w:pPr>
    </w:p>
    <w:tbl>
      <w:tblPr>
        <w:tblW w:w="8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798"/>
        <w:gridCol w:w="1543"/>
        <w:gridCol w:w="1543"/>
        <w:gridCol w:w="1543"/>
      </w:tblGrid>
      <w:tr w:rsidR="00733207" w14:paraId="729D9FC4" w14:textId="77777777">
        <w:trPr>
          <w:trHeight w:val="512"/>
          <w:jc w:val="center"/>
        </w:trPr>
        <w:tc>
          <w:tcPr>
            <w:tcW w:w="2547" w:type="dxa"/>
            <w:shd w:val="clear" w:color="auto" w:fill="auto"/>
            <w:noWrap/>
          </w:tcPr>
          <w:p w14:paraId="03DC40A7" w14:textId="77777777" w:rsidR="00733207" w:rsidRDefault="00912BAE">
            <w:pPr>
              <w:spacing w:after="0" w:line="240" w:lineRule="auto"/>
              <w:jc w:val="both"/>
              <w:rPr>
                <w:rFonts w:ascii="Rockwell" w:eastAsia="Times New Roman" w:hAnsi="Rockwell" w:cs="Calibri"/>
                <w:bCs/>
                <w:color w:val="000000"/>
                <w:sz w:val="26"/>
                <w:szCs w:val="26"/>
              </w:rPr>
            </w:pPr>
            <w:r>
              <w:rPr>
                <w:rFonts w:ascii="Rockwell" w:eastAsia="Times New Roman" w:hAnsi="Rockwell" w:cs="Calibri"/>
                <w:b/>
                <w:bCs/>
                <w:color w:val="000000"/>
                <w:sz w:val="26"/>
                <w:szCs w:val="26"/>
              </w:rPr>
              <w:t>MEDIAS</w:t>
            </w:r>
          </w:p>
        </w:tc>
        <w:tc>
          <w:tcPr>
            <w:tcW w:w="1798" w:type="dxa"/>
            <w:shd w:val="clear" w:color="auto" w:fill="auto"/>
            <w:noWrap/>
          </w:tcPr>
          <w:p w14:paraId="33A906BC"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b/>
                <w:bCs/>
                <w:color w:val="000000"/>
                <w:sz w:val="26"/>
                <w:szCs w:val="26"/>
              </w:rPr>
              <w:t>NA</w:t>
            </w:r>
          </w:p>
        </w:tc>
        <w:tc>
          <w:tcPr>
            <w:tcW w:w="1543" w:type="dxa"/>
            <w:shd w:val="clear" w:color="auto" w:fill="auto"/>
            <w:noWrap/>
          </w:tcPr>
          <w:p w14:paraId="76741962"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b/>
                <w:bCs/>
                <w:color w:val="000000"/>
                <w:sz w:val="26"/>
                <w:szCs w:val="26"/>
              </w:rPr>
              <w:t>%NA</w:t>
            </w:r>
          </w:p>
        </w:tc>
        <w:tc>
          <w:tcPr>
            <w:tcW w:w="1543" w:type="dxa"/>
            <w:shd w:val="clear" w:color="auto" w:fill="auto"/>
            <w:noWrap/>
          </w:tcPr>
          <w:p w14:paraId="5EFEC28E"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b/>
                <w:bCs/>
                <w:color w:val="000000"/>
                <w:sz w:val="26"/>
                <w:szCs w:val="26"/>
              </w:rPr>
              <w:t>NI</w:t>
            </w:r>
          </w:p>
        </w:tc>
        <w:tc>
          <w:tcPr>
            <w:tcW w:w="1543" w:type="dxa"/>
            <w:shd w:val="clear" w:color="auto" w:fill="auto"/>
            <w:noWrap/>
          </w:tcPr>
          <w:p w14:paraId="6E7AA876"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b/>
                <w:bCs/>
                <w:color w:val="000000"/>
                <w:sz w:val="26"/>
                <w:szCs w:val="26"/>
              </w:rPr>
              <w:t>%NI</w:t>
            </w:r>
          </w:p>
        </w:tc>
      </w:tr>
      <w:tr w:rsidR="00733207" w14:paraId="76BDF055" w14:textId="77777777">
        <w:trPr>
          <w:trHeight w:val="512"/>
          <w:jc w:val="center"/>
        </w:trPr>
        <w:tc>
          <w:tcPr>
            <w:tcW w:w="2547" w:type="dxa"/>
            <w:shd w:val="clear" w:color="auto" w:fill="auto"/>
            <w:noWrap/>
          </w:tcPr>
          <w:p w14:paraId="2407076F" w14:textId="77777777" w:rsidR="00733207" w:rsidRDefault="00912BAE">
            <w:pPr>
              <w:spacing w:after="0" w:line="240" w:lineRule="auto"/>
              <w:jc w:val="both"/>
              <w:rPr>
                <w:rFonts w:ascii="Rockwell" w:eastAsia="Times New Roman" w:hAnsi="Rockwell" w:cs="Calibri"/>
                <w:bCs/>
                <w:color w:val="000000"/>
                <w:sz w:val="26"/>
                <w:szCs w:val="26"/>
              </w:rPr>
            </w:pPr>
            <w:r>
              <w:rPr>
                <w:rFonts w:ascii="Rockwell" w:eastAsia="Times New Roman" w:hAnsi="Rockwell" w:cs="Calibri"/>
                <w:bCs/>
                <w:color w:val="000000"/>
                <w:sz w:val="26"/>
                <w:szCs w:val="26"/>
              </w:rPr>
              <w:t>Actualité</w:t>
            </w:r>
          </w:p>
        </w:tc>
        <w:tc>
          <w:tcPr>
            <w:tcW w:w="1798" w:type="dxa"/>
            <w:shd w:val="clear" w:color="auto" w:fill="auto"/>
            <w:noWrap/>
          </w:tcPr>
          <w:p w14:paraId="3CB4F016"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415</w:t>
            </w:r>
          </w:p>
        </w:tc>
        <w:tc>
          <w:tcPr>
            <w:tcW w:w="1543" w:type="dxa"/>
            <w:shd w:val="clear" w:color="auto" w:fill="auto"/>
            <w:noWrap/>
          </w:tcPr>
          <w:p w14:paraId="046B4FC4"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27%</w:t>
            </w:r>
          </w:p>
        </w:tc>
        <w:tc>
          <w:tcPr>
            <w:tcW w:w="1543" w:type="dxa"/>
            <w:shd w:val="clear" w:color="auto" w:fill="auto"/>
            <w:noWrap/>
          </w:tcPr>
          <w:p w14:paraId="23DFC887"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568</w:t>
            </w:r>
          </w:p>
        </w:tc>
        <w:tc>
          <w:tcPr>
            <w:tcW w:w="1543" w:type="dxa"/>
            <w:shd w:val="clear" w:color="auto" w:fill="auto"/>
            <w:noWrap/>
          </w:tcPr>
          <w:p w14:paraId="5B1CB0F8"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19%</w:t>
            </w:r>
          </w:p>
        </w:tc>
      </w:tr>
      <w:tr w:rsidR="00733207" w14:paraId="46670230" w14:textId="77777777">
        <w:trPr>
          <w:trHeight w:val="512"/>
          <w:jc w:val="center"/>
        </w:trPr>
        <w:tc>
          <w:tcPr>
            <w:tcW w:w="2547" w:type="dxa"/>
            <w:shd w:val="clear" w:color="auto" w:fill="auto"/>
            <w:noWrap/>
          </w:tcPr>
          <w:p w14:paraId="6FB9EFB3" w14:textId="77777777" w:rsidR="00733207" w:rsidRDefault="00912BAE">
            <w:pPr>
              <w:spacing w:after="0" w:line="240" w:lineRule="auto"/>
              <w:jc w:val="both"/>
              <w:rPr>
                <w:rFonts w:ascii="Rockwell" w:eastAsia="Times New Roman" w:hAnsi="Rockwell" w:cs="Calibri"/>
                <w:bCs/>
                <w:color w:val="000000"/>
                <w:sz w:val="26"/>
                <w:szCs w:val="26"/>
              </w:rPr>
            </w:pPr>
            <w:r>
              <w:rPr>
                <w:rFonts w:ascii="Rockwell" w:eastAsia="Times New Roman" w:hAnsi="Rockwell" w:cs="Calibri"/>
                <w:bCs/>
                <w:color w:val="000000"/>
                <w:sz w:val="26"/>
                <w:szCs w:val="26"/>
              </w:rPr>
              <w:t>Lefaso.net</w:t>
            </w:r>
          </w:p>
        </w:tc>
        <w:tc>
          <w:tcPr>
            <w:tcW w:w="1798" w:type="dxa"/>
            <w:shd w:val="clear" w:color="auto" w:fill="auto"/>
            <w:noWrap/>
          </w:tcPr>
          <w:p w14:paraId="4B2DABED"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392</w:t>
            </w:r>
          </w:p>
        </w:tc>
        <w:tc>
          <w:tcPr>
            <w:tcW w:w="1543" w:type="dxa"/>
            <w:shd w:val="clear" w:color="auto" w:fill="auto"/>
            <w:noWrap/>
          </w:tcPr>
          <w:p w14:paraId="32296D5A"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25%</w:t>
            </w:r>
          </w:p>
        </w:tc>
        <w:tc>
          <w:tcPr>
            <w:tcW w:w="1543" w:type="dxa"/>
            <w:shd w:val="clear" w:color="auto" w:fill="auto"/>
            <w:noWrap/>
          </w:tcPr>
          <w:p w14:paraId="7A54EFC2"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1327</w:t>
            </w:r>
          </w:p>
        </w:tc>
        <w:tc>
          <w:tcPr>
            <w:tcW w:w="1543" w:type="dxa"/>
            <w:shd w:val="clear" w:color="auto" w:fill="auto"/>
            <w:noWrap/>
          </w:tcPr>
          <w:p w14:paraId="277ECC0E"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43%</w:t>
            </w:r>
          </w:p>
        </w:tc>
      </w:tr>
      <w:tr w:rsidR="00733207" w14:paraId="2CAF8314" w14:textId="77777777">
        <w:trPr>
          <w:trHeight w:val="512"/>
          <w:jc w:val="center"/>
        </w:trPr>
        <w:tc>
          <w:tcPr>
            <w:tcW w:w="2547" w:type="dxa"/>
            <w:shd w:val="clear" w:color="auto" w:fill="auto"/>
            <w:noWrap/>
          </w:tcPr>
          <w:p w14:paraId="78CBC1C0" w14:textId="77777777" w:rsidR="00733207" w:rsidRDefault="00912BAE">
            <w:pPr>
              <w:spacing w:after="0" w:line="240" w:lineRule="auto"/>
              <w:jc w:val="both"/>
              <w:rPr>
                <w:rFonts w:ascii="Rockwell" w:eastAsia="Times New Roman" w:hAnsi="Rockwell" w:cs="Calibri"/>
                <w:bCs/>
                <w:color w:val="000000"/>
                <w:sz w:val="26"/>
                <w:szCs w:val="26"/>
              </w:rPr>
            </w:pPr>
            <w:r>
              <w:rPr>
                <w:rFonts w:ascii="Rockwell" w:eastAsia="Times New Roman" w:hAnsi="Rockwell" w:cs="Calibri"/>
                <w:bCs/>
                <w:color w:val="000000"/>
                <w:sz w:val="26"/>
                <w:szCs w:val="26"/>
              </w:rPr>
              <w:t>Burkina24.com</w:t>
            </w:r>
          </w:p>
        </w:tc>
        <w:tc>
          <w:tcPr>
            <w:tcW w:w="1798" w:type="dxa"/>
            <w:shd w:val="clear" w:color="auto" w:fill="auto"/>
            <w:noWrap/>
          </w:tcPr>
          <w:p w14:paraId="3BD4EC8B"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318</w:t>
            </w:r>
          </w:p>
        </w:tc>
        <w:tc>
          <w:tcPr>
            <w:tcW w:w="1543" w:type="dxa"/>
            <w:shd w:val="clear" w:color="auto" w:fill="auto"/>
            <w:noWrap/>
          </w:tcPr>
          <w:p w14:paraId="72836BD5"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21%</w:t>
            </w:r>
          </w:p>
        </w:tc>
        <w:tc>
          <w:tcPr>
            <w:tcW w:w="1543" w:type="dxa"/>
            <w:shd w:val="clear" w:color="auto" w:fill="auto"/>
            <w:noWrap/>
          </w:tcPr>
          <w:p w14:paraId="36CCB454"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441</w:t>
            </w:r>
          </w:p>
        </w:tc>
        <w:tc>
          <w:tcPr>
            <w:tcW w:w="1543" w:type="dxa"/>
            <w:shd w:val="clear" w:color="auto" w:fill="auto"/>
            <w:noWrap/>
          </w:tcPr>
          <w:p w14:paraId="662ECE5C"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14%</w:t>
            </w:r>
          </w:p>
        </w:tc>
      </w:tr>
      <w:tr w:rsidR="00733207" w14:paraId="7AE9A405" w14:textId="77777777">
        <w:trPr>
          <w:trHeight w:val="512"/>
          <w:jc w:val="center"/>
        </w:trPr>
        <w:tc>
          <w:tcPr>
            <w:tcW w:w="2547" w:type="dxa"/>
            <w:shd w:val="clear" w:color="auto" w:fill="auto"/>
            <w:noWrap/>
          </w:tcPr>
          <w:p w14:paraId="64446011" w14:textId="77777777" w:rsidR="00733207" w:rsidRDefault="00912BAE">
            <w:pPr>
              <w:spacing w:after="0" w:line="240" w:lineRule="auto"/>
              <w:jc w:val="both"/>
              <w:rPr>
                <w:rFonts w:ascii="Rockwell" w:eastAsia="Times New Roman" w:hAnsi="Rockwell" w:cs="Calibri"/>
                <w:bCs/>
                <w:color w:val="000000"/>
                <w:sz w:val="26"/>
                <w:szCs w:val="26"/>
              </w:rPr>
            </w:pPr>
            <w:r>
              <w:rPr>
                <w:rFonts w:ascii="Rockwell" w:eastAsia="Times New Roman" w:hAnsi="Rockwell" w:cs="Calibri"/>
                <w:bCs/>
                <w:color w:val="000000"/>
                <w:sz w:val="26"/>
                <w:szCs w:val="26"/>
              </w:rPr>
              <w:t>Minute.bf</w:t>
            </w:r>
          </w:p>
        </w:tc>
        <w:tc>
          <w:tcPr>
            <w:tcW w:w="1798" w:type="dxa"/>
            <w:shd w:val="clear" w:color="auto" w:fill="auto"/>
            <w:noWrap/>
          </w:tcPr>
          <w:p w14:paraId="2E266928"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305</w:t>
            </w:r>
          </w:p>
        </w:tc>
        <w:tc>
          <w:tcPr>
            <w:tcW w:w="1543" w:type="dxa"/>
            <w:shd w:val="clear" w:color="auto" w:fill="auto"/>
            <w:noWrap/>
          </w:tcPr>
          <w:p w14:paraId="129CFC79"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20%</w:t>
            </w:r>
          </w:p>
        </w:tc>
        <w:tc>
          <w:tcPr>
            <w:tcW w:w="1543" w:type="dxa"/>
            <w:shd w:val="clear" w:color="auto" w:fill="auto"/>
            <w:noWrap/>
          </w:tcPr>
          <w:p w14:paraId="2B8E78BD"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523</w:t>
            </w:r>
          </w:p>
        </w:tc>
        <w:tc>
          <w:tcPr>
            <w:tcW w:w="1543" w:type="dxa"/>
            <w:shd w:val="clear" w:color="auto" w:fill="auto"/>
            <w:noWrap/>
          </w:tcPr>
          <w:p w14:paraId="13BAA8C7"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17%</w:t>
            </w:r>
          </w:p>
        </w:tc>
      </w:tr>
      <w:tr w:rsidR="00733207" w14:paraId="682B05ED" w14:textId="77777777">
        <w:trPr>
          <w:trHeight w:val="512"/>
          <w:jc w:val="center"/>
        </w:trPr>
        <w:tc>
          <w:tcPr>
            <w:tcW w:w="2547" w:type="dxa"/>
            <w:shd w:val="clear" w:color="auto" w:fill="auto"/>
            <w:noWrap/>
          </w:tcPr>
          <w:p w14:paraId="704649D3" w14:textId="77777777" w:rsidR="00733207" w:rsidRDefault="00912BAE">
            <w:pPr>
              <w:spacing w:after="0" w:line="240" w:lineRule="auto"/>
              <w:jc w:val="both"/>
              <w:rPr>
                <w:rFonts w:ascii="Rockwell" w:eastAsia="Times New Roman" w:hAnsi="Rockwell" w:cs="Calibri"/>
                <w:bCs/>
                <w:color w:val="000000"/>
                <w:sz w:val="26"/>
                <w:szCs w:val="26"/>
              </w:rPr>
            </w:pPr>
            <w:r>
              <w:rPr>
                <w:rFonts w:ascii="Rockwell" w:eastAsia="Times New Roman" w:hAnsi="Rockwell" w:cs="Calibri"/>
                <w:bCs/>
                <w:color w:val="000000"/>
                <w:sz w:val="26"/>
                <w:szCs w:val="26"/>
              </w:rPr>
              <w:t>Infowakat.net</w:t>
            </w:r>
          </w:p>
        </w:tc>
        <w:tc>
          <w:tcPr>
            <w:tcW w:w="1798" w:type="dxa"/>
            <w:shd w:val="clear" w:color="auto" w:fill="auto"/>
            <w:noWrap/>
          </w:tcPr>
          <w:p w14:paraId="538B2727"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112</w:t>
            </w:r>
          </w:p>
        </w:tc>
        <w:tc>
          <w:tcPr>
            <w:tcW w:w="1543" w:type="dxa"/>
            <w:shd w:val="clear" w:color="auto" w:fill="auto"/>
            <w:noWrap/>
          </w:tcPr>
          <w:p w14:paraId="1C69D49E"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7%</w:t>
            </w:r>
          </w:p>
        </w:tc>
        <w:tc>
          <w:tcPr>
            <w:tcW w:w="1543" w:type="dxa"/>
            <w:shd w:val="clear" w:color="auto" w:fill="auto"/>
            <w:noWrap/>
          </w:tcPr>
          <w:p w14:paraId="230E75E3"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208</w:t>
            </w:r>
          </w:p>
        </w:tc>
        <w:tc>
          <w:tcPr>
            <w:tcW w:w="1543" w:type="dxa"/>
            <w:shd w:val="clear" w:color="auto" w:fill="auto"/>
            <w:noWrap/>
          </w:tcPr>
          <w:p w14:paraId="7CCD39B0" w14:textId="77777777" w:rsidR="00733207" w:rsidRDefault="00912BAE">
            <w:pPr>
              <w:spacing w:after="0" w:line="240" w:lineRule="auto"/>
              <w:jc w:val="both"/>
              <w:rPr>
                <w:rFonts w:ascii="Rockwell" w:eastAsia="Times New Roman" w:hAnsi="Rockwell" w:cs="Calibri"/>
                <w:color w:val="000000"/>
                <w:sz w:val="26"/>
                <w:szCs w:val="26"/>
              </w:rPr>
            </w:pPr>
            <w:r>
              <w:rPr>
                <w:rFonts w:ascii="Rockwell" w:eastAsia="Times New Roman" w:hAnsi="Rockwell" w:cs="Calibri"/>
                <w:color w:val="000000"/>
                <w:sz w:val="26"/>
                <w:szCs w:val="26"/>
              </w:rPr>
              <w:t>7%</w:t>
            </w:r>
          </w:p>
        </w:tc>
      </w:tr>
      <w:tr w:rsidR="00733207" w14:paraId="59BB634C" w14:textId="77777777">
        <w:trPr>
          <w:trHeight w:val="512"/>
          <w:jc w:val="center"/>
        </w:trPr>
        <w:tc>
          <w:tcPr>
            <w:tcW w:w="2547" w:type="dxa"/>
            <w:shd w:val="clear" w:color="auto" w:fill="auto"/>
            <w:noWrap/>
          </w:tcPr>
          <w:p w14:paraId="558F5201" w14:textId="77777777" w:rsidR="00733207" w:rsidRDefault="00912BAE">
            <w:pPr>
              <w:spacing w:after="0" w:line="240" w:lineRule="auto"/>
              <w:jc w:val="both"/>
              <w:rPr>
                <w:rFonts w:ascii="Rockwell" w:eastAsia="Times New Roman" w:hAnsi="Rockwell" w:cs="Calibri"/>
                <w:b/>
                <w:color w:val="000000"/>
                <w:sz w:val="26"/>
                <w:szCs w:val="26"/>
              </w:rPr>
            </w:pPr>
            <w:r>
              <w:rPr>
                <w:rFonts w:ascii="Rockwell" w:eastAsia="Times New Roman" w:hAnsi="Rockwell" w:cs="Calibri"/>
                <w:b/>
                <w:color w:val="000000"/>
                <w:sz w:val="26"/>
                <w:szCs w:val="26"/>
              </w:rPr>
              <w:t>Total</w:t>
            </w:r>
          </w:p>
        </w:tc>
        <w:tc>
          <w:tcPr>
            <w:tcW w:w="1798" w:type="dxa"/>
            <w:shd w:val="clear" w:color="auto" w:fill="auto"/>
            <w:noWrap/>
          </w:tcPr>
          <w:p w14:paraId="7649C255" w14:textId="77777777" w:rsidR="00733207" w:rsidRDefault="00912BAE">
            <w:pPr>
              <w:spacing w:after="0" w:line="24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1542</w:t>
            </w:r>
          </w:p>
        </w:tc>
        <w:tc>
          <w:tcPr>
            <w:tcW w:w="1543" w:type="dxa"/>
            <w:shd w:val="clear" w:color="auto" w:fill="auto"/>
            <w:noWrap/>
          </w:tcPr>
          <w:p w14:paraId="06B12C25" w14:textId="77777777" w:rsidR="00733207" w:rsidRDefault="00912BAE">
            <w:pPr>
              <w:spacing w:after="0" w:line="24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100%</w:t>
            </w:r>
          </w:p>
        </w:tc>
        <w:tc>
          <w:tcPr>
            <w:tcW w:w="1543" w:type="dxa"/>
            <w:shd w:val="clear" w:color="auto" w:fill="auto"/>
            <w:noWrap/>
          </w:tcPr>
          <w:p w14:paraId="55F74542" w14:textId="77777777" w:rsidR="00733207" w:rsidRDefault="00912BAE">
            <w:pPr>
              <w:spacing w:after="0" w:line="24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3067</w:t>
            </w:r>
          </w:p>
        </w:tc>
        <w:tc>
          <w:tcPr>
            <w:tcW w:w="1543" w:type="dxa"/>
            <w:shd w:val="clear" w:color="auto" w:fill="auto"/>
            <w:noWrap/>
          </w:tcPr>
          <w:p w14:paraId="0A28C933" w14:textId="77777777" w:rsidR="00733207" w:rsidRDefault="00912BAE">
            <w:pPr>
              <w:spacing w:after="0" w:line="240" w:lineRule="auto"/>
              <w:jc w:val="both"/>
              <w:rPr>
                <w:rFonts w:ascii="Rockwell" w:eastAsia="Times New Roman" w:hAnsi="Rockwell" w:cs="Calibri"/>
                <w:b/>
                <w:bCs/>
                <w:color w:val="000000"/>
                <w:sz w:val="26"/>
                <w:szCs w:val="26"/>
              </w:rPr>
            </w:pPr>
            <w:r>
              <w:rPr>
                <w:rFonts w:ascii="Rockwell" w:eastAsia="Times New Roman" w:hAnsi="Rockwell" w:cs="Calibri"/>
                <w:b/>
                <w:bCs/>
                <w:color w:val="000000"/>
                <w:sz w:val="26"/>
                <w:szCs w:val="26"/>
              </w:rPr>
              <w:t>100%</w:t>
            </w:r>
          </w:p>
        </w:tc>
      </w:tr>
    </w:tbl>
    <w:p w14:paraId="32499939" w14:textId="77777777" w:rsidR="00733207" w:rsidRDefault="00912BAE">
      <w:pPr>
        <w:spacing w:before="120" w:after="120" w:line="360" w:lineRule="auto"/>
        <w:ind w:left="426"/>
        <w:jc w:val="both"/>
        <w:rPr>
          <w:rFonts w:ascii="Rockwell" w:hAnsi="Rockwell"/>
          <w:i/>
          <w:color w:val="000000" w:themeColor="text1"/>
        </w:rPr>
        <w:sectPr w:rsidR="00733207">
          <w:pgSz w:w="11906" w:h="16838"/>
          <w:pgMar w:top="1418" w:right="1418" w:bottom="709" w:left="709" w:header="709" w:footer="23" w:gutter="0"/>
          <w:cols w:space="708"/>
          <w:docGrid w:linePitch="360"/>
        </w:sectPr>
      </w:pPr>
      <w:r>
        <w:rPr>
          <w:rFonts w:ascii="Rockwell" w:hAnsi="Rockwell"/>
          <w:b/>
          <w:i/>
          <w:color w:val="000000" w:themeColor="text1"/>
          <w:u w:val="single"/>
        </w:rPr>
        <w:t>Source </w:t>
      </w:r>
      <w:r>
        <w:rPr>
          <w:rFonts w:ascii="Rockwell" w:hAnsi="Rockwell"/>
          <w:b/>
          <w:i/>
          <w:color w:val="000000" w:themeColor="text1"/>
        </w:rPr>
        <w:t>:</w:t>
      </w:r>
      <w:r>
        <w:rPr>
          <w:rFonts w:ascii="Rockwell" w:hAnsi="Rockwell"/>
          <w:i/>
          <w:color w:val="000000" w:themeColor="text1"/>
        </w:rPr>
        <w:t xml:space="preserve"> CSC</w:t>
      </w:r>
    </w:p>
    <w:p w14:paraId="35740E7A" w14:textId="4A51B47B" w:rsidR="00733207" w:rsidRDefault="00912BAE">
      <w:pPr>
        <w:tabs>
          <w:tab w:val="left" w:pos="1985"/>
        </w:tabs>
        <w:spacing w:before="120" w:after="120" w:line="240" w:lineRule="auto"/>
        <w:ind w:left="1985" w:hanging="992"/>
        <w:jc w:val="center"/>
        <w:rPr>
          <w:rFonts w:ascii="Rockwell" w:eastAsia="Times New Roman" w:hAnsi="Rockwell"/>
          <w:i/>
        </w:rPr>
      </w:pPr>
      <w:r>
        <w:rPr>
          <w:rFonts w:ascii="Rockwell" w:hAnsi="Rockwell"/>
          <w:b/>
          <w:i/>
          <w:color w:val="000000"/>
          <w:u w:val="single"/>
        </w:rPr>
        <w:lastRenderedPageBreak/>
        <w:t>Graphique n°12</w:t>
      </w:r>
      <w:r>
        <w:rPr>
          <w:rFonts w:ascii="Rockwell" w:hAnsi="Rockwell"/>
          <w:b/>
          <w:i/>
          <w:color w:val="000000"/>
        </w:rPr>
        <w:t xml:space="preserve"> : </w:t>
      </w:r>
      <w:r>
        <w:rPr>
          <w:rFonts w:ascii="Rockwell" w:eastAsia="Times New Roman" w:hAnsi="Rockwell"/>
          <w:i/>
        </w:rPr>
        <w:t xml:space="preserve">Représentation des médias en ligne selon les NA et les NI </w:t>
      </w:r>
      <w:r>
        <w:rPr>
          <w:rFonts w:ascii="Rockwell" w:hAnsi="Rockwell"/>
          <w:bCs/>
          <w:i/>
        </w:rPr>
        <w:t xml:space="preserve">accordés aux </w:t>
      </w:r>
      <w:r w:rsidR="00EB5B59">
        <w:rPr>
          <w:rFonts w:ascii="Rockwell" w:hAnsi="Rockwell"/>
          <w:bCs/>
          <w:i/>
        </w:rPr>
        <w:t xml:space="preserve">informations </w:t>
      </w:r>
      <w:r>
        <w:rPr>
          <w:rFonts w:ascii="Rockwell" w:hAnsi="Rockwell"/>
          <w:bCs/>
          <w:i/>
        </w:rPr>
        <w:t>thématiques</w:t>
      </w:r>
    </w:p>
    <w:p w14:paraId="405C25A7" w14:textId="77777777" w:rsidR="00733207" w:rsidRDefault="00733207">
      <w:pPr>
        <w:tabs>
          <w:tab w:val="left" w:pos="2116"/>
        </w:tabs>
        <w:spacing w:before="120" w:after="120" w:line="240" w:lineRule="auto"/>
        <w:ind w:left="993"/>
        <w:jc w:val="both"/>
        <w:rPr>
          <w:rFonts w:ascii="Rockwell" w:hAnsi="Rockwell"/>
          <w:bCs/>
        </w:rPr>
      </w:pPr>
    </w:p>
    <w:p w14:paraId="2A1D4E83" w14:textId="77777777" w:rsidR="00733207" w:rsidRDefault="00912BAE">
      <w:pPr>
        <w:tabs>
          <w:tab w:val="left" w:pos="2116"/>
        </w:tabs>
        <w:spacing w:before="120" w:after="120" w:line="360" w:lineRule="auto"/>
        <w:ind w:left="360"/>
        <w:jc w:val="both"/>
        <w:rPr>
          <w:rFonts w:ascii="Rockwell" w:eastAsia="Times New Roman" w:hAnsi="Rockwell"/>
          <w:sz w:val="26"/>
          <w:szCs w:val="26"/>
        </w:rPr>
      </w:pPr>
      <w:r>
        <w:rPr>
          <w:rFonts w:ascii="Rockwell" w:hAnsi="Rockwell"/>
          <w:noProof/>
          <w:sz w:val="26"/>
          <w:szCs w:val="26"/>
          <w:lang w:eastAsia="fr-FR"/>
        </w:rPr>
        <w:drawing>
          <wp:inline distT="0" distB="0" distL="0" distR="0" wp14:anchorId="5CBF36A9" wp14:editId="2EA0C730">
            <wp:extent cx="5997575" cy="4295775"/>
            <wp:effectExtent l="0" t="0" r="3175" b="9525"/>
            <wp:docPr id="61" name="Graphique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4159BF12" w14:textId="77777777" w:rsidR="00733207" w:rsidRDefault="00912BAE">
      <w:pPr>
        <w:tabs>
          <w:tab w:val="left" w:pos="3456"/>
        </w:tabs>
        <w:spacing w:before="120" w:after="120" w:line="360" w:lineRule="auto"/>
        <w:ind w:left="360"/>
        <w:jc w:val="both"/>
        <w:rPr>
          <w:rFonts w:ascii="Rockwell" w:eastAsia="Times New Roman" w:hAnsi="Rockwell"/>
          <w:sz w:val="26"/>
          <w:szCs w:val="26"/>
        </w:rPr>
      </w:pPr>
      <w:r>
        <w:rPr>
          <w:rFonts w:ascii="Rockwell" w:eastAsia="Times New Roman" w:hAnsi="Rockwell"/>
          <w:sz w:val="26"/>
          <w:szCs w:val="26"/>
        </w:rPr>
        <w:tab/>
      </w:r>
    </w:p>
    <w:p w14:paraId="2B03FA52" w14:textId="77777777" w:rsidR="00733207" w:rsidRDefault="00912BAE">
      <w:pPr>
        <w:pStyle w:val="Titre6"/>
        <w:spacing w:before="240" w:after="240" w:line="360" w:lineRule="auto"/>
        <w:jc w:val="center"/>
        <w:rPr>
          <w:rFonts w:ascii="Rockwell" w:hAnsi="Rockwell"/>
          <w:b/>
          <w:i/>
          <w:color w:val="auto"/>
          <w:sz w:val="26"/>
          <w:szCs w:val="26"/>
        </w:rPr>
      </w:pPr>
      <w:bookmarkStart w:id="287" w:name="_Toc169855168"/>
      <w:bookmarkStart w:id="288" w:name="_Toc161320243"/>
      <w:bookmarkStart w:id="289" w:name="_Toc175128508"/>
      <w:r>
        <w:rPr>
          <w:rFonts w:ascii="Rockwell" w:hAnsi="Rockwell"/>
          <w:b/>
          <w:i/>
          <w:color w:val="auto"/>
          <w:sz w:val="26"/>
          <w:szCs w:val="26"/>
        </w:rPr>
        <w:t>2.1.3. Analyse des données</w:t>
      </w:r>
      <w:bookmarkEnd w:id="287"/>
      <w:bookmarkEnd w:id="288"/>
      <w:bookmarkEnd w:id="289"/>
    </w:p>
    <w:p w14:paraId="52A6DB07" w14:textId="77777777" w:rsidR="00733207" w:rsidRDefault="00733207">
      <w:pPr>
        <w:pStyle w:val="Paragraphedeliste"/>
        <w:spacing w:before="120" w:after="120" w:line="360" w:lineRule="auto"/>
        <w:ind w:left="0"/>
        <w:jc w:val="both"/>
        <w:rPr>
          <w:rFonts w:ascii="Rockwell" w:hAnsi="Rockwell"/>
          <w:sz w:val="10"/>
          <w:szCs w:val="10"/>
        </w:rPr>
      </w:pPr>
    </w:p>
    <w:p w14:paraId="662D8112" w14:textId="77777777" w:rsidR="00733207" w:rsidRDefault="00912BAE">
      <w:pPr>
        <w:pStyle w:val="Paragraphedeliste"/>
        <w:spacing w:before="120" w:after="120" w:line="360" w:lineRule="auto"/>
        <w:ind w:left="-142"/>
        <w:jc w:val="both"/>
        <w:rPr>
          <w:rFonts w:ascii="Rockwell" w:hAnsi="Rockwell"/>
          <w:sz w:val="26"/>
          <w:szCs w:val="26"/>
        </w:rPr>
      </w:pPr>
      <w:r>
        <w:rPr>
          <w:rFonts w:ascii="Rockwell" w:hAnsi="Rockwell"/>
          <w:sz w:val="26"/>
          <w:szCs w:val="26"/>
        </w:rPr>
        <w:t xml:space="preserve">Le monitoring s’est intéressé, dans un premier temps, au traitement de l’actualité politique dans les médias en ligne. Il ressort de l’observation qu’en dépit de la suspension de leurs activités, 14 partis ont bénéficié de la publication de 74 articles et de 97 illustrations. </w:t>
      </w:r>
    </w:p>
    <w:p w14:paraId="7ABD6E18" w14:textId="77777777" w:rsidR="00733207" w:rsidRDefault="00912BAE">
      <w:pPr>
        <w:pStyle w:val="Paragraphedeliste"/>
        <w:spacing w:before="120" w:after="120" w:line="360" w:lineRule="auto"/>
        <w:ind w:left="-142"/>
        <w:jc w:val="both"/>
        <w:rPr>
          <w:rFonts w:ascii="Rockwell" w:hAnsi="Rockwell"/>
          <w:sz w:val="26"/>
          <w:szCs w:val="26"/>
        </w:rPr>
      </w:pPr>
      <w:r>
        <w:rPr>
          <w:rFonts w:ascii="Rockwell" w:hAnsi="Rockwell"/>
          <w:sz w:val="26"/>
          <w:szCs w:val="26"/>
        </w:rPr>
        <w:t>Avec 25,68% de NA et 22,68% de NI, l’UPC occupe la première place. Il est suivi du CDP (17,57% de NA et 20,62% de NI) et de l’UNIR/MPS (14,86% de NA et 19,59% de NI).</w:t>
      </w:r>
    </w:p>
    <w:p w14:paraId="503597C3" w14:textId="77777777" w:rsidR="00733207" w:rsidRDefault="00912BAE">
      <w:pPr>
        <w:pStyle w:val="Paragraphedeliste"/>
        <w:spacing w:before="120" w:after="120" w:line="360" w:lineRule="auto"/>
        <w:ind w:left="-142"/>
        <w:jc w:val="both"/>
        <w:rPr>
          <w:rFonts w:ascii="Rockwell" w:hAnsi="Rockwell"/>
          <w:sz w:val="26"/>
          <w:szCs w:val="26"/>
        </w:rPr>
      </w:pPr>
      <w:r>
        <w:rPr>
          <w:rFonts w:ascii="Rockwell" w:hAnsi="Rockwell"/>
          <w:sz w:val="26"/>
          <w:szCs w:val="26"/>
        </w:rPr>
        <w:t xml:space="preserve">En second lieu, l’observation du contenu des médias en ligne a concerné les activités des acteurs sociopolitiques. 655 articles et 1340 illustrations leur ont été consacrés. </w:t>
      </w:r>
    </w:p>
    <w:p w14:paraId="330BF639" w14:textId="3B85AD6C" w:rsidR="00733207" w:rsidRDefault="00912BAE">
      <w:pPr>
        <w:pStyle w:val="Paragraphedeliste"/>
        <w:spacing w:before="120" w:after="120" w:line="360" w:lineRule="auto"/>
        <w:ind w:left="-142"/>
        <w:jc w:val="both"/>
        <w:rPr>
          <w:rFonts w:ascii="Rockwell" w:hAnsi="Rockwell"/>
          <w:sz w:val="26"/>
          <w:szCs w:val="26"/>
        </w:rPr>
      </w:pPr>
      <w:r>
        <w:rPr>
          <w:rFonts w:ascii="Rockwell" w:hAnsi="Rockwell"/>
          <w:sz w:val="26"/>
          <w:szCs w:val="26"/>
        </w:rPr>
        <w:lastRenderedPageBreak/>
        <w:t>Parmi les acteurs sociopolitiques qui se sont le plus illustrés, le Gouvernement vient en tête avec 50,53% de NA et 49,55% de NI. A la deuxième place</w:t>
      </w:r>
      <w:r w:rsidR="00EB5B59">
        <w:rPr>
          <w:rFonts w:ascii="Rockwell" w:hAnsi="Rockwell"/>
          <w:sz w:val="26"/>
          <w:szCs w:val="26"/>
        </w:rPr>
        <w:t>,</w:t>
      </w:r>
      <w:r>
        <w:rPr>
          <w:rFonts w:ascii="Rockwell" w:hAnsi="Rockwell"/>
          <w:sz w:val="26"/>
          <w:szCs w:val="26"/>
        </w:rPr>
        <w:t xml:space="preserve"> se positionnent les OSC (22,14 de NA et 23,66% de NI), puis la Présidence du Faso (16,34% de NA et 16,04 de NI). </w:t>
      </w:r>
    </w:p>
    <w:p w14:paraId="6CF1AF23" w14:textId="77777777" w:rsidR="00733207" w:rsidRDefault="00912BAE">
      <w:pPr>
        <w:pStyle w:val="Paragraphedeliste"/>
        <w:spacing w:before="120" w:after="120" w:line="360" w:lineRule="auto"/>
        <w:ind w:left="-142"/>
        <w:jc w:val="both"/>
        <w:rPr>
          <w:rFonts w:ascii="Rockwell" w:hAnsi="Rockwell"/>
          <w:sz w:val="26"/>
          <w:szCs w:val="26"/>
        </w:rPr>
      </w:pPr>
      <w:r>
        <w:rPr>
          <w:rFonts w:ascii="Rockwell" w:hAnsi="Rockwell"/>
          <w:sz w:val="26"/>
          <w:szCs w:val="26"/>
        </w:rPr>
        <w:t xml:space="preserve">Concernant le classement des cinq (05) médias en ligne, </w:t>
      </w:r>
      <w:r>
        <w:rPr>
          <w:rFonts w:ascii="Rockwell" w:hAnsi="Rockwell"/>
          <w:i/>
          <w:sz w:val="26"/>
          <w:szCs w:val="26"/>
        </w:rPr>
        <w:t>Actualite.bf</w:t>
      </w:r>
      <w:r>
        <w:rPr>
          <w:rFonts w:ascii="Rockwell" w:hAnsi="Rockwell"/>
          <w:sz w:val="26"/>
          <w:szCs w:val="26"/>
        </w:rPr>
        <w:t xml:space="preserve"> se positionne en tête avec 32,06% de NA et 21,87% de NI. Vient ensuite </w:t>
      </w:r>
      <w:r>
        <w:rPr>
          <w:rFonts w:ascii="Rockwell" w:hAnsi="Rockwell"/>
          <w:i/>
          <w:sz w:val="26"/>
          <w:szCs w:val="26"/>
        </w:rPr>
        <w:t>Minute.bf,</w:t>
      </w:r>
      <w:r>
        <w:rPr>
          <w:rFonts w:ascii="Rockwell" w:hAnsi="Rockwell"/>
          <w:sz w:val="26"/>
          <w:szCs w:val="26"/>
        </w:rPr>
        <w:t xml:space="preserve"> suivie de </w:t>
      </w:r>
      <w:r>
        <w:rPr>
          <w:rFonts w:ascii="Rockwell" w:hAnsi="Rockwell"/>
          <w:i/>
          <w:sz w:val="26"/>
          <w:szCs w:val="26"/>
        </w:rPr>
        <w:t>lefaso.net</w:t>
      </w:r>
      <w:r>
        <w:rPr>
          <w:rFonts w:ascii="Rockwell" w:hAnsi="Rockwell"/>
          <w:sz w:val="26"/>
          <w:szCs w:val="26"/>
        </w:rPr>
        <w:t xml:space="preserve">, de </w:t>
      </w:r>
      <w:r>
        <w:rPr>
          <w:rFonts w:ascii="Rockwell" w:hAnsi="Rockwell"/>
          <w:i/>
          <w:sz w:val="26"/>
          <w:szCs w:val="26"/>
        </w:rPr>
        <w:t>burkina24.com</w:t>
      </w:r>
      <w:r>
        <w:rPr>
          <w:rFonts w:ascii="Rockwell" w:hAnsi="Rockwell"/>
          <w:sz w:val="26"/>
          <w:szCs w:val="26"/>
        </w:rPr>
        <w:t xml:space="preserve"> et de </w:t>
      </w:r>
      <w:r>
        <w:rPr>
          <w:rFonts w:ascii="Rockwell" w:hAnsi="Rockwell"/>
          <w:i/>
          <w:sz w:val="26"/>
          <w:szCs w:val="26"/>
        </w:rPr>
        <w:t>Infowakat.net</w:t>
      </w:r>
      <w:r>
        <w:rPr>
          <w:rFonts w:ascii="Rockwell" w:hAnsi="Rockwell"/>
          <w:sz w:val="26"/>
          <w:szCs w:val="26"/>
        </w:rPr>
        <w:t xml:space="preserve">. </w:t>
      </w:r>
    </w:p>
    <w:p w14:paraId="0ED8C808" w14:textId="77777777" w:rsidR="00733207" w:rsidRDefault="00733207">
      <w:pPr>
        <w:pStyle w:val="Paragraphedeliste"/>
        <w:spacing w:before="120" w:after="120" w:line="360" w:lineRule="auto"/>
        <w:ind w:left="-142"/>
        <w:jc w:val="both"/>
        <w:rPr>
          <w:rFonts w:ascii="Rockwell" w:hAnsi="Rockwell"/>
          <w:sz w:val="10"/>
          <w:szCs w:val="10"/>
        </w:rPr>
      </w:pPr>
    </w:p>
    <w:p w14:paraId="2D7E8731" w14:textId="77777777" w:rsidR="00733207" w:rsidRDefault="00912BAE">
      <w:pPr>
        <w:pStyle w:val="Paragraphedeliste"/>
        <w:spacing w:before="120" w:after="120" w:line="360" w:lineRule="auto"/>
        <w:ind w:left="-142"/>
        <w:contextualSpacing w:val="0"/>
        <w:jc w:val="both"/>
        <w:rPr>
          <w:rFonts w:ascii="Rockwell" w:hAnsi="Rockwell"/>
          <w:sz w:val="26"/>
          <w:szCs w:val="26"/>
        </w:rPr>
      </w:pPr>
      <w:r>
        <w:rPr>
          <w:rFonts w:ascii="Rockwell" w:hAnsi="Rockwell"/>
          <w:sz w:val="26"/>
          <w:szCs w:val="26"/>
        </w:rPr>
        <w:t xml:space="preserve">Enfin, dans le cadre de l’observation de l’actualité thématique, il ressort que 1542 articles et 3067 illustrations ont été consacrés aux huit (08) thèmes retenus. Si la presse écrite a accordé une large part au traitement des thèmes liés à la </w:t>
      </w:r>
      <w:r>
        <w:rPr>
          <w:rFonts w:ascii="Rockwell" w:hAnsi="Rockwell"/>
          <w:i/>
          <w:sz w:val="26"/>
          <w:szCs w:val="26"/>
        </w:rPr>
        <w:t>politique</w:t>
      </w:r>
      <w:r>
        <w:rPr>
          <w:rFonts w:ascii="Rockwell" w:hAnsi="Rockwell"/>
          <w:sz w:val="26"/>
          <w:szCs w:val="26"/>
        </w:rPr>
        <w:t xml:space="preserve"> et à la</w:t>
      </w:r>
      <w:r>
        <w:rPr>
          <w:rFonts w:ascii="Rockwell" w:hAnsi="Rockwell"/>
          <w:i/>
          <w:sz w:val="26"/>
          <w:szCs w:val="26"/>
        </w:rPr>
        <w:t xml:space="preserve"> sécurité,</w:t>
      </w:r>
      <w:r>
        <w:rPr>
          <w:rFonts w:ascii="Rockwell" w:hAnsi="Rockwell"/>
          <w:sz w:val="26"/>
          <w:szCs w:val="26"/>
        </w:rPr>
        <w:t xml:space="preserve"> les médias en ligne observés, quant à eux, se sont intéressés prioritairement à la </w:t>
      </w:r>
      <w:r>
        <w:rPr>
          <w:rFonts w:ascii="Rockwell" w:hAnsi="Rockwell"/>
          <w:i/>
          <w:sz w:val="26"/>
          <w:szCs w:val="26"/>
        </w:rPr>
        <w:t>religion</w:t>
      </w:r>
      <w:r>
        <w:rPr>
          <w:rFonts w:ascii="Rockwell" w:hAnsi="Rockwell"/>
          <w:sz w:val="26"/>
          <w:szCs w:val="26"/>
        </w:rPr>
        <w:t xml:space="preserve"> et à la </w:t>
      </w:r>
      <w:r>
        <w:rPr>
          <w:rFonts w:ascii="Rockwell" w:hAnsi="Rockwell"/>
          <w:i/>
          <w:sz w:val="26"/>
          <w:szCs w:val="26"/>
        </w:rPr>
        <w:t>santé</w:t>
      </w:r>
      <w:r>
        <w:rPr>
          <w:rFonts w:ascii="Rockwell" w:hAnsi="Rockwell"/>
          <w:sz w:val="26"/>
          <w:szCs w:val="26"/>
        </w:rPr>
        <w:t xml:space="preserve">. Ce qui représente respectivement 30,93% et 30,61% de NA et 37,27% et 24,78% de NI. </w:t>
      </w:r>
    </w:p>
    <w:p w14:paraId="6A1523B0" w14:textId="77777777" w:rsidR="00733207" w:rsidRDefault="00912BAE">
      <w:pPr>
        <w:pStyle w:val="Paragraphedeliste"/>
        <w:spacing w:before="120" w:after="120" w:line="360" w:lineRule="auto"/>
        <w:ind w:left="-142"/>
        <w:contextualSpacing w:val="0"/>
        <w:jc w:val="both"/>
        <w:rPr>
          <w:rFonts w:ascii="Rockwell" w:hAnsi="Rockwell"/>
          <w:sz w:val="26"/>
          <w:szCs w:val="26"/>
        </w:rPr>
      </w:pPr>
      <w:r>
        <w:rPr>
          <w:rFonts w:ascii="Rockwell" w:hAnsi="Rockwell"/>
          <w:sz w:val="26"/>
          <w:szCs w:val="26"/>
        </w:rPr>
        <w:t xml:space="preserve">Les autres thèmes abordés sont, par ordre décroissant, </w:t>
      </w:r>
      <w:r>
        <w:rPr>
          <w:rFonts w:ascii="Rockwell" w:hAnsi="Rockwell"/>
          <w:i/>
          <w:sz w:val="26"/>
          <w:szCs w:val="26"/>
        </w:rPr>
        <w:t>l’économie</w:t>
      </w:r>
      <w:r>
        <w:rPr>
          <w:rFonts w:ascii="Rockwell" w:hAnsi="Rockwell"/>
          <w:sz w:val="26"/>
          <w:szCs w:val="26"/>
        </w:rPr>
        <w:t xml:space="preserve">, la </w:t>
      </w:r>
      <w:r>
        <w:rPr>
          <w:rFonts w:ascii="Rockwell" w:hAnsi="Rockwell"/>
          <w:i/>
          <w:sz w:val="26"/>
          <w:szCs w:val="26"/>
        </w:rPr>
        <w:t>société</w:t>
      </w:r>
      <w:r>
        <w:rPr>
          <w:rFonts w:ascii="Rockwell" w:hAnsi="Rockwell"/>
          <w:sz w:val="26"/>
          <w:szCs w:val="26"/>
        </w:rPr>
        <w:t xml:space="preserve">, la culture, la sécurité et le genre. </w:t>
      </w:r>
    </w:p>
    <w:p w14:paraId="4806FC51" w14:textId="77777777" w:rsidR="00733207" w:rsidRDefault="00912BAE">
      <w:pPr>
        <w:pStyle w:val="Paragraphedeliste"/>
        <w:spacing w:before="120" w:after="120" w:line="360" w:lineRule="auto"/>
        <w:ind w:left="-142"/>
        <w:contextualSpacing w:val="0"/>
        <w:jc w:val="both"/>
        <w:rPr>
          <w:rFonts w:ascii="Rockwell" w:hAnsi="Rockwell"/>
          <w:sz w:val="26"/>
          <w:szCs w:val="26"/>
        </w:rPr>
      </w:pPr>
      <w:r>
        <w:rPr>
          <w:rFonts w:ascii="Rockwell" w:hAnsi="Rockwell"/>
          <w:sz w:val="26"/>
          <w:szCs w:val="26"/>
        </w:rPr>
        <w:t>Au terme de l’analyse,</w:t>
      </w:r>
      <w:r>
        <w:rPr>
          <w:rFonts w:ascii="Rockwell" w:hAnsi="Rockwell"/>
          <w:i/>
          <w:sz w:val="26"/>
          <w:szCs w:val="26"/>
        </w:rPr>
        <w:t xml:space="preserve"> Actualité.net</w:t>
      </w:r>
      <w:r>
        <w:rPr>
          <w:rFonts w:ascii="Rockwell" w:hAnsi="Rockwell"/>
          <w:sz w:val="26"/>
          <w:szCs w:val="26"/>
        </w:rPr>
        <w:t xml:space="preserve"> se distingue par le volume et la diversité de ses productions. Il est suivi de </w:t>
      </w:r>
      <w:r>
        <w:rPr>
          <w:rFonts w:ascii="Rockwell" w:hAnsi="Rockwell"/>
          <w:i/>
          <w:sz w:val="26"/>
          <w:szCs w:val="26"/>
        </w:rPr>
        <w:t>lefaso.net</w:t>
      </w:r>
      <w:r>
        <w:rPr>
          <w:rFonts w:ascii="Rockwell" w:hAnsi="Rockwell"/>
          <w:sz w:val="26"/>
          <w:szCs w:val="26"/>
        </w:rPr>
        <w:t xml:space="preserve">, </w:t>
      </w:r>
      <w:r>
        <w:rPr>
          <w:rFonts w:ascii="Rockwell" w:hAnsi="Rockwell"/>
          <w:i/>
          <w:sz w:val="26"/>
          <w:szCs w:val="26"/>
        </w:rPr>
        <w:t>burkina24.com</w:t>
      </w:r>
      <w:r>
        <w:rPr>
          <w:rFonts w:ascii="Rockwell" w:hAnsi="Rockwell"/>
          <w:sz w:val="26"/>
          <w:szCs w:val="26"/>
        </w:rPr>
        <w:t xml:space="preserve">, </w:t>
      </w:r>
      <w:r>
        <w:rPr>
          <w:rFonts w:ascii="Rockwell" w:hAnsi="Rockwell"/>
          <w:i/>
          <w:sz w:val="26"/>
          <w:szCs w:val="26"/>
        </w:rPr>
        <w:t>Minute.net</w:t>
      </w:r>
      <w:r>
        <w:rPr>
          <w:rFonts w:ascii="Rockwell" w:hAnsi="Rockwell"/>
          <w:sz w:val="26"/>
          <w:szCs w:val="26"/>
        </w:rPr>
        <w:t xml:space="preserve"> et </w:t>
      </w:r>
      <w:r>
        <w:rPr>
          <w:rFonts w:ascii="Rockwell" w:hAnsi="Rockwell"/>
          <w:i/>
          <w:sz w:val="26"/>
          <w:szCs w:val="26"/>
        </w:rPr>
        <w:t>Infowakat.net.</w:t>
      </w:r>
    </w:p>
    <w:p w14:paraId="4CD67760" w14:textId="77777777" w:rsidR="00733207" w:rsidRDefault="00733207">
      <w:pPr>
        <w:spacing w:before="120" w:after="120" w:line="360" w:lineRule="auto"/>
        <w:jc w:val="both"/>
        <w:rPr>
          <w:rFonts w:ascii="Rockwell" w:hAnsi="Rockwell"/>
          <w:sz w:val="26"/>
          <w:szCs w:val="26"/>
        </w:rPr>
        <w:sectPr w:rsidR="00733207">
          <w:pgSz w:w="11906" w:h="16838"/>
          <w:pgMar w:top="1418" w:right="1418" w:bottom="709" w:left="709" w:header="709" w:footer="23" w:gutter="0"/>
          <w:cols w:space="708"/>
          <w:docGrid w:linePitch="360"/>
        </w:sectPr>
      </w:pPr>
    </w:p>
    <w:p w14:paraId="60DF3748" w14:textId="77777777" w:rsidR="00733207" w:rsidRPr="00EB5B59" w:rsidRDefault="00912BAE">
      <w:pPr>
        <w:pStyle w:val="Titre3"/>
        <w:spacing w:before="120" w:after="120" w:line="360" w:lineRule="auto"/>
        <w:jc w:val="center"/>
        <w:rPr>
          <w:rFonts w:ascii="Rockwell" w:hAnsi="Rockwell" w:cstheme="majorHAnsi"/>
          <w:b/>
          <w:i/>
          <w:color w:val="000000" w:themeColor="text1"/>
          <w:sz w:val="28"/>
          <w:szCs w:val="28"/>
        </w:rPr>
      </w:pPr>
      <w:bookmarkStart w:id="290" w:name="_Toc169855143"/>
      <w:bookmarkStart w:id="291" w:name="_Toc169854377"/>
      <w:bookmarkStart w:id="292" w:name="_Toc170209340"/>
      <w:bookmarkStart w:id="293" w:name="_Toc175128509"/>
      <w:r w:rsidRPr="00EB5B59">
        <w:rPr>
          <w:rFonts w:ascii="Rockwell" w:hAnsi="Rockwell" w:cstheme="majorHAnsi"/>
          <w:b/>
          <w:i/>
          <w:color w:val="000000" w:themeColor="text1"/>
          <w:sz w:val="28"/>
          <w:szCs w:val="28"/>
        </w:rPr>
        <w:lastRenderedPageBreak/>
        <w:t>SECTION 2 : MONITORING DES MEDIAS AUDIOVISUELS</w:t>
      </w:r>
      <w:bookmarkEnd w:id="290"/>
      <w:bookmarkEnd w:id="291"/>
      <w:bookmarkEnd w:id="292"/>
      <w:bookmarkEnd w:id="293"/>
    </w:p>
    <w:p w14:paraId="6E58A6B6" w14:textId="77777777" w:rsidR="00733207" w:rsidRDefault="00733207">
      <w:pPr>
        <w:spacing w:before="120" w:after="120" w:line="360" w:lineRule="auto"/>
        <w:jc w:val="both"/>
        <w:rPr>
          <w:rFonts w:ascii="Rockwell" w:hAnsi="Rockwell"/>
          <w:sz w:val="10"/>
          <w:szCs w:val="10"/>
        </w:rPr>
      </w:pPr>
    </w:p>
    <w:p w14:paraId="5A0080FD" w14:textId="77777777" w:rsidR="00733207" w:rsidRDefault="00912BAE">
      <w:pPr>
        <w:tabs>
          <w:tab w:val="left" w:pos="284"/>
        </w:tabs>
        <w:spacing w:before="120" w:after="120" w:line="360" w:lineRule="auto"/>
        <w:jc w:val="both"/>
        <w:rPr>
          <w:rFonts w:ascii="Rockwell" w:hAnsi="Rockwell"/>
          <w:sz w:val="26"/>
          <w:szCs w:val="26"/>
        </w:rPr>
      </w:pPr>
      <w:r>
        <w:rPr>
          <w:rFonts w:ascii="Rockwell" w:hAnsi="Rockwell"/>
          <w:sz w:val="26"/>
          <w:szCs w:val="26"/>
        </w:rPr>
        <w:t>L’observation des médias audiovisuels a concerné aussi bien les médias publics que privés de la ville de Ouagadougou, ainsi que ceux relevant de la délégation régionale de l’Ouest. Cette observation a permis d’apprécier le pluralisme et l’équilibre de l’information, mais aussi de dresser une cartographie des thématiques traitées par ces médias.</w:t>
      </w:r>
    </w:p>
    <w:p w14:paraId="49136A92" w14:textId="77777777" w:rsidR="00733207" w:rsidRDefault="00733207">
      <w:pPr>
        <w:tabs>
          <w:tab w:val="left" w:pos="284"/>
        </w:tabs>
        <w:spacing w:before="120" w:after="120" w:line="360" w:lineRule="auto"/>
        <w:jc w:val="both"/>
        <w:rPr>
          <w:rFonts w:ascii="Rockwell" w:hAnsi="Rockwell"/>
          <w:sz w:val="26"/>
          <w:szCs w:val="26"/>
        </w:rPr>
      </w:pPr>
    </w:p>
    <w:p w14:paraId="606140E6" w14:textId="436EE6C6" w:rsidR="00733207" w:rsidRDefault="00912BAE">
      <w:pPr>
        <w:pStyle w:val="Titre4"/>
        <w:jc w:val="center"/>
        <w:rPr>
          <w:rFonts w:ascii="Rockwell" w:hAnsi="Rockwell"/>
          <w:b/>
          <w:i w:val="0"/>
          <w:color w:val="auto"/>
          <w:sz w:val="28"/>
          <w:szCs w:val="28"/>
        </w:rPr>
      </w:pPr>
      <w:bookmarkStart w:id="294" w:name="_Toc161320250"/>
      <w:bookmarkStart w:id="295" w:name="_Toc169855144"/>
      <w:bookmarkStart w:id="296" w:name="_Toc175128510"/>
      <w:r>
        <w:rPr>
          <w:rFonts w:ascii="Rockwell" w:hAnsi="Rockwell"/>
          <w:b/>
          <w:i w:val="0"/>
          <w:color w:val="auto"/>
          <w:sz w:val="28"/>
          <w:szCs w:val="28"/>
        </w:rPr>
        <w:t xml:space="preserve">Paragraphe 1 : </w:t>
      </w:r>
      <w:r w:rsidR="00EB5B59">
        <w:rPr>
          <w:rFonts w:ascii="Rockwell" w:hAnsi="Rockwell"/>
          <w:b/>
          <w:i w:val="0"/>
          <w:color w:val="auto"/>
          <w:sz w:val="28"/>
          <w:szCs w:val="28"/>
        </w:rPr>
        <w:t xml:space="preserve">Observation </w:t>
      </w:r>
      <w:r>
        <w:rPr>
          <w:rFonts w:ascii="Rockwell" w:hAnsi="Rockwell"/>
          <w:b/>
          <w:i w:val="0"/>
          <w:color w:val="auto"/>
          <w:sz w:val="28"/>
          <w:szCs w:val="28"/>
        </w:rPr>
        <w:t>des médias audiovisuels</w:t>
      </w:r>
      <w:bookmarkEnd w:id="294"/>
      <w:r>
        <w:rPr>
          <w:rFonts w:ascii="Rockwell" w:hAnsi="Rockwell"/>
          <w:b/>
          <w:i w:val="0"/>
          <w:color w:val="auto"/>
          <w:sz w:val="28"/>
          <w:szCs w:val="28"/>
        </w:rPr>
        <w:t xml:space="preserve"> de Ouagadougou</w:t>
      </w:r>
      <w:bookmarkEnd w:id="295"/>
      <w:bookmarkEnd w:id="296"/>
    </w:p>
    <w:p w14:paraId="0E03B357" w14:textId="77777777" w:rsidR="00733207" w:rsidRDefault="00733207">
      <w:pPr>
        <w:jc w:val="both"/>
        <w:rPr>
          <w:rFonts w:ascii="Rockwell" w:hAnsi="Rockwell"/>
          <w:b/>
          <w:i/>
        </w:rPr>
      </w:pPr>
    </w:p>
    <w:p w14:paraId="3F03C6C7" w14:textId="77777777" w:rsidR="00733207" w:rsidRDefault="00912BAE">
      <w:pPr>
        <w:pStyle w:val="Paragraphedeliste"/>
        <w:spacing w:before="120" w:after="120" w:line="360" w:lineRule="auto"/>
        <w:ind w:left="0" w:right="-284"/>
        <w:jc w:val="both"/>
        <w:rPr>
          <w:rFonts w:ascii="Rockwell" w:hAnsi="Rockwell"/>
          <w:sz w:val="26"/>
          <w:szCs w:val="26"/>
        </w:rPr>
      </w:pPr>
      <w:r>
        <w:rPr>
          <w:rFonts w:ascii="Rockwell" w:hAnsi="Rockwell"/>
          <w:sz w:val="26"/>
          <w:szCs w:val="26"/>
        </w:rPr>
        <w:t xml:space="preserve">L’observation a concerné sept (07) médias à savoir trois (03) télévisions et quatre (04) radios. Il s’agit de : </w:t>
      </w:r>
    </w:p>
    <w:p w14:paraId="0EEDA6A6" w14:textId="77777777" w:rsidR="00733207" w:rsidRDefault="00912BAE">
      <w:pPr>
        <w:pStyle w:val="Paragraphedeliste"/>
        <w:numPr>
          <w:ilvl w:val="0"/>
          <w:numId w:val="26"/>
        </w:numPr>
        <w:spacing w:before="120" w:after="120" w:line="360" w:lineRule="auto"/>
        <w:ind w:left="714" w:right="-284" w:hanging="357"/>
        <w:jc w:val="both"/>
        <w:rPr>
          <w:rFonts w:ascii="Rockwell" w:hAnsi="Rockwell"/>
          <w:i/>
          <w:sz w:val="26"/>
          <w:szCs w:val="26"/>
        </w:rPr>
      </w:pPr>
      <w:proofErr w:type="gramStart"/>
      <w:r>
        <w:rPr>
          <w:rFonts w:ascii="Rockwell" w:hAnsi="Rockwell"/>
          <w:sz w:val="26"/>
          <w:szCs w:val="26"/>
        </w:rPr>
        <w:t>la</w:t>
      </w:r>
      <w:proofErr w:type="gramEnd"/>
      <w:r>
        <w:rPr>
          <w:rFonts w:ascii="Rockwell" w:hAnsi="Rockwell"/>
          <w:i/>
          <w:sz w:val="26"/>
          <w:szCs w:val="26"/>
        </w:rPr>
        <w:t xml:space="preserve"> RTB/télé, </w:t>
      </w:r>
    </w:p>
    <w:p w14:paraId="4E1EE66D" w14:textId="77777777" w:rsidR="00733207" w:rsidRDefault="00912BAE">
      <w:pPr>
        <w:pStyle w:val="Paragraphedeliste"/>
        <w:numPr>
          <w:ilvl w:val="0"/>
          <w:numId w:val="26"/>
        </w:numPr>
        <w:spacing w:before="120" w:after="120" w:line="360" w:lineRule="auto"/>
        <w:ind w:left="714" w:right="-284" w:hanging="357"/>
        <w:jc w:val="both"/>
        <w:rPr>
          <w:rFonts w:ascii="Rockwell" w:eastAsia="Times New Roman" w:hAnsi="Rockwell"/>
          <w:i/>
          <w:sz w:val="26"/>
          <w:szCs w:val="26"/>
        </w:rPr>
      </w:pPr>
      <w:proofErr w:type="gramStart"/>
      <w:r>
        <w:rPr>
          <w:rFonts w:ascii="Rockwell" w:hAnsi="Rockwell"/>
          <w:sz w:val="26"/>
          <w:szCs w:val="26"/>
        </w:rPr>
        <w:t>la</w:t>
      </w:r>
      <w:proofErr w:type="gramEnd"/>
      <w:r>
        <w:rPr>
          <w:rFonts w:ascii="Rockwell" w:hAnsi="Rockwell"/>
          <w:i/>
          <w:sz w:val="26"/>
          <w:szCs w:val="26"/>
        </w:rPr>
        <w:t xml:space="preserve"> RTB/radio,</w:t>
      </w:r>
      <w:r>
        <w:rPr>
          <w:rFonts w:ascii="Rockwell" w:eastAsia="Times New Roman" w:hAnsi="Rockwell"/>
          <w:i/>
          <w:sz w:val="26"/>
          <w:szCs w:val="26"/>
        </w:rPr>
        <w:t xml:space="preserve"> </w:t>
      </w:r>
    </w:p>
    <w:p w14:paraId="127ABF50" w14:textId="77777777" w:rsidR="00733207" w:rsidRDefault="00912BAE">
      <w:pPr>
        <w:pStyle w:val="Paragraphedeliste"/>
        <w:numPr>
          <w:ilvl w:val="0"/>
          <w:numId w:val="26"/>
        </w:numPr>
        <w:spacing w:before="120" w:after="120" w:line="360" w:lineRule="auto"/>
        <w:ind w:left="714" w:right="-284" w:hanging="357"/>
        <w:jc w:val="both"/>
        <w:rPr>
          <w:rFonts w:ascii="Rockwell" w:eastAsia="Times New Roman" w:hAnsi="Rockwell"/>
          <w:i/>
          <w:sz w:val="26"/>
          <w:szCs w:val="26"/>
        </w:rPr>
      </w:pPr>
      <w:r>
        <w:rPr>
          <w:rFonts w:ascii="Rockwell" w:eastAsia="Times New Roman" w:hAnsi="Rockwell"/>
          <w:i/>
          <w:sz w:val="26"/>
          <w:szCs w:val="26"/>
        </w:rPr>
        <w:t xml:space="preserve">BF1, </w:t>
      </w:r>
    </w:p>
    <w:p w14:paraId="0A0A2021" w14:textId="77777777" w:rsidR="00733207" w:rsidRDefault="00912BAE">
      <w:pPr>
        <w:pStyle w:val="Paragraphedeliste"/>
        <w:numPr>
          <w:ilvl w:val="0"/>
          <w:numId w:val="26"/>
        </w:numPr>
        <w:spacing w:before="120" w:after="120" w:line="360" w:lineRule="auto"/>
        <w:ind w:left="714" w:right="-284" w:hanging="357"/>
        <w:jc w:val="both"/>
        <w:rPr>
          <w:rFonts w:ascii="Rockwell" w:eastAsia="Times New Roman" w:hAnsi="Rockwell"/>
          <w:i/>
          <w:sz w:val="26"/>
          <w:szCs w:val="26"/>
        </w:rPr>
      </w:pPr>
      <w:r>
        <w:rPr>
          <w:rFonts w:ascii="Rockwell" w:eastAsia="Times New Roman" w:hAnsi="Rockwell"/>
          <w:i/>
          <w:sz w:val="26"/>
          <w:szCs w:val="26"/>
        </w:rPr>
        <w:t xml:space="preserve">3TV, </w:t>
      </w:r>
    </w:p>
    <w:p w14:paraId="417F5114" w14:textId="77777777" w:rsidR="00733207" w:rsidRDefault="00912BAE">
      <w:pPr>
        <w:pStyle w:val="Paragraphedeliste"/>
        <w:numPr>
          <w:ilvl w:val="0"/>
          <w:numId w:val="26"/>
        </w:numPr>
        <w:spacing w:before="120" w:after="120" w:line="360" w:lineRule="auto"/>
        <w:ind w:left="714" w:right="-284" w:hanging="357"/>
        <w:jc w:val="both"/>
        <w:rPr>
          <w:rFonts w:ascii="Rockwell" w:eastAsia="Times New Roman" w:hAnsi="Rockwell"/>
          <w:i/>
          <w:sz w:val="26"/>
          <w:szCs w:val="26"/>
        </w:rPr>
      </w:pPr>
      <w:r>
        <w:rPr>
          <w:rFonts w:ascii="Rockwell" w:eastAsia="Times New Roman" w:hAnsi="Rockwell"/>
          <w:i/>
          <w:sz w:val="26"/>
          <w:szCs w:val="26"/>
        </w:rPr>
        <w:t xml:space="preserve">Radio Savane FM, </w:t>
      </w:r>
    </w:p>
    <w:p w14:paraId="4C5643DB" w14:textId="77777777" w:rsidR="00733207" w:rsidRDefault="00912BAE">
      <w:pPr>
        <w:pStyle w:val="Paragraphedeliste"/>
        <w:numPr>
          <w:ilvl w:val="0"/>
          <w:numId w:val="26"/>
        </w:numPr>
        <w:spacing w:before="120" w:after="120" w:line="360" w:lineRule="auto"/>
        <w:ind w:left="714" w:right="-284" w:hanging="357"/>
        <w:jc w:val="both"/>
        <w:rPr>
          <w:rFonts w:ascii="Rockwell" w:eastAsia="Times New Roman" w:hAnsi="Rockwell"/>
          <w:i/>
          <w:sz w:val="26"/>
          <w:szCs w:val="26"/>
        </w:rPr>
      </w:pPr>
      <w:r>
        <w:rPr>
          <w:rFonts w:ascii="Rockwell" w:eastAsia="Times New Roman" w:hAnsi="Rockwell"/>
          <w:i/>
          <w:sz w:val="26"/>
          <w:szCs w:val="26"/>
        </w:rPr>
        <w:t>Radio Ouaga FM,</w:t>
      </w:r>
    </w:p>
    <w:p w14:paraId="24760F5D" w14:textId="77777777" w:rsidR="00733207" w:rsidRDefault="00912BAE">
      <w:pPr>
        <w:pStyle w:val="Paragraphedeliste"/>
        <w:numPr>
          <w:ilvl w:val="0"/>
          <w:numId w:val="26"/>
        </w:numPr>
        <w:spacing w:before="120" w:after="120" w:line="360" w:lineRule="auto"/>
        <w:ind w:left="714" w:right="-284" w:hanging="357"/>
        <w:jc w:val="both"/>
        <w:rPr>
          <w:rFonts w:ascii="Rockwell" w:hAnsi="Rockwell"/>
          <w:i/>
          <w:sz w:val="26"/>
          <w:szCs w:val="26"/>
        </w:rPr>
      </w:pPr>
      <w:r>
        <w:rPr>
          <w:rFonts w:ascii="Rockwell" w:eastAsia="Times New Roman" w:hAnsi="Rockwell"/>
          <w:i/>
          <w:sz w:val="26"/>
          <w:szCs w:val="26"/>
        </w:rPr>
        <w:t>Radio Oméga.</w:t>
      </w:r>
    </w:p>
    <w:p w14:paraId="60381E5A" w14:textId="77777777" w:rsidR="00733207" w:rsidRDefault="00733207">
      <w:pPr>
        <w:jc w:val="both"/>
        <w:rPr>
          <w:rFonts w:ascii="Rockwell" w:hAnsi="Rockwell"/>
          <w:b/>
          <w:i/>
        </w:rPr>
      </w:pPr>
    </w:p>
    <w:p w14:paraId="03E1433E" w14:textId="77777777" w:rsidR="00733207" w:rsidRDefault="00733207">
      <w:pPr>
        <w:jc w:val="both"/>
        <w:rPr>
          <w:rFonts w:ascii="Rockwell" w:hAnsi="Rockwell"/>
          <w:b/>
          <w:i/>
        </w:rPr>
        <w:sectPr w:rsidR="00733207">
          <w:pgSz w:w="11906" w:h="16838"/>
          <w:pgMar w:top="1418" w:right="1418" w:bottom="709" w:left="709" w:header="709" w:footer="23" w:gutter="0"/>
          <w:cols w:space="708"/>
          <w:docGrid w:linePitch="360"/>
        </w:sectPr>
      </w:pPr>
    </w:p>
    <w:p w14:paraId="3AFF2AAC" w14:textId="77777777" w:rsidR="00733207" w:rsidRDefault="00912BAE">
      <w:pPr>
        <w:pStyle w:val="Titre5"/>
        <w:numPr>
          <w:ilvl w:val="1"/>
          <w:numId w:val="27"/>
        </w:numPr>
        <w:jc w:val="center"/>
        <w:rPr>
          <w:rFonts w:ascii="Rockwell" w:hAnsi="Rockwell"/>
          <w:i w:val="0"/>
          <w:color w:val="auto"/>
          <w:sz w:val="26"/>
          <w:szCs w:val="26"/>
        </w:rPr>
      </w:pPr>
      <w:bookmarkStart w:id="297" w:name="_Toc175128511"/>
      <w:bookmarkStart w:id="298" w:name="_Toc169855145"/>
      <w:bookmarkStart w:id="299" w:name="_Toc161320251"/>
      <w:r>
        <w:rPr>
          <w:rFonts w:ascii="Rockwell" w:hAnsi="Rockwell"/>
          <w:i w:val="0"/>
          <w:color w:val="auto"/>
          <w:sz w:val="26"/>
          <w:szCs w:val="26"/>
        </w:rPr>
        <w:lastRenderedPageBreak/>
        <w:t>Statistiques de l’observation des médias audiovisuels</w:t>
      </w:r>
      <w:bookmarkEnd w:id="297"/>
      <w:bookmarkEnd w:id="298"/>
      <w:bookmarkEnd w:id="299"/>
    </w:p>
    <w:p w14:paraId="6A14D8CE" w14:textId="77777777" w:rsidR="00733207" w:rsidRDefault="00733207">
      <w:pPr>
        <w:pStyle w:val="Paragraphedeliste"/>
        <w:spacing w:before="120" w:after="120" w:line="360" w:lineRule="auto"/>
        <w:ind w:left="525"/>
        <w:jc w:val="both"/>
        <w:rPr>
          <w:rFonts w:ascii="Rockwell" w:hAnsi="Rockwell"/>
          <w:sz w:val="10"/>
          <w:szCs w:val="10"/>
        </w:rPr>
      </w:pPr>
    </w:p>
    <w:p w14:paraId="3CCE4C40" w14:textId="77777777" w:rsidR="00733207" w:rsidRDefault="00912BAE">
      <w:pPr>
        <w:pStyle w:val="Titre7"/>
        <w:numPr>
          <w:ilvl w:val="0"/>
          <w:numId w:val="28"/>
        </w:numPr>
        <w:jc w:val="center"/>
        <w:rPr>
          <w:rFonts w:ascii="Rockwell" w:hAnsi="Rockwell"/>
          <w:b/>
          <w:color w:val="auto"/>
          <w:sz w:val="24"/>
          <w:szCs w:val="24"/>
        </w:rPr>
      </w:pPr>
      <w:bookmarkStart w:id="300" w:name="_Toc175128512"/>
      <w:bookmarkStart w:id="301" w:name="_Toc161320252"/>
      <w:r>
        <w:rPr>
          <w:rFonts w:ascii="Rockwell" w:hAnsi="Rockwell"/>
          <w:b/>
          <w:color w:val="auto"/>
          <w:sz w:val="24"/>
          <w:szCs w:val="24"/>
        </w:rPr>
        <w:t>Statistiques des acteurs sociopolitiques</w:t>
      </w:r>
      <w:bookmarkEnd w:id="300"/>
      <w:bookmarkEnd w:id="301"/>
    </w:p>
    <w:p w14:paraId="514FFEED" w14:textId="77777777" w:rsidR="00733207" w:rsidRDefault="00733207">
      <w:pPr>
        <w:spacing w:before="120" w:after="120" w:line="360" w:lineRule="auto"/>
        <w:ind w:left="360"/>
        <w:jc w:val="center"/>
        <w:rPr>
          <w:rFonts w:ascii="Rockwell" w:eastAsia="Times New Roman" w:hAnsi="Rockwell"/>
          <w:b/>
          <w:i/>
          <w:u w:val="single"/>
        </w:rPr>
      </w:pPr>
    </w:p>
    <w:p w14:paraId="04F3B579" w14:textId="77777777" w:rsidR="00733207" w:rsidRDefault="00912BAE">
      <w:pPr>
        <w:spacing w:before="120" w:after="120" w:line="360" w:lineRule="auto"/>
        <w:ind w:left="360"/>
        <w:jc w:val="center"/>
        <w:rPr>
          <w:rFonts w:ascii="Rockwell" w:eastAsia="Times New Roman" w:hAnsi="Rockwell"/>
          <w:i/>
          <w:u w:val="single"/>
        </w:rPr>
      </w:pPr>
      <w:r>
        <w:rPr>
          <w:rFonts w:ascii="Rockwell" w:eastAsia="Times New Roman" w:hAnsi="Rockwell"/>
          <w:b/>
          <w:i/>
          <w:u w:val="single"/>
        </w:rPr>
        <w:t>Tableau n°13</w:t>
      </w:r>
      <w:r>
        <w:rPr>
          <w:rFonts w:ascii="Rockwell" w:eastAsia="Times New Roman" w:hAnsi="Rockwell"/>
          <w:i/>
        </w:rPr>
        <w:t xml:space="preserve"> : données des médias audiovisue</w:t>
      </w:r>
      <w:bookmarkStart w:id="302" w:name="_Hlk159483116"/>
      <w:r>
        <w:rPr>
          <w:rFonts w:ascii="Rockwell" w:eastAsia="Times New Roman" w:hAnsi="Rockwell"/>
          <w:i/>
        </w:rPr>
        <w:t>ls par acteur sociopolitique</w:t>
      </w:r>
    </w:p>
    <w:tbl>
      <w:tblPr>
        <w:tblW w:w="12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6"/>
        <w:gridCol w:w="696"/>
        <w:gridCol w:w="708"/>
        <w:gridCol w:w="709"/>
        <w:gridCol w:w="502"/>
        <w:gridCol w:w="713"/>
        <w:gridCol w:w="713"/>
        <w:gridCol w:w="713"/>
        <w:gridCol w:w="714"/>
        <w:gridCol w:w="713"/>
        <w:gridCol w:w="713"/>
        <w:gridCol w:w="713"/>
        <w:gridCol w:w="714"/>
        <w:gridCol w:w="713"/>
        <w:gridCol w:w="713"/>
        <w:gridCol w:w="713"/>
        <w:gridCol w:w="714"/>
      </w:tblGrid>
      <w:tr w:rsidR="00733207" w14:paraId="0978AED4" w14:textId="77777777">
        <w:trPr>
          <w:trHeight w:val="342"/>
          <w:jc w:val="center"/>
        </w:trPr>
        <w:tc>
          <w:tcPr>
            <w:tcW w:w="1426" w:type="dxa"/>
            <w:vMerge w:val="restart"/>
            <w:shd w:val="clear" w:color="auto" w:fill="auto"/>
          </w:tcPr>
          <w:p w14:paraId="1485A19A" w14:textId="77777777" w:rsidR="00733207" w:rsidRDefault="00912BAE">
            <w:pPr>
              <w:spacing w:before="120" w:after="120" w:line="360" w:lineRule="auto"/>
              <w:jc w:val="center"/>
              <w:rPr>
                <w:rFonts w:ascii="Rockwell" w:eastAsia="Times New Roman" w:hAnsi="Rockwell" w:cs="Calibri"/>
                <w:b/>
                <w:bCs/>
                <w:color w:val="000000"/>
                <w:sz w:val="12"/>
                <w:szCs w:val="12"/>
              </w:rPr>
            </w:pPr>
            <w:r>
              <w:rPr>
                <w:rFonts w:ascii="Rockwell" w:eastAsia="Times New Roman" w:hAnsi="Rockwell" w:cs="Calibri"/>
                <w:b/>
                <w:bCs/>
                <w:color w:val="000000"/>
                <w:sz w:val="12"/>
                <w:szCs w:val="12"/>
              </w:rPr>
              <w:t>ACTEURS SOCIOPOLITIQUES</w:t>
            </w:r>
          </w:p>
        </w:tc>
        <w:tc>
          <w:tcPr>
            <w:tcW w:w="2615" w:type="dxa"/>
            <w:gridSpan w:val="4"/>
            <w:shd w:val="clear" w:color="auto" w:fill="auto"/>
          </w:tcPr>
          <w:p w14:paraId="65953EB9" w14:textId="77777777" w:rsidR="00733207" w:rsidRDefault="00E06378">
            <w:pPr>
              <w:spacing w:before="120" w:after="120" w:line="360" w:lineRule="auto"/>
              <w:jc w:val="center"/>
              <w:rPr>
                <w:rFonts w:ascii="Rockwell" w:eastAsia="Times New Roman" w:hAnsi="Rockwell" w:cs="Calibri"/>
                <w:b/>
                <w:bCs/>
                <w:sz w:val="12"/>
                <w:szCs w:val="12"/>
              </w:rPr>
            </w:pPr>
            <w:hyperlink r:id="rId44" w:history="1">
              <w:r w:rsidR="00912BAE">
                <w:rPr>
                  <w:rFonts w:ascii="Rockwell" w:eastAsia="Times New Roman" w:hAnsi="Rockwell" w:cs="Calibri"/>
                  <w:b/>
                  <w:bCs/>
                  <w:sz w:val="12"/>
                  <w:szCs w:val="12"/>
                </w:rPr>
                <w:t xml:space="preserve"> RTB</w:t>
              </w:r>
            </w:hyperlink>
            <w:r w:rsidR="00912BAE">
              <w:rPr>
                <w:rFonts w:ascii="Rockwell" w:eastAsia="Times New Roman" w:hAnsi="Rockwell" w:cs="Calibri"/>
                <w:b/>
                <w:bCs/>
                <w:sz w:val="12"/>
                <w:szCs w:val="12"/>
              </w:rPr>
              <w:t>/TELE</w:t>
            </w:r>
          </w:p>
        </w:tc>
        <w:tc>
          <w:tcPr>
            <w:tcW w:w="2853" w:type="dxa"/>
            <w:gridSpan w:val="4"/>
            <w:shd w:val="clear" w:color="auto" w:fill="auto"/>
          </w:tcPr>
          <w:p w14:paraId="29943EBD" w14:textId="77777777" w:rsidR="00733207" w:rsidRDefault="00912BAE">
            <w:pPr>
              <w:spacing w:before="120" w:after="120" w:line="360" w:lineRule="auto"/>
              <w:jc w:val="center"/>
              <w:rPr>
                <w:rFonts w:ascii="Rockwell" w:eastAsia="Times New Roman" w:hAnsi="Rockwell" w:cs="Calibri"/>
                <w:b/>
                <w:bCs/>
                <w:color w:val="000000"/>
                <w:sz w:val="12"/>
                <w:szCs w:val="12"/>
              </w:rPr>
            </w:pPr>
            <w:r>
              <w:rPr>
                <w:rFonts w:ascii="Rockwell" w:eastAsia="Times New Roman" w:hAnsi="Rockwell" w:cs="Calibri"/>
                <w:b/>
                <w:bCs/>
                <w:color w:val="000000"/>
                <w:sz w:val="12"/>
                <w:szCs w:val="12"/>
              </w:rPr>
              <w:t>RTB/RADIO</w:t>
            </w:r>
          </w:p>
        </w:tc>
        <w:tc>
          <w:tcPr>
            <w:tcW w:w="2853" w:type="dxa"/>
            <w:gridSpan w:val="4"/>
            <w:shd w:val="clear" w:color="auto" w:fill="auto"/>
          </w:tcPr>
          <w:p w14:paraId="373791FB" w14:textId="77777777" w:rsidR="00733207" w:rsidRDefault="00912BAE">
            <w:pPr>
              <w:spacing w:before="120" w:after="120" w:line="360" w:lineRule="auto"/>
              <w:jc w:val="center"/>
              <w:rPr>
                <w:rFonts w:ascii="Rockwell" w:eastAsia="Times New Roman" w:hAnsi="Rockwell" w:cs="Calibri"/>
                <w:b/>
                <w:bCs/>
                <w:color w:val="000000"/>
                <w:sz w:val="12"/>
                <w:szCs w:val="12"/>
              </w:rPr>
            </w:pPr>
            <w:r>
              <w:rPr>
                <w:rFonts w:ascii="Rockwell" w:eastAsia="Times New Roman" w:hAnsi="Rockwell" w:cs="Calibri"/>
                <w:b/>
                <w:bCs/>
                <w:color w:val="000000"/>
                <w:sz w:val="12"/>
                <w:szCs w:val="12"/>
              </w:rPr>
              <w:t>RADIO SAVANE FM</w:t>
            </w:r>
          </w:p>
        </w:tc>
        <w:tc>
          <w:tcPr>
            <w:tcW w:w="2853" w:type="dxa"/>
            <w:gridSpan w:val="4"/>
            <w:shd w:val="clear" w:color="auto" w:fill="auto"/>
          </w:tcPr>
          <w:p w14:paraId="69E8224C" w14:textId="77777777" w:rsidR="00733207" w:rsidRDefault="00912BAE">
            <w:pPr>
              <w:spacing w:before="120" w:after="120" w:line="360" w:lineRule="auto"/>
              <w:jc w:val="center"/>
              <w:rPr>
                <w:rFonts w:ascii="Rockwell" w:eastAsia="Times New Roman" w:hAnsi="Rockwell" w:cs="Calibri"/>
                <w:b/>
                <w:bCs/>
                <w:color w:val="000000"/>
                <w:sz w:val="12"/>
                <w:szCs w:val="12"/>
              </w:rPr>
            </w:pPr>
            <w:r>
              <w:rPr>
                <w:rFonts w:ascii="Rockwell" w:eastAsia="Times New Roman" w:hAnsi="Rockwell" w:cs="Calibri"/>
                <w:b/>
                <w:bCs/>
                <w:color w:val="000000"/>
                <w:sz w:val="12"/>
                <w:szCs w:val="12"/>
              </w:rPr>
              <w:t>RADIO OUAGA FM</w:t>
            </w:r>
          </w:p>
        </w:tc>
      </w:tr>
      <w:tr w:rsidR="00733207" w14:paraId="7A638879" w14:textId="77777777">
        <w:trPr>
          <w:trHeight w:val="163"/>
          <w:jc w:val="center"/>
        </w:trPr>
        <w:tc>
          <w:tcPr>
            <w:tcW w:w="1426" w:type="dxa"/>
            <w:vMerge/>
            <w:shd w:val="clear" w:color="auto" w:fill="auto"/>
          </w:tcPr>
          <w:p w14:paraId="75D7C019" w14:textId="77777777" w:rsidR="00733207" w:rsidRDefault="00733207">
            <w:pPr>
              <w:spacing w:before="120" w:after="120" w:line="360" w:lineRule="auto"/>
              <w:jc w:val="both"/>
              <w:rPr>
                <w:rFonts w:ascii="Rockwell" w:eastAsia="Times New Roman" w:hAnsi="Rockwell" w:cs="Calibri"/>
                <w:b/>
                <w:bCs/>
                <w:color w:val="000000"/>
                <w:sz w:val="12"/>
                <w:szCs w:val="12"/>
              </w:rPr>
            </w:pPr>
          </w:p>
        </w:tc>
        <w:tc>
          <w:tcPr>
            <w:tcW w:w="696" w:type="dxa"/>
            <w:shd w:val="clear" w:color="auto" w:fill="auto"/>
            <w:vAlign w:val="center"/>
          </w:tcPr>
          <w:p w14:paraId="70F16B0D"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TA</w:t>
            </w:r>
          </w:p>
        </w:tc>
        <w:tc>
          <w:tcPr>
            <w:tcW w:w="708" w:type="dxa"/>
            <w:shd w:val="clear" w:color="auto" w:fill="auto"/>
            <w:vAlign w:val="center"/>
          </w:tcPr>
          <w:p w14:paraId="78A4C82E"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TA</w:t>
            </w:r>
          </w:p>
        </w:tc>
        <w:tc>
          <w:tcPr>
            <w:tcW w:w="709" w:type="dxa"/>
            <w:shd w:val="clear" w:color="auto" w:fill="auto"/>
            <w:vAlign w:val="center"/>
          </w:tcPr>
          <w:p w14:paraId="64A093A8"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TP</w:t>
            </w:r>
          </w:p>
        </w:tc>
        <w:tc>
          <w:tcPr>
            <w:tcW w:w="502" w:type="dxa"/>
            <w:shd w:val="clear" w:color="auto" w:fill="auto"/>
            <w:vAlign w:val="center"/>
          </w:tcPr>
          <w:p w14:paraId="7F4D731D"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TP</w:t>
            </w:r>
          </w:p>
        </w:tc>
        <w:tc>
          <w:tcPr>
            <w:tcW w:w="713" w:type="dxa"/>
            <w:shd w:val="clear" w:color="auto" w:fill="auto"/>
            <w:vAlign w:val="center"/>
          </w:tcPr>
          <w:p w14:paraId="59460CA1"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TA</w:t>
            </w:r>
          </w:p>
        </w:tc>
        <w:tc>
          <w:tcPr>
            <w:tcW w:w="713" w:type="dxa"/>
            <w:shd w:val="clear" w:color="auto" w:fill="auto"/>
            <w:vAlign w:val="center"/>
          </w:tcPr>
          <w:p w14:paraId="6F5F684F"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TA</w:t>
            </w:r>
          </w:p>
        </w:tc>
        <w:tc>
          <w:tcPr>
            <w:tcW w:w="713" w:type="dxa"/>
            <w:shd w:val="clear" w:color="auto" w:fill="auto"/>
            <w:vAlign w:val="center"/>
          </w:tcPr>
          <w:p w14:paraId="3A318726"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TP</w:t>
            </w:r>
          </w:p>
        </w:tc>
        <w:tc>
          <w:tcPr>
            <w:tcW w:w="714" w:type="dxa"/>
            <w:shd w:val="clear" w:color="auto" w:fill="auto"/>
            <w:vAlign w:val="center"/>
          </w:tcPr>
          <w:p w14:paraId="191A9EBD"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TP</w:t>
            </w:r>
          </w:p>
        </w:tc>
        <w:tc>
          <w:tcPr>
            <w:tcW w:w="713" w:type="dxa"/>
            <w:shd w:val="clear" w:color="auto" w:fill="auto"/>
            <w:vAlign w:val="center"/>
          </w:tcPr>
          <w:p w14:paraId="2D487BA6"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TA</w:t>
            </w:r>
          </w:p>
        </w:tc>
        <w:tc>
          <w:tcPr>
            <w:tcW w:w="713" w:type="dxa"/>
            <w:shd w:val="clear" w:color="auto" w:fill="auto"/>
            <w:vAlign w:val="center"/>
          </w:tcPr>
          <w:p w14:paraId="50BC519E"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TA</w:t>
            </w:r>
          </w:p>
        </w:tc>
        <w:tc>
          <w:tcPr>
            <w:tcW w:w="713" w:type="dxa"/>
            <w:shd w:val="clear" w:color="auto" w:fill="auto"/>
            <w:vAlign w:val="center"/>
          </w:tcPr>
          <w:p w14:paraId="6393EAB8"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TP</w:t>
            </w:r>
          </w:p>
        </w:tc>
        <w:tc>
          <w:tcPr>
            <w:tcW w:w="714" w:type="dxa"/>
            <w:shd w:val="clear" w:color="auto" w:fill="auto"/>
            <w:vAlign w:val="center"/>
          </w:tcPr>
          <w:p w14:paraId="3CA08A42"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TP</w:t>
            </w:r>
          </w:p>
        </w:tc>
        <w:tc>
          <w:tcPr>
            <w:tcW w:w="713" w:type="dxa"/>
            <w:shd w:val="clear" w:color="auto" w:fill="auto"/>
            <w:vAlign w:val="center"/>
          </w:tcPr>
          <w:p w14:paraId="75E4D1A7"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TA</w:t>
            </w:r>
          </w:p>
        </w:tc>
        <w:tc>
          <w:tcPr>
            <w:tcW w:w="713" w:type="dxa"/>
            <w:shd w:val="clear" w:color="auto" w:fill="auto"/>
            <w:vAlign w:val="center"/>
          </w:tcPr>
          <w:p w14:paraId="664BDF0A"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TA</w:t>
            </w:r>
          </w:p>
        </w:tc>
        <w:tc>
          <w:tcPr>
            <w:tcW w:w="713" w:type="dxa"/>
            <w:shd w:val="clear" w:color="auto" w:fill="auto"/>
            <w:vAlign w:val="center"/>
          </w:tcPr>
          <w:p w14:paraId="07B867B7"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TP</w:t>
            </w:r>
          </w:p>
        </w:tc>
        <w:tc>
          <w:tcPr>
            <w:tcW w:w="714" w:type="dxa"/>
            <w:shd w:val="clear" w:color="auto" w:fill="auto"/>
            <w:vAlign w:val="center"/>
          </w:tcPr>
          <w:p w14:paraId="486F8C3B"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color w:val="000000"/>
                <w:sz w:val="12"/>
                <w:szCs w:val="12"/>
              </w:rPr>
              <w:t>% TP</w:t>
            </w:r>
          </w:p>
        </w:tc>
      </w:tr>
      <w:tr w:rsidR="00733207" w14:paraId="52F95B94" w14:textId="77777777">
        <w:trPr>
          <w:trHeight w:val="16"/>
          <w:jc w:val="center"/>
        </w:trPr>
        <w:tc>
          <w:tcPr>
            <w:tcW w:w="1426" w:type="dxa"/>
            <w:shd w:val="clear" w:color="auto" w:fill="auto"/>
          </w:tcPr>
          <w:p w14:paraId="57779061"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b/>
                <w:bCs/>
                <w:color w:val="000000"/>
                <w:sz w:val="12"/>
                <w:szCs w:val="12"/>
              </w:rPr>
              <w:t>ALT</w:t>
            </w:r>
          </w:p>
        </w:tc>
        <w:tc>
          <w:tcPr>
            <w:tcW w:w="696" w:type="dxa"/>
            <w:shd w:val="clear" w:color="auto" w:fill="auto"/>
            <w:vAlign w:val="center"/>
          </w:tcPr>
          <w:p w14:paraId="20EAADFC"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13:02</w:t>
            </w:r>
          </w:p>
        </w:tc>
        <w:tc>
          <w:tcPr>
            <w:tcW w:w="708" w:type="dxa"/>
            <w:shd w:val="clear" w:color="auto" w:fill="auto"/>
            <w:vAlign w:val="center"/>
          </w:tcPr>
          <w:p w14:paraId="662160BB"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10,04%</w:t>
            </w:r>
          </w:p>
        </w:tc>
        <w:tc>
          <w:tcPr>
            <w:tcW w:w="709" w:type="dxa"/>
            <w:shd w:val="clear" w:color="auto" w:fill="auto"/>
            <w:vAlign w:val="center"/>
          </w:tcPr>
          <w:p w14:paraId="2988CB03"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17:10</w:t>
            </w:r>
          </w:p>
        </w:tc>
        <w:tc>
          <w:tcPr>
            <w:tcW w:w="502" w:type="dxa"/>
            <w:shd w:val="clear" w:color="auto" w:fill="auto"/>
            <w:vAlign w:val="center"/>
          </w:tcPr>
          <w:p w14:paraId="7FE10D33"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2,88%</w:t>
            </w:r>
          </w:p>
        </w:tc>
        <w:tc>
          <w:tcPr>
            <w:tcW w:w="713" w:type="dxa"/>
            <w:shd w:val="clear" w:color="auto" w:fill="auto"/>
            <w:vAlign w:val="center"/>
          </w:tcPr>
          <w:p w14:paraId="77C458EE"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26:24</w:t>
            </w:r>
          </w:p>
        </w:tc>
        <w:tc>
          <w:tcPr>
            <w:tcW w:w="713" w:type="dxa"/>
            <w:shd w:val="clear" w:color="auto" w:fill="auto"/>
            <w:vAlign w:val="center"/>
          </w:tcPr>
          <w:p w14:paraId="4294A8F5"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2,01%</w:t>
            </w:r>
          </w:p>
        </w:tc>
        <w:tc>
          <w:tcPr>
            <w:tcW w:w="713" w:type="dxa"/>
            <w:shd w:val="clear" w:color="auto" w:fill="auto"/>
            <w:vAlign w:val="center"/>
          </w:tcPr>
          <w:p w14:paraId="5C229AA4"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09:26</w:t>
            </w:r>
          </w:p>
        </w:tc>
        <w:tc>
          <w:tcPr>
            <w:tcW w:w="714" w:type="dxa"/>
            <w:shd w:val="clear" w:color="auto" w:fill="auto"/>
            <w:vAlign w:val="center"/>
          </w:tcPr>
          <w:p w14:paraId="3693650A"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1,63%</w:t>
            </w:r>
          </w:p>
        </w:tc>
        <w:tc>
          <w:tcPr>
            <w:tcW w:w="713" w:type="dxa"/>
            <w:shd w:val="clear" w:color="auto" w:fill="auto"/>
            <w:vAlign w:val="center"/>
          </w:tcPr>
          <w:p w14:paraId="4F97F3D8"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00:00</w:t>
            </w:r>
          </w:p>
        </w:tc>
        <w:tc>
          <w:tcPr>
            <w:tcW w:w="713" w:type="dxa"/>
            <w:shd w:val="clear" w:color="auto" w:fill="auto"/>
            <w:vAlign w:val="center"/>
          </w:tcPr>
          <w:p w14:paraId="13727CB0"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0,00%</w:t>
            </w:r>
          </w:p>
        </w:tc>
        <w:tc>
          <w:tcPr>
            <w:tcW w:w="713" w:type="dxa"/>
            <w:shd w:val="clear" w:color="auto" w:fill="auto"/>
            <w:vAlign w:val="center"/>
          </w:tcPr>
          <w:p w14:paraId="2A262FE6"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00:00</w:t>
            </w:r>
          </w:p>
        </w:tc>
        <w:tc>
          <w:tcPr>
            <w:tcW w:w="714" w:type="dxa"/>
            <w:shd w:val="clear" w:color="auto" w:fill="auto"/>
            <w:vAlign w:val="center"/>
          </w:tcPr>
          <w:p w14:paraId="16085ABB"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0,00%</w:t>
            </w:r>
          </w:p>
        </w:tc>
        <w:tc>
          <w:tcPr>
            <w:tcW w:w="713" w:type="dxa"/>
            <w:shd w:val="clear" w:color="auto" w:fill="auto"/>
            <w:vAlign w:val="center"/>
          </w:tcPr>
          <w:p w14:paraId="598D790C"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23:53</w:t>
            </w:r>
          </w:p>
        </w:tc>
        <w:tc>
          <w:tcPr>
            <w:tcW w:w="713" w:type="dxa"/>
            <w:shd w:val="clear" w:color="auto" w:fill="auto"/>
            <w:vAlign w:val="center"/>
          </w:tcPr>
          <w:p w14:paraId="23699548"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2,56%</w:t>
            </w:r>
          </w:p>
        </w:tc>
        <w:tc>
          <w:tcPr>
            <w:tcW w:w="713" w:type="dxa"/>
            <w:shd w:val="clear" w:color="auto" w:fill="auto"/>
            <w:vAlign w:val="center"/>
          </w:tcPr>
          <w:p w14:paraId="2490AF6B"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07:02</w:t>
            </w:r>
          </w:p>
        </w:tc>
        <w:tc>
          <w:tcPr>
            <w:tcW w:w="714" w:type="dxa"/>
            <w:shd w:val="clear" w:color="auto" w:fill="auto"/>
            <w:vAlign w:val="center"/>
          </w:tcPr>
          <w:p w14:paraId="5DA6618E"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1,67%</w:t>
            </w:r>
          </w:p>
        </w:tc>
      </w:tr>
      <w:tr w:rsidR="00733207" w14:paraId="253BFE6B" w14:textId="77777777">
        <w:trPr>
          <w:trHeight w:val="16"/>
          <w:jc w:val="center"/>
        </w:trPr>
        <w:tc>
          <w:tcPr>
            <w:tcW w:w="1426" w:type="dxa"/>
            <w:shd w:val="clear" w:color="auto" w:fill="auto"/>
          </w:tcPr>
          <w:p w14:paraId="433B122F"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b/>
                <w:bCs/>
                <w:color w:val="000000"/>
                <w:sz w:val="12"/>
                <w:szCs w:val="12"/>
              </w:rPr>
              <w:t>GOUVERNEMENT</w:t>
            </w:r>
          </w:p>
        </w:tc>
        <w:tc>
          <w:tcPr>
            <w:tcW w:w="696" w:type="dxa"/>
            <w:shd w:val="clear" w:color="auto" w:fill="auto"/>
            <w:vAlign w:val="center"/>
          </w:tcPr>
          <w:p w14:paraId="4C35719C"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04:</w:t>
            </w:r>
            <w:proofErr w:type="gramEnd"/>
            <w:r>
              <w:rPr>
                <w:rFonts w:ascii="Rockwell" w:eastAsia="Times New Roman" w:hAnsi="Rockwell"/>
                <w:color w:val="000000"/>
                <w:sz w:val="12"/>
                <w:szCs w:val="12"/>
              </w:rPr>
              <w:t>02:31</w:t>
            </w:r>
          </w:p>
        </w:tc>
        <w:tc>
          <w:tcPr>
            <w:tcW w:w="708" w:type="dxa"/>
            <w:shd w:val="clear" w:color="auto" w:fill="auto"/>
            <w:vAlign w:val="center"/>
          </w:tcPr>
          <w:p w14:paraId="39545406"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33,35%</w:t>
            </w:r>
          </w:p>
        </w:tc>
        <w:tc>
          <w:tcPr>
            <w:tcW w:w="709" w:type="dxa"/>
            <w:shd w:val="clear" w:color="auto" w:fill="auto"/>
            <w:vAlign w:val="center"/>
          </w:tcPr>
          <w:p w14:paraId="732848A9"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07:</w:t>
            </w:r>
            <w:proofErr w:type="gramEnd"/>
            <w:r>
              <w:rPr>
                <w:rFonts w:ascii="Rockwell" w:eastAsia="Times New Roman" w:hAnsi="Rockwell"/>
                <w:color w:val="000000"/>
                <w:sz w:val="12"/>
                <w:szCs w:val="12"/>
              </w:rPr>
              <w:t>31:48</w:t>
            </w:r>
          </w:p>
        </w:tc>
        <w:tc>
          <w:tcPr>
            <w:tcW w:w="502" w:type="dxa"/>
            <w:shd w:val="clear" w:color="auto" w:fill="auto"/>
            <w:vAlign w:val="center"/>
          </w:tcPr>
          <w:p w14:paraId="6B787D78"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75,80%</w:t>
            </w:r>
          </w:p>
        </w:tc>
        <w:tc>
          <w:tcPr>
            <w:tcW w:w="713" w:type="dxa"/>
            <w:shd w:val="clear" w:color="auto" w:fill="auto"/>
            <w:vAlign w:val="center"/>
          </w:tcPr>
          <w:p w14:paraId="08724B06"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13:</w:t>
            </w:r>
            <w:proofErr w:type="gramEnd"/>
            <w:r>
              <w:rPr>
                <w:rFonts w:ascii="Rockwell" w:eastAsia="Times New Roman" w:hAnsi="Rockwell"/>
                <w:color w:val="000000"/>
                <w:sz w:val="12"/>
                <w:szCs w:val="12"/>
              </w:rPr>
              <w:t>50:47</w:t>
            </w:r>
          </w:p>
        </w:tc>
        <w:tc>
          <w:tcPr>
            <w:tcW w:w="713" w:type="dxa"/>
            <w:shd w:val="clear" w:color="auto" w:fill="auto"/>
            <w:vAlign w:val="center"/>
          </w:tcPr>
          <w:p w14:paraId="23B4E459"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63,13%</w:t>
            </w:r>
          </w:p>
        </w:tc>
        <w:tc>
          <w:tcPr>
            <w:tcW w:w="713" w:type="dxa"/>
            <w:shd w:val="clear" w:color="auto" w:fill="auto"/>
            <w:vAlign w:val="center"/>
          </w:tcPr>
          <w:p w14:paraId="6DA8E287"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05:</w:t>
            </w:r>
            <w:proofErr w:type="gramEnd"/>
            <w:r>
              <w:rPr>
                <w:rFonts w:ascii="Rockwell" w:eastAsia="Times New Roman" w:hAnsi="Rockwell"/>
                <w:color w:val="000000"/>
                <w:sz w:val="12"/>
                <w:szCs w:val="12"/>
              </w:rPr>
              <w:t>49:11</w:t>
            </w:r>
          </w:p>
        </w:tc>
        <w:tc>
          <w:tcPr>
            <w:tcW w:w="714" w:type="dxa"/>
            <w:shd w:val="clear" w:color="auto" w:fill="auto"/>
            <w:vAlign w:val="center"/>
          </w:tcPr>
          <w:p w14:paraId="030737BA"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60,45%</w:t>
            </w:r>
          </w:p>
        </w:tc>
        <w:tc>
          <w:tcPr>
            <w:tcW w:w="713" w:type="dxa"/>
            <w:shd w:val="clear" w:color="auto" w:fill="auto"/>
            <w:vAlign w:val="center"/>
          </w:tcPr>
          <w:p w14:paraId="46F19696"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05:</w:t>
            </w:r>
            <w:proofErr w:type="gramEnd"/>
            <w:r>
              <w:rPr>
                <w:rFonts w:ascii="Rockwell" w:eastAsia="Times New Roman" w:hAnsi="Rockwell"/>
                <w:color w:val="000000"/>
                <w:sz w:val="12"/>
                <w:szCs w:val="12"/>
              </w:rPr>
              <w:t>41:44</w:t>
            </w:r>
          </w:p>
        </w:tc>
        <w:tc>
          <w:tcPr>
            <w:tcW w:w="713" w:type="dxa"/>
            <w:shd w:val="clear" w:color="auto" w:fill="auto"/>
            <w:vAlign w:val="center"/>
          </w:tcPr>
          <w:p w14:paraId="3D2AE54A"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46,13%</w:t>
            </w:r>
          </w:p>
        </w:tc>
        <w:tc>
          <w:tcPr>
            <w:tcW w:w="713" w:type="dxa"/>
            <w:shd w:val="clear" w:color="auto" w:fill="auto"/>
            <w:vAlign w:val="center"/>
          </w:tcPr>
          <w:p w14:paraId="31AB2ED6"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48:23</w:t>
            </w:r>
          </w:p>
        </w:tc>
        <w:tc>
          <w:tcPr>
            <w:tcW w:w="714" w:type="dxa"/>
            <w:shd w:val="clear" w:color="auto" w:fill="auto"/>
            <w:vAlign w:val="center"/>
          </w:tcPr>
          <w:p w14:paraId="0F309140"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36,70%</w:t>
            </w:r>
          </w:p>
        </w:tc>
        <w:tc>
          <w:tcPr>
            <w:tcW w:w="713" w:type="dxa"/>
            <w:shd w:val="clear" w:color="auto" w:fill="auto"/>
            <w:vAlign w:val="center"/>
          </w:tcPr>
          <w:p w14:paraId="5540FEFE"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09:</w:t>
            </w:r>
            <w:proofErr w:type="gramEnd"/>
            <w:r>
              <w:rPr>
                <w:rFonts w:ascii="Rockwell" w:eastAsia="Times New Roman" w:hAnsi="Rockwell"/>
                <w:color w:val="000000"/>
                <w:sz w:val="12"/>
                <w:szCs w:val="12"/>
              </w:rPr>
              <w:t>40:21</w:t>
            </w:r>
          </w:p>
        </w:tc>
        <w:tc>
          <w:tcPr>
            <w:tcW w:w="713" w:type="dxa"/>
            <w:shd w:val="clear" w:color="auto" w:fill="auto"/>
            <w:vAlign w:val="center"/>
          </w:tcPr>
          <w:p w14:paraId="39833FB3"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62,29%</w:t>
            </w:r>
          </w:p>
        </w:tc>
        <w:tc>
          <w:tcPr>
            <w:tcW w:w="713" w:type="dxa"/>
            <w:shd w:val="clear" w:color="auto" w:fill="auto"/>
            <w:vAlign w:val="center"/>
          </w:tcPr>
          <w:p w14:paraId="7B2F7F4E"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04:</w:t>
            </w:r>
            <w:proofErr w:type="gramEnd"/>
            <w:r>
              <w:rPr>
                <w:rFonts w:ascii="Rockwell" w:eastAsia="Times New Roman" w:hAnsi="Rockwell"/>
                <w:color w:val="000000"/>
                <w:sz w:val="12"/>
                <w:szCs w:val="12"/>
              </w:rPr>
              <w:t>18:36</w:t>
            </w:r>
          </w:p>
        </w:tc>
        <w:tc>
          <w:tcPr>
            <w:tcW w:w="714" w:type="dxa"/>
            <w:shd w:val="clear" w:color="auto" w:fill="auto"/>
            <w:vAlign w:val="center"/>
          </w:tcPr>
          <w:p w14:paraId="6833C5E6"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61,45%</w:t>
            </w:r>
          </w:p>
        </w:tc>
      </w:tr>
      <w:tr w:rsidR="00733207" w14:paraId="20FFA8C3" w14:textId="77777777">
        <w:trPr>
          <w:trHeight w:val="16"/>
          <w:jc w:val="center"/>
        </w:trPr>
        <w:tc>
          <w:tcPr>
            <w:tcW w:w="1426" w:type="dxa"/>
            <w:shd w:val="clear" w:color="auto" w:fill="auto"/>
          </w:tcPr>
          <w:p w14:paraId="099C1E00"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b/>
                <w:bCs/>
                <w:color w:val="000000"/>
                <w:sz w:val="12"/>
                <w:szCs w:val="12"/>
              </w:rPr>
              <w:t>LES AUTRES INSTITUTIONS</w:t>
            </w:r>
          </w:p>
        </w:tc>
        <w:tc>
          <w:tcPr>
            <w:tcW w:w="696" w:type="dxa"/>
            <w:shd w:val="clear" w:color="auto" w:fill="auto"/>
            <w:vAlign w:val="center"/>
          </w:tcPr>
          <w:p w14:paraId="45379248"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02:</w:t>
            </w:r>
            <w:proofErr w:type="gramEnd"/>
            <w:r>
              <w:rPr>
                <w:rFonts w:ascii="Rockwell" w:eastAsia="Times New Roman" w:hAnsi="Rockwell"/>
                <w:color w:val="000000"/>
                <w:sz w:val="12"/>
                <w:szCs w:val="12"/>
              </w:rPr>
              <w:t>06:13</w:t>
            </w:r>
          </w:p>
        </w:tc>
        <w:tc>
          <w:tcPr>
            <w:tcW w:w="708" w:type="dxa"/>
            <w:shd w:val="clear" w:color="auto" w:fill="auto"/>
            <w:vAlign w:val="center"/>
          </w:tcPr>
          <w:p w14:paraId="7FF3BB67"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17,36%</w:t>
            </w:r>
          </w:p>
        </w:tc>
        <w:tc>
          <w:tcPr>
            <w:tcW w:w="709" w:type="dxa"/>
            <w:shd w:val="clear" w:color="auto" w:fill="auto"/>
            <w:vAlign w:val="center"/>
          </w:tcPr>
          <w:p w14:paraId="44696A29"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36:15</w:t>
            </w:r>
          </w:p>
        </w:tc>
        <w:tc>
          <w:tcPr>
            <w:tcW w:w="502" w:type="dxa"/>
            <w:shd w:val="clear" w:color="auto" w:fill="auto"/>
            <w:vAlign w:val="center"/>
          </w:tcPr>
          <w:p w14:paraId="1B1A7798"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6,08%</w:t>
            </w:r>
          </w:p>
        </w:tc>
        <w:tc>
          <w:tcPr>
            <w:tcW w:w="713" w:type="dxa"/>
            <w:shd w:val="clear" w:color="auto" w:fill="auto"/>
            <w:vAlign w:val="center"/>
          </w:tcPr>
          <w:p w14:paraId="616ACDBF"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02:</w:t>
            </w:r>
            <w:proofErr w:type="gramEnd"/>
            <w:r>
              <w:rPr>
                <w:rFonts w:ascii="Rockwell" w:eastAsia="Times New Roman" w:hAnsi="Rockwell"/>
                <w:color w:val="000000"/>
                <w:sz w:val="12"/>
                <w:szCs w:val="12"/>
              </w:rPr>
              <w:t>03:28</w:t>
            </w:r>
          </w:p>
        </w:tc>
        <w:tc>
          <w:tcPr>
            <w:tcW w:w="713" w:type="dxa"/>
            <w:shd w:val="clear" w:color="auto" w:fill="auto"/>
            <w:vAlign w:val="center"/>
          </w:tcPr>
          <w:p w14:paraId="5963F5D2"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9,38%</w:t>
            </w:r>
          </w:p>
        </w:tc>
        <w:tc>
          <w:tcPr>
            <w:tcW w:w="713" w:type="dxa"/>
            <w:shd w:val="clear" w:color="auto" w:fill="auto"/>
            <w:vAlign w:val="center"/>
          </w:tcPr>
          <w:p w14:paraId="6ADA6688"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09:18</w:t>
            </w:r>
          </w:p>
        </w:tc>
        <w:tc>
          <w:tcPr>
            <w:tcW w:w="714" w:type="dxa"/>
            <w:shd w:val="clear" w:color="auto" w:fill="auto"/>
            <w:vAlign w:val="center"/>
          </w:tcPr>
          <w:p w14:paraId="579C692A"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12,00%</w:t>
            </w:r>
          </w:p>
        </w:tc>
        <w:tc>
          <w:tcPr>
            <w:tcW w:w="713" w:type="dxa"/>
            <w:shd w:val="clear" w:color="auto" w:fill="auto"/>
            <w:vAlign w:val="center"/>
          </w:tcPr>
          <w:p w14:paraId="267B508B"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07:47</w:t>
            </w:r>
          </w:p>
        </w:tc>
        <w:tc>
          <w:tcPr>
            <w:tcW w:w="713" w:type="dxa"/>
            <w:shd w:val="clear" w:color="auto" w:fill="auto"/>
            <w:vAlign w:val="center"/>
          </w:tcPr>
          <w:p w14:paraId="63CDA7A1"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9,15%</w:t>
            </w:r>
          </w:p>
        </w:tc>
        <w:tc>
          <w:tcPr>
            <w:tcW w:w="713" w:type="dxa"/>
            <w:shd w:val="clear" w:color="auto" w:fill="auto"/>
            <w:vAlign w:val="center"/>
          </w:tcPr>
          <w:p w14:paraId="63A4C219"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21:13</w:t>
            </w:r>
          </w:p>
        </w:tc>
        <w:tc>
          <w:tcPr>
            <w:tcW w:w="714" w:type="dxa"/>
            <w:shd w:val="clear" w:color="auto" w:fill="auto"/>
            <w:vAlign w:val="center"/>
          </w:tcPr>
          <w:p w14:paraId="42B72787"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7,18%</w:t>
            </w:r>
          </w:p>
        </w:tc>
        <w:tc>
          <w:tcPr>
            <w:tcW w:w="713" w:type="dxa"/>
            <w:shd w:val="clear" w:color="auto" w:fill="auto"/>
            <w:vAlign w:val="center"/>
          </w:tcPr>
          <w:p w14:paraId="077435D8"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02:</w:t>
            </w:r>
            <w:proofErr w:type="gramEnd"/>
            <w:r>
              <w:rPr>
                <w:rFonts w:ascii="Rockwell" w:eastAsia="Times New Roman" w:hAnsi="Rockwell"/>
                <w:color w:val="000000"/>
                <w:sz w:val="12"/>
                <w:szCs w:val="12"/>
              </w:rPr>
              <w:t>29:04</w:t>
            </w:r>
          </w:p>
        </w:tc>
        <w:tc>
          <w:tcPr>
            <w:tcW w:w="713" w:type="dxa"/>
            <w:shd w:val="clear" w:color="auto" w:fill="auto"/>
            <w:vAlign w:val="center"/>
          </w:tcPr>
          <w:p w14:paraId="1042641B"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16,00%</w:t>
            </w:r>
          </w:p>
        </w:tc>
        <w:tc>
          <w:tcPr>
            <w:tcW w:w="713" w:type="dxa"/>
            <w:shd w:val="clear" w:color="auto" w:fill="auto"/>
            <w:vAlign w:val="center"/>
          </w:tcPr>
          <w:p w14:paraId="5E0721F8"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07:30</w:t>
            </w:r>
          </w:p>
        </w:tc>
        <w:tc>
          <w:tcPr>
            <w:tcW w:w="714" w:type="dxa"/>
            <w:shd w:val="clear" w:color="auto" w:fill="auto"/>
            <w:vAlign w:val="center"/>
          </w:tcPr>
          <w:p w14:paraId="52AF0FD8"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16,04%</w:t>
            </w:r>
          </w:p>
        </w:tc>
      </w:tr>
      <w:tr w:rsidR="00733207" w14:paraId="2633C65A" w14:textId="77777777">
        <w:trPr>
          <w:trHeight w:val="16"/>
          <w:jc w:val="center"/>
        </w:trPr>
        <w:tc>
          <w:tcPr>
            <w:tcW w:w="1426" w:type="dxa"/>
            <w:shd w:val="clear" w:color="auto" w:fill="auto"/>
          </w:tcPr>
          <w:p w14:paraId="0AFA0BC6"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b/>
                <w:bCs/>
                <w:color w:val="000000"/>
                <w:sz w:val="12"/>
                <w:szCs w:val="12"/>
              </w:rPr>
              <w:t>PARTIS POLITIQUES</w:t>
            </w:r>
          </w:p>
        </w:tc>
        <w:tc>
          <w:tcPr>
            <w:tcW w:w="696" w:type="dxa"/>
            <w:shd w:val="clear" w:color="auto" w:fill="auto"/>
            <w:vAlign w:val="center"/>
          </w:tcPr>
          <w:p w14:paraId="35A2509F"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00:00</w:t>
            </w:r>
          </w:p>
        </w:tc>
        <w:tc>
          <w:tcPr>
            <w:tcW w:w="708" w:type="dxa"/>
            <w:shd w:val="clear" w:color="auto" w:fill="auto"/>
            <w:vAlign w:val="center"/>
          </w:tcPr>
          <w:p w14:paraId="2EFBA540"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0,00%</w:t>
            </w:r>
          </w:p>
        </w:tc>
        <w:tc>
          <w:tcPr>
            <w:tcW w:w="709" w:type="dxa"/>
            <w:shd w:val="clear" w:color="auto" w:fill="auto"/>
            <w:vAlign w:val="center"/>
          </w:tcPr>
          <w:p w14:paraId="06FF58A7"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00:00</w:t>
            </w:r>
          </w:p>
        </w:tc>
        <w:tc>
          <w:tcPr>
            <w:tcW w:w="502" w:type="dxa"/>
            <w:shd w:val="clear" w:color="auto" w:fill="auto"/>
            <w:vAlign w:val="center"/>
          </w:tcPr>
          <w:p w14:paraId="0CF8AE53"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0,00%</w:t>
            </w:r>
          </w:p>
        </w:tc>
        <w:tc>
          <w:tcPr>
            <w:tcW w:w="713" w:type="dxa"/>
            <w:shd w:val="clear" w:color="auto" w:fill="auto"/>
            <w:vAlign w:val="center"/>
          </w:tcPr>
          <w:p w14:paraId="3B446DB6"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02:08</w:t>
            </w:r>
          </w:p>
        </w:tc>
        <w:tc>
          <w:tcPr>
            <w:tcW w:w="713" w:type="dxa"/>
            <w:shd w:val="clear" w:color="auto" w:fill="auto"/>
            <w:vAlign w:val="center"/>
          </w:tcPr>
          <w:p w14:paraId="4B31A480"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0,16%</w:t>
            </w:r>
          </w:p>
        </w:tc>
        <w:tc>
          <w:tcPr>
            <w:tcW w:w="713" w:type="dxa"/>
            <w:shd w:val="clear" w:color="auto" w:fill="auto"/>
            <w:vAlign w:val="center"/>
          </w:tcPr>
          <w:p w14:paraId="4A80A3FB"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01:23</w:t>
            </w:r>
          </w:p>
        </w:tc>
        <w:tc>
          <w:tcPr>
            <w:tcW w:w="714" w:type="dxa"/>
            <w:shd w:val="clear" w:color="auto" w:fill="auto"/>
            <w:vAlign w:val="center"/>
          </w:tcPr>
          <w:p w14:paraId="441FBA16"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0,24%</w:t>
            </w:r>
          </w:p>
        </w:tc>
        <w:tc>
          <w:tcPr>
            <w:tcW w:w="713" w:type="dxa"/>
            <w:shd w:val="clear" w:color="auto" w:fill="auto"/>
            <w:vAlign w:val="center"/>
          </w:tcPr>
          <w:p w14:paraId="1032B909"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13:02</w:t>
            </w:r>
          </w:p>
        </w:tc>
        <w:tc>
          <w:tcPr>
            <w:tcW w:w="713" w:type="dxa"/>
            <w:shd w:val="clear" w:color="auto" w:fill="auto"/>
            <w:vAlign w:val="center"/>
          </w:tcPr>
          <w:p w14:paraId="04F135FC"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1,76%</w:t>
            </w:r>
          </w:p>
        </w:tc>
        <w:tc>
          <w:tcPr>
            <w:tcW w:w="713" w:type="dxa"/>
            <w:shd w:val="clear" w:color="auto" w:fill="auto"/>
            <w:vAlign w:val="center"/>
          </w:tcPr>
          <w:p w14:paraId="34B0C25D"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06:08</w:t>
            </w:r>
          </w:p>
        </w:tc>
        <w:tc>
          <w:tcPr>
            <w:tcW w:w="714" w:type="dxa"/>
            <w:shd w:val="clear" w:color="auto" w:fill="auto"/>
            <w:vAlign w:val="center"/>
          </w:tcPr>
          <w:p w14:paraId="7C1D3E00"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2,08%</w:t>
            </w:r>
          </w:p>
        </w:tc>
        <w:tc>
          <w:tcPr>
            <w:tcW w:w="713" w:type="dxa"/>
            <w:shd w:val="clear" w:color="auto" w:fill="auto"/>
            <w:vAlign w:val="center"/>
          </w:tcPr>
          <w:p w14:paraId="08E08C80"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28:23</w:t>
            </w:r>
          </w:p>
        </w:tc>
        <w:tc>
          <w:tcPr>
            <w:tcW w:w="713" w:type="dxa"/>
            <w:shd w:val="clear" w:color="auto" w:fill="auto"/>
            <w:vAlign w:val="center"/>
          </w:tcPr>
          <w:p w14:paraId="297ABFC7"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3,05%</w:t>
            </w:r>
          </w:p>
        </w:tc>
        <w:tc>
          <w:tcPr>
            <w:tcW w:w="713" w:type="dxa"/>
            <w:shd w:val="clear" w:color="auto" w:fill="auto"/>
            <w:vAlign w:val="center"/>
          </w:tcPr>
          <w:p w14:paraId="651BEE63"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14:57</w:t>
            </w:r>
          </w:p>
        </w:tc>
        <w:tc>
          <w:tcPr>
            <w:tcW w:w="714" w:type="dxa"/>
            <w:shd w:val="clear" w:color="auto" w:fill="auto"/>
            <w:vAlign w:val="center"/>
          </w:tcPr>
          <w:p w14:paraId="7B953589"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3,55%</w:t>
            </w:r>
          </w:p>
        </w:tc>
      </w:tr>
      <w:tr w:rsidR="00733207" w14:paraId="76805611" w14:textId="77777777">
        <w:trPr>
          <w:trHeight w:val="16"/>
          <w:jc w:val="center"/>
        </w:trPr>
        <w:tc>
          <w:tcPr>
            <w:tcW w:w="1426" w:type="dxa"/>
            <w:shd w:val="clear" w:color="auto" w:fill="auto"/>
          </w:tcPr>
          <w:p w14:paraId="2B4D2EA8"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b/>
                <w:bCs/>
                <w:color w:val="000000"/>
                <w:sz w:val="12"/>
                <w:szCs w:val="12"/>
              </w:rPr>
              <w:t>PRESIDENCE DU FASO</w:t>
            </w:r>
          </w:p>
        </w:tc>
        <w:tc>
          <w:tcPr>
            <w:tcW w:w="696" w:type="dxa"/>
            <w:shd w:val="clear" w:color="auto" w:fill="auto"/>
            <w:vAlign w:val="center"/>
          </w:tcPr>
          <w:p w14:paraId="4B03B334"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13:40</w:t>
            </w:r>
          </w:p>
        </w:tc>
        <w:tc>
          <w:tcPr>
            <w:tcW w:w="708" w:type="dxa"/>
            <w:shd w:val="clear" w:color="auto" w:fill="auto"/>
            <w:vAlign w:val="center"/>
          </w:tcPr>
          <w:p w14:paraId="67FEB95D"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10,13%</w:t>
            </w:r>
          </w:p>
        </w:tc>
        <w:tc>
          <w:tcPr>
            <w:tcW w:w="709" w:type="dxa"/>
            <w:shd w:val="clear" w:color="auto" w:fill="auto"/>
            <w:vAlign w:val="center"/>
          </w:tcPr>
          <w:p w14:paraId="321A1F12"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53:47</w:t>
            </w:r>
          </w:p>
        </w:tc>
        <w:tc>
          <w:tcPr>
            <w:tcW w:w="502" w:type="dxa"/>
            <w:shd w:val="clear" w:color="auto" w:fill="auto"/>
            <w:vAlign w:val="center"/>
          </w:tcPr>
          <w:p w14:paraId="2F26B9CD"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9,02%</w:t>
            </w:r>
          </w:p>
        </w:tc>
        <w:tc>
          <w:tcPr>
            <w:tcW w:w="713" w:type="dxa"/>
            <w:shd w:val="clear" w:color="auto" w:fill="auto"/>
            <w:vAlign w:val="center"/>
          </w:tcPr>
          <w:p w14:paraId="7BB2B327"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13:49</w:t>
            </w:r>
          </w:p>
        </w:tc>
        <w:tc>
          <w:tcPr>
            <w:tcW w:w="713" w:type="dxa"/>
            <w:shd w:val="clear" w:color="auto" w:fill="auto"/>
            <w:vAlign w:val="center"/>
          </w:tcPr>
          <w:p w14:paraId="118FDC87"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5,61%</w:t>
            </w:r>
          </w:p>
        </w:tc>
        <w:tc>
          <w:tcPr>
            <w:tcW w:w="713" w:type="dxa"/>
            <w:shd w:val="clear" w:color="auto" w:fill="auto"/>
            <w:vAlign w:val="center"/>
          </w:tcPr>
          <w:p w14:paraId="570BD62C"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44:41</w:t>
            </w:r>
          </w:p>
        </w:tc>
        <w:tc>
          <w:tcPr>
            <w:tcW w:w="714" w:type="dxa"/>
            <w:shd w:val="clear" w:color="auto" w:fill="auto"/>
            <w:vAlign w:val="center"/>
          </w:tcPr>
          <w:p w14:paraId="7C24397C"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7,74%</w:t>
            </w:r>
          </w:p>
        </w:tc>
        <w:tc>
          <w:tcPr>
            <w:tcW w:w="713" w:type="dxa"/>
            <w:shd w:val="clear" w:color="auto" w:fill="auto"/>
            <w:vAlign w:val="center"/>
          </w:tcPr>
          <w:p w14:paraId="14BE52A5"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47:51</w:t>
            </w:r>
          </w:p>
        </w:tc>
        <w:tc>
          <w:tcPr>
            <w:tcW w:w="713" w:type="dxa"/>
            <w:shd w:val="clear" w:color="auto" w:fill="auto"/>
            <w:vAlign w:val="center"/>
          </w:tcPr>
          <w:p w14:paraId="64753C83"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6,46%</w:t>
            </w:r>
          </w:p>
        </w:tc>
        <w:tc>
          <w:tcPr>
            <w:tcW w:w="713" w:type="dxa"/>
            <w:shd w:val="clear" w:color="auto" w:fill="auto"/>
            <w:vAlign w:val="center"/>
          </w:tcPr>
          <w:p w14:paraId="009F4CC1"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35:00</w:t>
            </w:r>
          </w:p>
        </w:tc>
        <w:tc>
          <w:tcPr>
            <w:tcW w:w="714" w:type="dxa"/>
            <w:shd w:val="clear" w:color="auto" w:fill="auto"/>
            <w:vAlign w:val="center"/>
          </w:tcPr>
          <w:p w14:paraId="7A502F73"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11,85%</w:t>
            </w:r>
          </w:p>
        </w:tc>
        <w:tc>
          <w:tcPr>
            <w:tcW w:w="713" w:type="dxa"/>
            <w:shd w:val="clear" w:color="auto" w:fill="auto"/>
            <w:vAlign w:val="center"/>
          </w:tcPr>
          <w:p w14:paraId="7139367A"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30:25</w:t>
            </w:r>
          </w:p>
        </w:tc>
        <w:tc>
          <w:tcPr>
            <w:tcW w:w="713" w:type="dxa"/>
            <w:shd w:val="clear" w:color="auto" w:fill="auto"/>
            <w:vAlign w:val="center"/>
          </w:tcPr>
          <w:p w14:paraId="3AEBDAAF"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3,26%</w:t>
            </w:r>
          </w:p>
        </w:tc>
        <w:tc>
          <w:tcPr>
            <w:tcW w:w="713" w:type="dxa"/>
            <w:shd w:val="clear" w:color="auto" w:fill="auto"/>
            <w:vAlign w:val="center"/>
          </w:tcPr>
          <w:p w14:paraId="053148DD"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17:13</w:t>
            </w:r>
          </w:p>
        </w:tc>
        <w:tc>
          <w:tcPr>
            <w:tcW w:w="714" w:type="dxa"/>
            <w:shd w:val="clear" w:color="auto" w:fill="auto"/>
            <w:vAlign w:val="center"/>
          </w:tcPr>
          <w:p w14:paraId="4EC4FF3B"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4,09%</w:t>
            </w:r>
          </w:p>
        </w:tc>
      </w:tr>
      <w:tr w:rsidR="00733207" w14:paraId="07BDC5EB" w14:textId="77777777">
        <w:trPr>
          <w:trHeight w:val="16"/>
          <w:jc w:val="center"/>
        </w:trPr>
        <w:tc>
          <w:tcPr>
            <w:tcW w:w="1426" w:type="dxa"/>
            <w:shd w:val="clear" w:color="auto" w:fill="auto"/>
          </w:tcPr>
          <w:p w14:paraId="3472D000" w14:textId="77777777" w:rsidR="00733207" w:rsidRDefault="00912BAE">
            <w:pPr>
              <w:spacing w:before="120" w:after="120" w:line="360" w:lineRule="auto"/>
              <w:jc w:val="both"/>
              <w:rPr>
                <w:rFonts w:ascii="Rockwell" w:eastAsia="Times New Roman" w:hAnsi="Rockwell" w:cs="Calibri"/>
                <w:color w:val="000000"/>
                <w:sz w:val="12"/>
                <w:szCs w:val="12"/>
              </w:rPr>
            </w:pPr>
            <w:r>
              <w:rPr>
                <w:rFonts w:ascii="Rockwell" w:eastAsia="Times New Roman" w:hAnsi="Rockwell" w:cs="Calibri"/>
                <w:b/>
                <w:bCs/>
                <w:color w:val="000000"/>
                <w:sz w:val="12"/>
                <w:szCs w:val="12"/>
              </w:rPr>
              <w:t>SOCIETE CIVILE</w:t>
            </w:r>
          </w:p>
        </w:tc>
        <w:tc>
          <w:tcPr>
            <w:tcW w:w="696" w:type="dxa"/>
            <w:shd w:val="clear" w:color="auto" w:fill="auto"/>
            <w:vAlign w:val="center"/>
          </w:tcPr>
          <w:p w14:paraId="33A2535D"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03:</w:t>
            </w:r>
            <w:proofErr w:type="gramEnd"/>
            <w:r>
              <w:rPr>
                <w:rFonts w:ascii="Rockwell" w:eastAsia="Times New Roman" w:hAnsi="Rockwell"/>
                <w:color w:val="000000"/>
                <w:sz w:val="12"/>
                <w:szCs w:val="12"/>
              </w:rPr>
              <w:t>31:47</w:t>
            </w:r>
          </w:p>
        </w:tc>
        <w:tc>
          <w:tcPr>
            <w:tcW w:w="708" w:type="dxa"/>
            <w:shd w:val="clear" w:color="auto" w:fill="auto"/>
            <w:vAlign w:val="center"/>
          </w:tcPr>
          <w:p w14:paraId="7564D592"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29,12%</w:t>
            </w:r>
          </w:p>
        </w:tc>
        <w:tc>
          <w:tcPr>
            <w:tcW w:w="709" w:type="dxa"/>
            <w:shd w:val="clear" w:color="auto" w:fill="auto"/>
            <w:vAlign w:val="center"/>
          </w:tcPr>
          <w:p w14:paraId="38624A7C"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37:04</w:t>
            </w:r>
          </w:p>
        </w:tc>
        <w:tc>
          <w:tcPr>
            <w:tcW w:w="502" w:type="dxa"/>
            <w:shd w:val="clear" w:color="auto" w:fill="auto"/>
            <w:vAlign w:val="center"/>
          </w:tcPr>
          <w:p w14:paraId="2DD0480C"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6,22%</w:t>
            </w:r>
          </w:p>
        </w:tc>
        <w:tc>
          <w:tcPr>
            <w:tcW w:w="713" w:type="dxa"/>
            <w:shd w:val="clear" w:color="auto" w:fill="auto"/>
            <w:vAlign w:val="center"/>
          </w:tcPr>
          <w:p w14:paraId="2A68B566"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04:</w:t>
            </w:r>
            <w:proofErr w:type="gramEnd"/>
            <w:r>
              <w:rPr>
                <w:rFonts w:ascii="Rockwell" w:eastAsia="Times New Roman" w:hAnsi="Rockwell"/>
                <w:color w:val="000000"/>
                <w:sz w:val="12"/>
                <w:szCs w:val="12"/>
              </w:rPr>
              <w:t>19:24</w:t>
            </w:r>
          </w:p>
        </w:tc>
        <w:tc>
          <w:tcPr>
            <w:tcW w:w="713" w:type="dxa"/>
            <w:shd w:val="clear" w:color="auto" w:fill="auto"/>
            <w:vAlign w:val="center"/>
          </w:tcPr>
          <w:p w14:paraId="0E03D702"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19,71%</w:t>
            </w:r>
          </w:p>
        </w:tc>
        <w:tc>
          <w:tcPr>
            <w:tcW w:w="713" w:type="dxa"/>
            <w:shd w:val="clear" w:color="auto" w:fill="auto"/>
            <w:vAlign w:val="center"/>
          </w:tcPr>
          <w:p w14:paraId="445C301B"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43:37</w:t>
            </w:r>
          </w:p>
        </w:tc>
        <w:tc>
          <w:tcPr>
            <w:tcW w:w="714" w:type="dxa"/>
            <w:shd w:val="clear" w:color="auto" w:fill="auto"/>
            <w:vAlign w:val="center"/>
          </w:tcPr>
          <w:p w14:paraId="1FAE677C"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17,94%</w:t>
            </w:r>
          </w:p>
        </w:tc>
        <w:tc>
          <w:tcPr>
            <w:tcW w:w="713" w:type="dxa"/>
            <w:shd w:val="clear" w:color="auto" w:fill="auto"/>
            <w:vAlign w:val="center"/>
          </w:tcPr>
          <w:p w14:paraId="00C4B433"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04:</w:t>
            </w:r>
            <w:proofErr w:type="gramEnd"/>
            <w:r>
              <w:rPr>
                <w:rFonts w:ascii="Rockwell" w:eastAsia="Times New Roman" w:hAnsi="Rockwell"/>
                <w:color w:val="000000"/>
                <w:sz w:val="12"/>
                <w:szCs w:val="12"/>
              </w:rPr>
              <w:t>30:22</w:t>
            </w:r>
          </w:p>
        </w:tc>
        <w:tc>
          <w:tcPr>
            <w:tcW w:w="713" w:type="dxa"/>
            <w:shd w:val="clear" w:color="auto" w:fill="auto"/>
            <w:vAlign w:val="center"/>
          </w:tcPr>
          <w:p w14:paraId="1541CC31"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36,50%</w:t>
            </w:r>
          </w:p>
        </w:tc>
        <w:tc>
          <w:tcPr>
            <w:tcW w:w="713" w:type="dxa"/>
            <w:shd w:val="clear" w:color="auto" w:fill="auto"/>
            <w:vAlign w:val="center"/>
          </w:tcPr>
          <w:p w14:paraId="1843281B"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02:</w:t>
            </w:r>
            <w:proofErr w:type="gramEnd"/>
            <w:r>
              <w:rPr>
                <w:rFonts w:ascii="Rockwell" w:eastAsia="Times New Roman" w:hAnsi="Rockwell"/>
                <w:color w:val="000000"/>
                <w:sz w:val="12"/>
                <w:szCs w:val="12"/>
              </w:rPr>
              <w:t>04:37</w:t>
            </w:r>
          </w:p>
        </w:tc>
        <w:tc>
          <w:tcPr>
            <w:tcW w:w="714" w:type="dxa"/>
            <w:shd w:val="clear" w:color="auto" w:fill="auto"/>
            <w:vAlign w:val="center"/>
          </w:tcPr>
          <w:p w14:paraId="63664A8B"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42,19%</w:t>
            </w:r>
          </w:p>
        </w:tc>
        <w:tc>
          <w:tcPr>
            <w:tcW w:w="713" w:type="dxa"/>
            <w:shd w:val="clear" w:color="auto" w:fill="auto"/>
            <w:vAlign w:val="center"/>
          </w:tcPr>
          <w:p w14:paraId="66469790"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01:</w:t>
            </w:r>
            <w:proofErr w:type="gramEnd"/>
            <w:r>
              <w:rPr>
                <w:rFonts w:ascii="Rockwell" w:eastAsia="Times New Roman" w:hAnsi="Rockwell"/>
                <w:color w:val="000000"/>
                <w:sz w:val="12"/>
                <w:szCs w:val="12"/>
              </w:rPr>
              <w:t>59:37</w:t>
            </w:r>
          </w:p>
        </w:tc>
        <w:tc>
          <w:tcPr>
            <w:tcW w:w="713" w:type="dxa"/>
            <w:shd w:val="clear" w:color="auto" w:fill="auto"/>
            <w:vAlign w:val="center"/>
          </w:tcPr>
          <w:p w14:paraId="3D316866"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12,84%</w:t>
            </w:r>
          </w:p>
        </w:tc>
        <w:tc>
          <w:tcPr>
            <w:tcW w:w="713" w:type="dxa"/>
            <w:shd w:val="clear" w:color="auto" w:fill="auto"/>
            <w:vAlign w:val="center"/>
          </w:tcPr>
          <w:p w14:paraId="2B7ED8EA" w14:textId="77777777" w:rsidR="00733207" w:rsidRDefault="00912BAE">
            <w:pPr>
              <w:spacing w:before="120" w:after="120" w:line="360" w:lineRule="auto"/>
              <w:jc w:val="both"/>
              <w:rPr>
                <w:rFonts w:ascii="Rockwell" w:eastAsia="Times New Roman" w:hAnsi="Rockwell"/>
                <w:color w:val="000000"/>
                <w:sz w:val="12"/>
                <w:szCs w:val="12"/>
              </w:rPr>
            </w:pPr>
            <w:proofErr w:type="gramStart"/>
            <w:r>
              <w:rPr>
                <w:rFonts w:ascii="Rockwell" w:eastAsia="Times New Roman" w:hAnsi="Rockwell"/>
                <w:color w:val="000000"/>
                <w:sz w:val="12"/>
                <w:szCs w:val="12"/>
              </w:rPr>
              <w:t>00:</w:t>
            </w:r>
            <w:proofErr w:type="gramEnd"/>
            <w:r>
              <w:rPr>
                <w:rFonts w:ascii="Rockwell" w:eastAsia="Times New Roman" w:hAnsi="Rockwell"/>
                <w:color w:val="000000"/>
                <w:sz w:val="12"/>
                <w:szCs w:val="12"/>
              </w:rPr>
              <w:t>55:30</w:t>
            </w:r>
          </w:p>
        </w:tc>
        <w:tc>
          <w:tcPr>
            <w:tcW w:w="714" w:type="dxa"/>
            <w:shd w:val="clear" w:color="auto" w:fill="auto"/>
            <w:vAlign w:val="center"/>
          </w:tcPr>
          <w:p w14:paraId="3C5443E7" w14:textId="77777777" w:rsidR="00733207" w:rsidRDefault="00912BAE">
            <w:pPr>
              <w:spacing w:before="120" w:after="120" w:line="360" w:lineRule="auto"/>
              <w:jc w:val="both"/>
              <w:rPr>
                <w:rFonts w:ascii="Rockwell" w:eastAsia="Times New Roman" w:hAnsi="Rockwell"/>
                <w:color w:val="000000"/>
                <w:sz w:val="12"/>
                <w:szCs w:val="12"/>
              </w:rPr>
            </w:pPr>
            <w:r>
              <w:rPr>
                <w:rFonts w:ascii="Rockwell" w:eastAsia="Times New Roman" w:hAnsi="Rockwell"/>
                <w:color w:val="000000"/>
                <w:sz w:val="12"/>
                <w:szCs w:val="12"/>
              </w:rPr>
              <w:t>13,19%</w:t>
            </w:r>
          </w:p>
        </w:tc>
      </w:tr>
      <w:tr w:rsidR="00733207" w14:paraId="34776264" w14:textId="77777777">
        <w:trPr>
          <w:trHeight w:val="16"/>
          <w:jc w:val="center"/>
        </w:trPr>
        <w:tc>
          <w:tcPr>
            <w:tcW w:w="1426" w:type="dxa"/>
            <w:shd w:val="clear" w:color="auto" w:fill="auto"/>
          </w:tcPr>
          <w:p w14:paraId="165E8969" w14:textId="77777777" w:rsidR="00733207" w:rsidRDefault="00912BAE">
            <w:pPr>
              <w:spacing w:before="120" w:after="120" w:line="360" w:lineRule="auto"/>
              <w:jc w:val="both"/>
              <w:rPr>
                <w:rFonts w:ascii="Rockwell" w:eastAsia="Times New Roman" w:hAnsi="Rockwell" w:cs="Calibri"/>
                <w:b/>
                <w:bCs/>
                <w:color w:val="000000"/>
                <w:sz w:val="12"/>
                <w:szCs w:val="12"/>
              </w:rPr>
            </w:pPr>
            <w:r>
              <w:rPr>
                <w:rFonts w:ascii="Rockwell" w:eastAsia="Times New Roman" w:hAnsi="Rockwell" w:cs="Calibri"/>
                <w:b/>
                <w:bCs/>
                <w:color w:val="000000"/>
                <w:sz w:val="12"/>
                <w:szCs w:val="12"/>
              </w:rPr>
              <w:t>TOTAL</w:t>
            </w:r>
          </w:p>
        </w:tc>
        <w:tc>
          <w:tcPr>
            <w:tcW w:w="696" w:type="dxa"/>
            <w:shd w:val="clear" w:color="auto" w:fill="auto"/>
            <w:vAlign w:val="center"/>
          </w:tcPr>
          <w:p w14:paraId="43CA4E19"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12:</w:t>
            </w:r>
            <w:proofErr w:type="gramEnd"/>
            <w:r>
              <w:rPr>
                <w:rFonts w:ascii="Rockwell" w:eastAsia="Times New Roman" w:hAnsi="Rockwell"/>
                <w:b/>
                <w:bCs/>
                <w:color w:val="000000"/>
                <w:sz w:val="12"/>
                <w:szCs w:val="12"/>
              </w:rPr>
              <w:t>07:13</w:t>
            </w:r>
          </w:p>
        </w:tc>
        <w:tc>
          <w:tcPr>
            <w:tcW w:w="708" w:type="dxa"/>
            <w:shd w:val="clear" w:color="auto" w:fill="auto"/>
            <w:vAlign w:val="center"/>
          </w:tcPr>
          <w:p w14:paraId="4322DD77"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09" w:type="dxa"/>
            <w:shd w:val="clear" w:color="auto" w:fill="auto"/>
            <w:vAlign w:val="center"/>
          </w:tcPr>
          <w:p w14:paraId="2B96E38A"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9:</w:t>
            </w:r>
            <w:proofErr w:type="gramEnd"/>
            <w:r>
              <w:rPr>
                <w:rFonts w:ascii="Rockwell" w:eastAsia="Times New Roman" w:hAnsi="Rockwell"/>
                <w:b/>
                <w:bCs/>
                <w:color w:val="000000"/>
                <w:sz w:val="12"/>
                <w:szCs w:val="12"/>
              </w:rPr>
              <w:t>56:04</w:t>
            </w:r>
          </w:p>
        </w:tc>
        <w:tc>
          <w:tcPr>
            <w:tcW w:w="502" w:type="dxa"/>
            <w:shd w:val="clear" w:color="auto" w:fill="auto"/>
            <w:vAlign w:val="center"/>
          </w:tcPr>
          <w:p w14:paraId="56A3FFA5"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13" w:type="dxa"/>
            <w:shd w:val="clear" w:color="auto" w:fill="auto"/>
            <w:vAlign w:val="center"/>
          </w:tcPr>
          <w:p w14:paraId="6C9346F6"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21:</w:t>
            </w:r>
            <w:proofErr w:type="gramEnd"/>
            <w:r>
              <w:rPr>
                <w:rFonts w:ascii="Rockwell" w:eastAsia="Times New Roman" w:hAnsi="Rockwell"/>
                <w:b/>
                <w:bCs/>
                <w:color w:val="000000"/>
                <w:sz w:val="12"/>
                <w:szCs w:val="12"/>
              </w:rPr>
              <w:t>56:00</w:t>
            </w:r>
          </w:p>
        </w:tc>
        <w:tc>
          <w:tcPr>
            <w:tcW w:w="713" w:type="dxa"/>
            <w:shd w:val="clear" w:color="auto" w:fill="auto"/>
            <w:vAlign w:val="center"/>
          </w:tcPr>
          <w:p w14:paraId="69164C64"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13" w:type="dxa"/>
            <w:shd w:val="clear" w:color="auto" w:fill="auto"/>
            <w:vAlign w:val="center"/>
          </w:tcPr>
          <w:p w14:paraId="177D9071"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9:</w:t>
            </w:r>
            <w:proofErr w:type="gramEnd"/>
            <w:r>
              <w:rPr>
                <w:rFonts w:ascii="Rockwell" w:eastAsia="Times New Roman" w:hAnsi="Rockwell"/>
                <w:b/>
                <w:bCs/>
                <w:color w:val="000000"/>
                <w:sz w:val="12"/>
                <w:szCs w:val="12"/>
              </w:rPr>
              <w:t>37:36</w:t>
            </w:r>
          </w:p>
        </w:tc>
        <w:tc>
          <w:tcPr>
            <w:tcW w:w="714" w:type="dxa"/>
            <w:shd w:val="clear" w:color="auto" w:fill="auto"/>
            <w:vAlign w:val="center"/>
          </w:tcPr>
          <w:p w14:paraId="471AF90C"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13" w:type="dxa"/>
            <w:shd w:val="clear" w:color="auto" w:fill="auto"/>
            <w:vAlign w:val="center"/>
          </w:tcPr>
          <w:p w14:paraId="70D10B76"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12:</w:t>
            </w:r>
            <w:proofErr w:type="gramEnd"/>
            <w:r>
              <w:rPr>
                <w:rFonts w:ascii="Rockwell" w:eastAsia="Times New Roman" w:hAnsi="Rockwell"/>
                <w:b/>
                <w:bCs/>
                <w:color w:val="000000"/>
                <w:sz w:val="12"/>
                <w:szCs w:val="12"/>
              </w:rPr>
              <w:t>20:46</w:t>
            </w:r>
          </w:p>
        </w:tc>
        <w:tc>
          <w:tcPr>
            <w:tcW w:w="713" w:type="dxa"/>
            <w:shd w:val="clear" w:color="auto" w:fill="auto"/>
            <w:vAlign w:val="center"/>
          </w:tcPr>
          <w:p w14:paraId="1EB1A05C"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13" w:type="dxa"/>
            <w:shd w:val="clear" w:color="auto" w:fill="auto"/>
            <w:vAlign w:val="center"/>
          </w:tcPr>
          <w:p w14:paraId="1F61B1E1"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4:</w:t>
            </w:r>
            <w:proofErr w:type="gramEnd"/>
            <w:r>
              <w:rPr>
                <w:rFonts w:ascii="Rockwell" w:eastAsia="Times New Roman" w:hAnsi="Rockwell"/>
                <w:b/>
                <w:bCs/>
                <w:color w:val="000000"/>
                <w:sz w:val="12"/>
                <w:szCs w:val="12"/>
              </w:rPr>
              <w:t>55:21</w:t>
            </w:r>
          </w:p>
        </w:tc>
        <w:tc>
          <w:tcPr>
            <w:tcW w:w="714" w:type="dxa"/>
            <w:shd w:val="clear" w:color="auto" w:fill="auto"/>
            <w:vAlign w:val="center"/>
          </w:tcPr>
          <w:p w14:paraId="01F1D105"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13" w:type="dxa"/>
            <w:shd w:val="clear" w:color="auto" w:fill="auto"/>
            <w:vAlign w:val="center"/>
          </w:tcPr>
          <w:p w14:paraId="34EC5CD9"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15:</w:t>
            </w:r>
            <w:proofErr w:type="gramEnd"/>
            <w:r>
              <w:rPr>
                <w:rFonts w:ascii="Rockwell" w:eastAsia="Times New Roman" w:hAnsi="Rockwell"/>
                <w:b/>
                <w:bCs/>
                <w:color w:val="000000"/>
                <w:sz w:val="12"/>
                <w:szCs w:val="12"/>
              </w:rPr>
              <w:t>31:43</w:t>
            </w:r>
          </w:p>
        </w:tc>
        <w:tc>
          <w:tcPr>
            <w:tcW w:w="713" w:type="dxa"/>
            <w:shd w:val="clear" w:color="auto" w:fill="auto"/>
            <w:vAlign w:val="center"/>
          </w:tcPr>
          <w:p w14:paraId="6AB2B4DE"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c>
          <w:tcPr>
            <w:tcW w:w="713" w:type="dxa"/>
            <w:shd w:val="clear" w:color="auto" w:fill="auto"/>
            <w:vAlign w:val="center"/>
          </w:tcPr>
          <w:p w14:paraId="64D196CB" w14:textId="77777777" w:rsidR="00733207" w:rsidRDefault="00912BAE">
            <w:pPr>
              <w:spacing w:before="120" w:after="120" w:line="360" w:lineRule="auto"/>
              <w:jc w:val="both"/>
              <w:rPr>
                <w:rFonts w:ascii="Rockwell" w:eastAsia="Times New Roman" w:hAnsi="Rockwell"/>
                <w:b/>
                <w:bCs/>
                <w:color w:val="000000"/>
                <w:sz w:val="12"/>
                <w:szCs w:val="12"/>
              </w:rPr>
            </w:pPr>
            <w:proofErr w:type="gramStart"/>
            <w:r>
              <w:rPr>
                <w:rFonts w:ascii="Rockwell" w:eastAsia="Times New Roman" w:hAnsi="Rockwell"/>
                <w:b/>
                <w:bCs/>
                <w:color w:val="000000"/>
                <w:sz w:val="12"/>
                <w:szCs w:val="12"/>
              </w:rPr>
              <w:t>7:</w:t>
            </w:r>
            <w:proofErr w:type="gramEnd"/>
            <w:r>
              <w:rPr>
                <w:rFonts w:ascii="Rockwell" w:eastAsia="Times New Roman" w:hAnsi="Rockwell"/>
                <w:b/>
                <w:bCs/>
                <w:color w:val="000000"/>
                <w:sz w:val="12"/>
                <w:szCs w:val="12"/>
              </w:rPr>
              <w:t>00:48</w:t>
            </w:r>
          </w:p>
        </w:tc>
        <w:tc>
          <w:tcPr>
            <w:tcW w:w="714" w:type="dxa"/>
            <w:shd w:val="clear" w:color="auto" w:fill="auto"/>
            <w:vAlign w:val="center"/>
          </w:tcPr>
          <w:p w14:paraId="5792C409" w14:textId="77777777" w:rsidR="00733207" w:rsidRDefault="00912BAE">
            <w:pPr>
              <w:spacing w:before="120" w:after="120" w:line="360" w:lineRule="auto"/>
              <w:jc w:val="both"/>
              <w:rPr>
                <w:rFonts w:ascii="Rockwell" w:eastAsia="Times New Roman" w:hAnsi="Rockwell"/>
                <w:b/>
                <w:bCs/>
                <w:color w:val="000000"/>
                <w:sz w:val="12"/>
                <w:szCs w:val="12"/>
              </w:rPr>
            </w:pPr>
            <w:r>
              <w:rPr>
                <w:rFonts w:ascii="Rockwell" w:eastAsia="Times New Roman" w:hAnsi="Rockwell"/>
                <w:b/>
                <w:bCs/>
                <w:color w:val="000000"/>
                <w:sz w:val="12"/>
                <w:szCs w:val="12"/>
              </w:rPr>
              <w:t>100,00%</w:t>
            </w:r>
          </w:p>
        </w:tc>
      </w:tr>
    </w:tbl>
    <w:p w14:paraId="630656FD" w14:textId="77777777" w:rsidR="00733207" w:rsidRDefault="00912BAE">
      <w:pPr>
        <w:spacing w:before="120" w:after="120" w:line="360" w:lineRule="auto"/>
        <w:ind w:left="567" w:firstLine="426"/>
        <w:jc w:val="both"/>
        <w:rPr>
          <w:rFonts w:ascii="Rockwell" w:hAnsi="Rockwell"/>
          <w:i/>
        </w:rPr>
      </w:pPr>
      <w:r>
        <w:rPr>
          <w:rFonts w:ascii="Rockwell" w:hAnsi="Rockwell"/>
          <w:b/>
          <w:i/>
          <w:u w:val="single"/>
        </w:rPr>
        <w:t>Source</w:t>
      </w:r>
      <w:r>
        <w:rPr>
          <w:rFonts w:ascii="Rockwell" w:hAnsi="Rockwell"/>
          <w:i/>
          <w:u w:val="single"/>
        </w:rPr>
        <w:t> </w:t>
      </w:r>
      <w:r>
        <w:rPr>
          <w:rFonts w:ascii="Rockwell" w:hAnsi="Rockwell"/>
          <w:i/>
        </w:rPr>
        <w:t>: CSC</w:t>
      </w:r>
    </w:p>
    <w:p w14:paraId="05441EC0" w14:textId="77777777" w:rsidR="00733207" w:rsidRDefault="00733207">
      <w:pPr>
        <w:spacing w:before="120" w:after="120" w:line="360" w:lineRule="auto"/>
        <w:jc w:val="both"/>
        <w:rPr>
          <w:rFonts w:ascii="Rockwell" w:hAnsi="Rockwell"/>
          <w:i/>
          <w:sz w:val="26"/>
          <w:szCs w:val="26"/>
        </w:rPr>
      </w:pPr>
    </w:p>
    <w:p w14:paraId="463CEBE6" w14:textId="77777777" w:rsidR="00733207" w:rsidRDefault="00733207">
      <w:pPr>
        <w:spacing w:before="120" w:after="120" w:line="360" w:lineRule="auto"/>
        <w:jc w:val="both"/>
        <w:rPr>
          <w:rFonts w:ascii="Rockwell" w:hAnsi="Rockwell"/>
          <w:i/>
          <w:sz w:val="26"/>
          <w:szCs w:val="26"/>
        </w:rPr>
      </w:pPr>
    </w:p>
    <w:tbl>
      <w:tblPr>
        <w:tblW w:w="15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859"/>
        <w:gridCol w:w="863"/>
        <w:gridCol w:w="830"/>
        <w:gridCol w:w="863"/>
        <w:gridCol w:w="859"/>
        <w:gridCol w:w="863"/>
        <w:gridCol w:w="859"/>
        <w:gridCol w:w="863"/>
        <w:gridCol w:w="859"/>
        <w:gridCol w:w="863"/>
        <w:gridCol w:w="830"/>
        <w:gridCol w:w="863"/>
        <w:gridCol w:w="948"/>
        <w:gridCol w:w="863"/>
        <w:gridCol w:w="859"/>
        <w:gridCol w:w="863"/>
      </w:tblGrid>
      <w:tr w:rsidR="00733207" w14:paraId="584AF988" w14:textId="77777777">
        <w:trPr>
          <w:trHeight w:val="60"/>
          <w:jc w:val="center"/>
        </w:trPr>
        <w:tc>
          <w:tcPr>
            <w:tcW w:w="1796" w:type="dxa"/>
            <w:vMerge w:val="restart"/>
            <w:shd w:val="clear" w:color="auto" w:fill="auto"/>
          </w:tcPr>
          <w:p w14:paraId="215C6260" w14:textId="77777777" w:rsidR="00733207" w:rsidRDefault="00912BAE">
            <w:pPr>
              <w:spacing w:before="120" w:after="120" w:line="360" w:lineRule="auto"/>
              <w:jc w:val="both"/>
              <w:rPr>
                <w:rFonts w:ascii="Rockwell" w:eastAsia="Times New Roman" w:hAnsi="Rockwell" w:cs="Calibri"/>
                <w:b/>
                <w:bCs/>
                <w:color w:val="000000"/>
                <w:sz w:val="16"/>
                <w:szCs w:val="16"/>
              </w:rPr>
            </w:pPr>
            <w:r>
              <w:rPr>
                <w:rFonts w:ascii="Rockwell" w:eastAsia="Times New Roman" w:hAnsi="Rockwell" w:cs="Calibri"/>
                <w:b/>
                <w:bCs/>
                <w:color w:val="000000"/>
                <w:sz w:val="16"/>
                <w:szCs w:val="16"/>
              </w:rPr>
              <w:lastRenderedPageBreak/>
              <w:t>ACTEURS SOCIOPOLITIQUES</w:t>
            </w:r>
          </w:p>
        </w:tc>
        <w:tc>
          <w:tcPr>
            <w:tcW w:w="3415" w:type="dxa"/>
            <w:gridSpan w:val="4"/>
            <w:shd w:val="clear" w:color="auto" w:fill="auto"/>
          </w:tcPr>
          <w:p w14:paraId="7036C04F" w14:textId="77777777" w:rsidR="00733207" w:rsidRDefault="00912BAE">
            <w:pPr>
              <w:spacing w:before="120" w:after="120" w:line="360" w:lineRule="auto"/>
              <w:jc w:val="center"/>
              <w:rPr>
                <w:rFonts w:ascii="Rockwell" w:eastAsia="Times New Roman" w:hAnsi="Rockwell" w:cs="Calibri"/>
                <w:b/>
                <w:bCs/>
                <w:color w:val="000000"/>
                <w:sz w:val="16"/>
                <w:szCs w:val="16"/>
              </w:rPr>
            </w:pPr>
            <w:r>
              <w:rPr>
                <w:rFonts w:ascii="Rockwell" w:eastAsia="Times New Roman" w:hAnsi="Rockwell" w:cs="Calibri"/>
                <w:b/>
                <w:bCs/>
                <w:color w:val="000000"/>
                <w:sz w:val="16"/>
                <w:szCs w:val="16"/>
              </w:rPr>
              <w:t>RADIO OMEGA FM</w:t>
            </w:r>
          </w:p>
        </w:tc>
        <w:tc>
          <w:tcPr>
            <w:tcW w:w="3444" w:type="dxa"/>
            <w:gridSpan w:val="4"/>
            <w:shd w:val="clear" w:color="auto" w:fill="auto"/>
          </w:tcPr>
          <w:p w14:paraId="7F7C82D1" w14:textId="77777777" w:rsidR="00733207" w:rsidRDefault="00912BAE">
            <w:pPr>
              <w:spacing w:before="120" w:after="120" w:line="360" w:lineRule="auto"/>
              <w:jc w:val="center"/>
              <w:rPr>
                <w:rFonts w:ascii="Rockwell" w:eastAsia="Times New Roman" w:hAnsi="Rockwell" w:cs="Calibri"/>
                <w:b/>
                <w:bCs/>
                <w:color w:val="000000"/>
                <w:sz w:val="16"/>
                <w:szCs w:val="16"/>
              </w:rPr>
            </w:pPr>
            <w:r>
              <w:rPr>
                <w:rFonts w:ascii="Rockwell" w:eastAsia="Times New Roman" w:hAnsi="Rockwell" w:cs="Calibri"/>
                <w:b/>
                <w:bCs/>
                <w:color w:val="000000"/>
                <w:sz w:val="16"/>
                <w:szCs w:val="16"/>
              </w:rPr>
              <w:t>TELEVISION 3TV</w:t>
            </w:r>
          </w:p>
        </w:tc>
        <w:tc>
          <w:tcPr>
            <w:tcW w:w="3415" w:type="dxa"/>
            <w:gridSpan w:val="4"/>
            <w:shd w:val="clear" w:color="auto" w:fill="auto"/>
          </w:tcPr>
          <w:p w14:paraId="66B39052" w14:textId="77777777" w:rsidR="00733207" w:rsidRDefault="00912BAE">
            <w:pPr>
              <w:spacing w:before="120" w:after="120" w:line="360" w:lineRule="auto"/>
              <w:jc w:val="center"/>
              <w:rPr>
                <w:rFonts w:ascii="Rockwell" w:eastAsia="Times New Roman" w:hAnsi="Rockwell" w:cs="Calibri"/>
                <w:b/>
                <w:bCs/>
                <w:color w:val="000000"/>
                <w:sz w:val="16"/>
                <w:szCs w:val="16"/>
              </w:rPr>
            </w:pPr>
            <w:r>
              <w:rPr>
                <w:rFonts w:ascii="Rockwell" w:eastAsia="Times New Roman" w:hAnsi="Rockwell" w:cs="Calibri"/>
                <w:b/>
                <w:bCs/>
                <w:color w:val="000000"/>
                <w:sz w:val="16"/>
                <w:szCs w:val="16"/>
              </w:rPr>
              <w:t>TELEVISION BF1</w:t>
            </w:r>
          </w:p>
        </w:tc>
        <w:tc>
          <w:tcPr>
            <w:tcW w:w="3533" w:type="dxa"/>
            <w:gridSpan w:val="4"/>
            <w:shd w:val="clear" w:color="auto" w:fill="auto"/>
          </w:tcPr>
          <w:p w14:paraId="11B4987F" w14:textId="77777777" w:rsidR="00733207" w:rsidRDefault="00912BAE">
            <w:pPr>
              <w:spacing w:before="120" w:after="120" w:line="360" w:lineRule="auto"/>
              <w:jc w:val="center"/>
              <w:rPr>
                <w:rFonts w:ascii="Rockwell" w:eastAsia="Times New Roman" w:hAnsi="Rockwell" w:cs="Calibri"/>
                <w:b/>
                <w:bCs/>
                <w:color w:val="000000"/>
                <w:sz w:val="16"/>
                <w:szCs w:val="16"/>
              </w:rPr>
            </w:pPr>
            <w:r>
              <w:rPr>
                <w:rFonts w:ascii="Rockwell" w:eastAsia="Times New Roman" w:hAnsi="Rockwell" w:cs="Calibri"/>
                <w:b/>
                <w:bCs/>
                <w:color w:val="000000"/>
                <w:sz w:val="16"/>
                <w:szCs w:val="16"/>
              </w:rPr>
              <w:t>TOTAL</w:t>
            </w:r>
          </w:p>
        </w:tc>
      </w:tr>
      <w:tr w:rsidR="00733207" w14:paraId="370250B5" w14:textId="77777777">
        <w:trPr>
          <w:trHeight w:val="60"/>
          <w:jc w:val="center"/>
        </w:trPr>
        <w:tc>
          <w:tcPr>
            <w:tcW w:w="1796" w:type="dxa"/>
            <w:vMerge/>
            <w:shd w:val="clear" w:color="auto" w:fill="auto"/>
          </w:tcPr>
          <w:p w14:paraId="4F53B57D" w14:textId="77777777" w:rsidR="00733207" w:rsidRDefault="00733207">
            <w:pPr>
              <w:spacing w:before="120" w:after="120" w:line="360" w:lineRule="auto"/>
              <w:jc w:val="both"/>
              <w:rPr>
                <w:rFonts w:ascii="Rockwell" w:eastAsia="Times New Roman" w:hAnsi="Rockwell" w:cs="Calibri"/>
                <w:b/>
                <w:bCs/>
                <w:color w:val="000000"/>
                <w:sz w:val="16"/>
                <w:szCs w:val="16"/>
              </w:rPr>
            </w:pPr>
          </w:p>
        </w:tc>
        <w:tc>
          <w:tcPr>
            <w:tcW w:w="859" w:type="dxa"/>
            <w:shd w:val="clear" w:color="auto" w:fill="auto"/>
            <w:vAlign w:val="center"/>
          </w:tcPr>
          <w:p w14:paraId="59666981"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TA</w:t>
            </w:r>
          </w:p>
        </w:tc>
        <w:tc>
          <w:tcPr>
            <w:tcW w:w="863" w:type="dxa"/>
            <w:shd w:val="clear" w:color="auto" w:fill="auto"/>
            <w:vAlign w:val="center"/>
          </w:tcPr>
          <w:p w14:paraId="48EA65AF"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TA</w:t>
            </w:r>
          </w:p>
        </w:tc>
        <w:tc>
          <w:tcPr>
            <w:tcW w:w="0" w:type="auto"/>
            <w:shd w:val="clear" w:color="auto" w:fill="auto"/>
            <w:vAlign w:val="center"/>
          </w:tcPr>
          <w:p w14:paraId="634BD306"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TP</w:t>
            </w:r>
          </w:p>
        </w:tc>
        <w:tc>
          <w:tcPr>
            <w:tcW w:w="0" w:type="auto"/>
            <w:shd w:val="clear" w:color="auto" w:fill="auto"/>
            <w:vAlign w:val="center"/>
          </w:tcPr>
          <w:p w14:paraId="6EEB6EF5"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TP</w:t>
            </w:r>
          </w:p>
        </w:tc>
        <w:tc>
          <w:tcPr>
            <w:tcW w:w="0" w:type="auto"/>
            <w:shd w:val="clear" w:color="auto" w:fill="auto"/>
            <w:vAlign w:val="center"/>
          </w:tcPr>
          <w:p w14:paraId="590CAEC7"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TA</w:t>
            </w:r>
          </w:p>
        </w:tc>
        <w:tc>
          <w:tcPr>
            <w:tcW w:w="0" w:type="auto"/>
            <w:shd w:val="clear" w:color="auto" w:fill="auto"/>
            <w:vAlign w:val="center"/>
          </w:tcPr>
          <w:p w14:paraId="5699F935"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TA</w:t>
            </w:r>
          </w:p>
        </w:tc>
        <w:tc>
          <w:tcPr>
            <w:tcW w:w="0" w:type="auto"/>
            <w:shd w:val="clear" w:color="auto" w:fill="auto"/>
            <w:vAlign w:val="center"/>
          </w:tcPr>
          <w:p w14:paraId="6BFA5C30"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TP</w:t>
            </w:r>
          </w:p>
        </w:tc>
        <w:tc>
          <w:tcPr>
            <w:tcW w:w="0" w:type="auto"/>
            <w:shd w:val="clear" w:color="auto" w:fill="auto"/>
            <w:vAlign w:val="center"/>
          </w:tcPr>
          <w:p w14:paraId="7EAF99E4"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TP</w:t>
            </w:r>
          </w:p>
        </w:tc>
        <w:tc>
          <w:tcPr>
            <w:tcW w:w="0" w:type="auto"/>
            <w:shd w:val="clear" w:color="auto" w:fill="auto"/>
            <w:vAlign w:val="center"/>
          </w:tcPr>
          <w:p w14:paraId="31AFB4CB"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TA</w:t>
            </w:r>
          </w:p>
        </w:tc>
        <w:tc>
          <w:tcPr>
            <w:tcW w:w="0" w:type="auto"/>
            <w:shd w:val="clear" w:color="auto" w:fill="auto"/>
            <w:vAlign w:val="center"/>
          </w:tcPr>
          <w:p w14:paraId="3CB7980D"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TA</w:t>
            </w:r>
          </w:p>
        </w:tc>
        <w:tc>
          <w:tcPr>
            <w:tcW w:w="0" w:type="auto"/>
            <w:shd w:val="clear" w:color="auto" w:fill="auto"/>
            <w:vAlign w:val="center"/>
          </w:tcPr>
          <w:p w14:paraId="6A510F6D"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TP</w:t>
            </w:r>
          </w:p>
        </w:tc>
        <w:tc>
          <w:tcPr>
            <w:tcW w:w="0" w:type="auto"/>
            <w:shd w:val="clear" w:color="auto" w:fill="auto"/>
            <w:vAlign w:val="center"/>
          </w:tcPr>
          <w:p w14:paraId="42C9A73B"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TP</w:t>
            </w:r>
          </w:p>
        </w:tc>
        <w:tc>
          <w:tcPr>
            <w:tcW w:w="0" w:type="auto"/>
            <w:shd w:val="clear" w:color="auto" w:fill="auto"/>
            <w:vAlign w:val="center"/>
          </w:tcPr>
          <w:p w14:paraId="4D216C15"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TA</w:t>
            </w:r>
          </w:p>
        </w:tc>
        <w:tc>
          <w:tcPr>
            <w:tcW w:w="0" w:type="auto"/>
            <w:shd w:val="clear" w:color="auto" w:fill="auto"/>
            <w:vAlign w:val="center"/>
          </w:tcPr>
          <w:p w14:paraId="163C3FD1"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TA</w:t>
            </w:r>
          </w:p>
        </w:tc>
        <w:tc>
          <w:tcPr>
            <w:tcW w:w="0" w:type="auto"/>
            <w:shd w:val="clear" w:color="auto" w:fill="auto"/>
            <w:vAlign w:val="center"/>
          </w:tcPr>
          <w:p w14:paraId="2068F4C4"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TP</w:t>
            </w:r>
          </w:p>
        </w:tc>
        <w:tc>
          <w:tcPr>
            <w:tcW w:w="863" w:type="dxa"/>
            <w:shd w:val="clear" w:color="auto" w:fill="auto"/>
            <w:vAlign w:val="center"/>
          </w:tcPr>
          <w:p w14:paraId="7582D3C0"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color w:val="000000"/>
                <w:sz w:val="16"/>
                <w:szCs w:val="16"/>
              </w:rPr>
              <w:t>% TP</w:t>
            </w:r>
          </w:p>
        </w:tc>
      </w:tr>
      <w:tr w:rsidR="00733207" w14:paraId="58F93429" w14:textId="77777777">
        <w:trPr>
          <w:trHeight w:val="60"/>
          <w:jc w:val="center"/>
        </w:trPr>
        <w:tc>
          <w:tcPr>
            <w:tcW w:w="1796" w:type="dxa"/>
            <w:shd w:val="clear" w:color="auto" w:fill="auto"/>
          </w:tcPr>
          <w:p w14:paraId="6EDEEF37"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b/>
                <w:bCs/>
                <w:color w:val="000000"/>
                <w:sz w:val="16"/>
                <w:szCs w:val="16"/>
              </w:rPr>
              <w:t>ALT</w:t>
            </w:r>
          </w:p>
        </w:tc>
        <w:tc>
          <w:tcPr>
            <w:tcW w:w="859" w:type="dxa"/>
            <w:shd w:val="clear" w:color="auto" w:fill="auto"/>
            <w:vAlign w:val="center"/>
          </w:tcPr>
          <w:p w14:paraId="798C0B69"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05:06</w:t>
            </w:r>
          </w:p>
        </w:tc>
        <w:tc>
          <w:tcPr>
            <w:tcW w:w="863" w:type="dxa"/>
            <w:shd w:val="clear" w:color="auto" w:fill="auto"/>
            <w:vAlign w:val="center"/>
          </w:tcPr>
          <w:p w14:paraId="0C9EB3DC"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0,62%</w:t>
            </w:r>
          </w:p>
        </w:tc>
        <w:tc>
          <w:tcPr>
            <w:tcW w:w="0" w:type="auto"/>
            <w:shd w:val="clear" w:color="auto" w:fill="auto"/>
            <w:vAlign w:val="center"/>
          </w:tcPr>
          <w:p w14:paraId="3F66A403"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00:59</w:t>
            </w:r>
          </w:p>
        </w:tc>
        <w:tc>
          <w:tcPr>
            <w:tcW w:w="0" w:type="auto"/>
            <w:shd w:val="clear" w:color="auto" w:fill="auto"/>
            <w:vAlign w:val="center"/>
          </w:tcPr>
          <w:p w14:paraId="5FAEDD8E"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0,35%</w:t>
            </w:r>
          </w:p>
        </w:tc>
        <w:tc>
          <w:tcPr>
            <w:tcW w:w="0" w:type="auto"/>
            <w:shd w:val="clear" w:color="auto" w:fill="auto"/>
            <w:vAlign w:val="center"/>
          </w:tcPr>
          <w:p w14:paraId="527681F4"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19:55</w:t>
            </w:r>
          </w:p>
        </w:tc>
        <w:tc>
          <w:tcPr>
            <w:tcW w:w="0" w:type="auto"/>
            <w:shd w:val="clear" w:color="auto" w:fill="auto"/>
            <w:vAlign w:val="center"/>
          </w:tcPr>
          <w:p w14:paraId="276440AA"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0,75%</w:t>
            </w:r>
          </w:p>
        </w:tc>
        <w:tc>
          <w:tcPr>
            <w:tcW w:w="0" w:type="auto"/>
            <w:shd w:val="clear" w:color="auto" w:fill="auto"/>
            <w:vAlign w:val="center"/>
          </w:tcPr>
          <w:p w14:paraId="4C117720"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04:30</w:t>
            </w:r>
          </w:p>
        </w:tc>
        <w:tc>
          <w:tcPr>
            <w:tcW w:w="0" w:type="auto"/>
            <w:shd w:val="clear" w:color="auto" w:fill="auto"/>
            <w:vAlign w:val="center"/>
          </w:tcPr>
          <w:p w14:paraId="5513D766"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0,48%</w:t>
            </w:r>
          </w:p>
        </w:tc>
        <w:tc>
          <w:tcPr>
            <w:tcW w:w="0" w:type="auto"/>
            <w:shd w:val="clear" w:color="auto" w:fill="auto"/>
            <w:vAlign w:val="center"/>
          </w:tcPr>
          <w:p w14:paraId="753B368C"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06:35</w:t>
            </w:r>
          </w:p>
        </w:tc>
        <w:tc>
          <w:tcPr>
            <w:tcW w:w="0" w:type="auto"/>
            <w:shd w:val="clear" w:color="auto" w:fill="auto"/>
            <w:vAlign w:val="center"/>
          </w:tcPr>
          <w:p w14:paraId="7BA89889"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0,51%</w:t>
            </w:r>
          </w:p>
        </w:tc>
        <w:tc>
          <w:tcPr>
            <w:tcW w:w="0" w:type="auto"/>
            <w:shd w:val="clear" w:color="auto" w:fill="auto"/>
            <w:vAlign w:val="center"/>
          </w:tcPr>
          <w:p w14:paraId="0DF0AD65"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00:44</w:t>
            </w:r>
          </w:p>
        </w:tc>
        <w:tc>
          <w:tcPr>
            <w:tcW w:w="0" w:type="auto"/>
            <w:shd w:val="clear" w:color="auto" w:fill="auto"/>
            <w:vAlign w:val="center"/>
          </w:tcPr>
          <w:p w14:paraId="6538A546"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0,18%</w:t>
            </w:r>
          </w:p>
        </w:tc>
        <w:tc>
          <w:tcPr>
            <w:tcW w:w="0" w:type="auto"/>
            <w:shd w:val="clear" w:color="auto" w:fill="auto"/>
            <w:vAlign w:val="center"/>
          </w:tcPr>
          <w:p w14:paraId="4929675D"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2:</w:t>
            </w:r>
            <w:proofErr w:type="gramEnd"/>
            <w:r>
              <w:rPr>
                <w:rFonts w:ascii="Rockwell" w:eastAsia="Times New Roman" w:hAnsi="Rockwell"/>
                <w:b/>
                <w:bCs/>
                <w:color w:val="000000"/>
                <w:sz w:val="16"/>
                <w:szCs w:val="16"/>
              </w:rPr>
              <w:t>34:55</w:t>
            </w:r>
          </w:p>
        </w:tc>
        <w:tc>
          <w:tcPr>
            <w:tcW w:w="0" w:type="auto"/>
            <w:shd w:val="clear" w:color="auto" w:fill="auto"/>
            <w:vAlign w:val="center"/>
          </w:tcPr>
          <w:p w14:paraId="546F3B11"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1,82%</w:t>
            </w:r>
          </w:p>
        </w:tc>
        <w:tc>
          <w:tcPr>
            <w:tcW w:w="0" w:type="auto"/>
            <w:shd w:val="clear" w:color="auto" w:fill="auto"/>
            <w:vAlign w:val="center"/>
          </w:tcPr>
          <w:p w14:paraId="4A39E4AD"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0:</w:t>
            </w:r>
            <w:proofErr w:type="gramEnd"/>
            <w:r>
              <w:rPr>
                <w:rFonts w:ascii="Rockwell" w:eastAsia="Times New Roman" w:hAnsi="Rockwell"/>
                <w:b/>
                <w:bCs/>
                <w:color w:val="000000"/>
                <w:sz w:val="16"/>
                <w:szCs w:val="16"/>
              </w:rPr>
              <w:t>39:51</w:t>
            </w:r>
          </w:p>
        </w:tc>
        <w:tc>
          <w:tcPr>
            <w:tcW w:w="863" w:type="dxa"/>
            <w:shd w:val="clear" w:color="auto" w:fill="auto"/>
            <w:vAlign w:val="center"/>
          </w:tcPr>
          <w:p w14:paraId="2A069119"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1,13%</w:t>
            </w:r>
          </w:p>
        </w:tc>
      </w:tr>
      <w:tr w:rsidR="00733207" w14:paraId="4C8B5EB4" w14:textId="77777777">
        <w:trPr>
          <w:trHeight w:val="60"/>
          <w:jc w:val="center"/>
        </w:trPr>
        <w:tc>
          <w:tcPr>
            <w:tcW w:w="1796" w:type="dxa"/>
            <w:shd w:val="clear" w:color="auto" w:fill="auto"/>
          </w:tcPr>
          <w:p w14:paraId="6B52FF0E"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b/>
                <w:bCs/>
                <w:color w:val="000000"/>
                <w:sz w:val="16"/>
                <w:szCs w:val="16"/>
              </w:rPr>
              <w:t>GOUVERNEMENT</w:t>
            </w:r>
          </w:p>
        </w:tc>
        <w:tc>
          <w:tcPr>
            <w:tcW w:w="859" w:type="dxa"/>
            <w:shd w:val="clear" w:color="auto" w:fill="auto"/>
            <w:vAlign w:val="center"/>
          </w:tcPr>
          <w:p w14:paraId="6A0FA715"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09:</w:t>
            </w:r>
            <w:proofErr w:type="gramEnd"/>
            <w:r>
              <w:rPr>
                <w:rFonts w:ascii="Rockwell" w:eastAsia="Times New Roman" w:hAnsi="Rockwell"/>
                <w:color w:val="000000"/>
                <w:sz w:val="16"/>
                <w:szCs w:val="16"/>
              </w:rPr>
              <w:t>12:22</w:t>
            </w:r>
          </w:p>
        </w:tc>
        <w:tc>
          <w:tcPr>
            <w:tcW w:w="863" w:type="dxa"/>
            <w:shd w:val="clear" w:color="auto" w:fill="auto"/>
            <w:vAlign w:val="center"/>
          </w:tcPr>
          <w:p w14:paraId="7589B927"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67,53%</w:t>
            </w:r>
          </w:p>
        </w:tc>
        <w:tc>
          <w:tcPr>
            <w:tcW w:w="0" w:type="auto"/>
            <w:shd w:val="clear" w:color="auto" w:fill="auto"/>
            <w:vAlign w:val="center"/>
          </w:tcPr>
          <w:p w14:paraId="3F90F5EB"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02:</w:t>
            </w:r>
            <w:proofErr w:type="gramEnd"/>
            <w:r>
              <w:rPr>
                <w:rFonts w:ascii="Rockwell" w:eastAsia="Times New Roman" w:hAnsi="Rockwell"/>
                <w:color w:val="000000"/>
                <w:sz w:val="16"/>
                <w:szCs w:val="16"/>
              </w:rPr>
              <w:t>46:40</w:t>
            </w:r>
          </w:p>
        </w:tc>
        <w:tc>
          <w:tcPr>
            <w:tcW w:w="0" w:type="auto"/>
            <w:shd w:val="clear" w:color="auto" w:fill="auto"/>
            <w:vAlign w:val="center"/>
          </w:tcPr>
          <w:p w14:paraId="37370FD0"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59,34%</w:t>
            </w:r>
          </w:p>
        </w:tc>
        <w:tc>
          <w:tcPr>
            <w:tcW w:w="0" w:type="auto"/>
            <w:shd w:val="clear" w:color="auto" w:fill="auto"/>
            <w:vAlign w:val="center"/>
          </w:tcPr>
          <w:p w14:paraId="5666776D"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24:</w:t>
            </w:r>
            <w:proofErr w:type="gramEnd"/>
            <w:r>
              <w:rPr>
                <w:rFonts w:ascii="Rockwell" w:eastAsia="Times New Roman" w:hAnsi="Rockwell"/>
                <w:color w:val="000000"/>
                <w:sz w:val="16"/>
                <w:szCs w:val="16"/>
              </w:rPr>
              <w:t>10:05</w:t>
            </w:r>
          </w:p>
        </w:tc>
        <w:tc>
          <w:tcPr>
            <w:tcW w:w="0" w:type="auto"/>
            <w:shd w:val="clear" w:color="auto" w:fill="auto"/>
            <w:vAlign w:val="center"/>
          </w:tcPr>
          <w:p w14:paraId="34007AC6"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54,38%</w:t>
            </w:r>
          </w:p>
        </w:tc>
        <w:tc>
          <w:tcPr>
            <w:tcW w:w="0" w:type="auto"/>
            <w:shd w:val="clear" w:color="auto" w:fill="auto"/>
            <w:vAlign w:val="center"/>
          </w:tcPr>
          <w:p w14:paraId="1172C02B"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08:</w:t>
            </w:r>
            <w:proofErr w:type="gramEnd"/>
            <w:r>
              <w:rPr>
                <w:rFonts w:ascii="Rockwell" w:eastAsia="Times New Roman" w:hAnsi="Rockwell"/>
                <w:color w:val="000000"/>
                <w:sz w:val="16"/>
                <w:szCs w:val="16"/>
              </w:rPr>
              <w:t>30:30</w:t>
            </w:r>
          </w:p>
        </w:tc>
        <w:tc>
          <w:tcPr>
            <w:tcW w:w="0" w:type="auto"/>
            <w:shd w:val="clear" w:color="auto" w:fill="auto"/>
            <w:vAlign w:val="center"/>
          </w:tcPr>
          <w:p w14:paraId="7A42FAF9"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54,32%</w:t>
            </w:r>
          </w:p>
        </w:tc>
        <w:tc>
          <w:tcPr>
            <w:tcW w:w="0" w:type="auto"/>
            <w:shd w:val="clear" w:color="auto" w:fill="auto"/>
            <w:vAlign w:val="center"/>
          </w:tcPr>
          <w:p w14:paraId="76A31BFD"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15:</w:t>
            </w:r>
            <w:proofErr w:type="gramEnd"/>
            <w:r>
              <w:rPr>
                <w:rFonts w:ascii="Rockwell" w:eastAsia="Times New Roman" w:hAnsi="Rockwell"/>
                <w:color w:val="000000"/>
                <w:sz w:val="16"/>
                <w:szCs w:val="16"/>
              </w:rPr>
              <w:t>38:05</w:t>
            </w:r>
          </w:p>
        </w:tc>
        <w:tc>
          <w:tcPr>
            <w:tcW w:w="0" w:type="auto"/>
            <w:shd w:val="clear" w:color="auto" w:fill="auto"/>
            <w:vAlign w:val="center"/>
          </w:tcPr>
          <w:p w14:paraId="6A75AAB9"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72,01%</w:t>
            </w:r>
          </w:p>
        </w:tc>
        <w:tc>
          <w:tcPr>
            <w:tcW w:w="0" w:type="auto"/>
            <w:shd w:val="clear" w:color="auto" w:fill="auto"/>
            <w:vAlign w:val="center"/>
          </w:tcPr>
          <w:p w14:paraId="3F23781D"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04:</w:t>
            </w:r>
            <w:proofErr w:type="gramEnd"/>
            <w:r>
              <w:rPr>
                <w:rFonts w:ascii="Rockwell" w:eastAsia="Times New Roman" w:hAnsi="Rockwell"/>
                <w:color w:val="000000"/>
                <w:sz w:val="16"/>
                <w:szCs w:val="16"/>
              </w:rPr>
              <w:t>56:00</w:t>
            </w:r>
          </w:p>
        </w:tc>
        <w:tc>
          <w:tcPr>
            <w:tcW w:w="0" w:type="auto"/>
            <w:shd w:val="clear" w:color="auto" w:fill="auto"/>
            <w:vAlign w:val="center"/>
          </w:tcPr>
          <w:p w14:paraId="4EC3C282"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73,78%</w:t>
            </w:r>
          </w:p>
        </w:tc>
        <w:tc>
          <w:tcPr>
            <w:tcW w:w="0" w:type="auto"/>
            <w:shd w:val="clear" w:color="auto" w:fill="auto"/>
            <w:vAlign w:val="center"/>
          </w:tcPr>
          <w:p w14:paraId="4709C420"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82:</w:t>
            </w:r>
            <w:proofErr w:type="gramEnd"/>
            <w:r>
              <w:rPr>
                <w:rFonts w:ascii="Rockwell" w:eastAsia="Times New Roman" w:hAnsi="Rockwell"/>
                <w:b/>
                <w:bCs/>
                <w:color w:val="000000"/>
                <w:sz w:val="16"/>
                <w:szCs w:val="16"/>
              </w:rPr>
              <w:t>15:55</w:t>
            </w:r>
          </w:p>
        </w:tc>
        <w:tc>
          <w:tcPr>
            <w:tcW w:w="0" w:type="auto"/>
            <w:shd w:val="clear" w:color="auto" w:fill="auto"/>
            <w:vAlign w:val="center"/>
          </w:tcPr>
          <w:p w14:paraId="5CB5E3BA"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58,05%</w:t>
            </w:r>
          </w:p>
        </w:tc>
        <w:tc>
          <w:tcPr>
            <w:tcW w:w="0" w:type="auto"/>
            <w:shd w:val="clear" w:color="auto" w:fill="auto"/>
            <w:vAlign w:val="center"/>
          </w:tcPr>
          <w:p w14:paraId="48EE4A2F"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35:</w:t>
            </w:r>
            <w:proofErr w:type="gramEnd"/>
            <w:r>
              <w:rPr>
                <w:rFonts w:ascii="Rockwell" w:eastAsia="Times New Roman" w:hAnsi="Rockwell"/>
                <w:b/>
                <w:bCs/>
                <w:color w:val="000000"/>
                <w:sz w:val="16"/>
                <w:szCs w:val="16"/>
              </w:rPr>
              <w:t>41:08</w:t>
            </w:r>
          </w:p>
        </w:tc>
        <w:tc>
          <w:tcPr>
            <w:tcW w:w="863" w:type="dxa"/>
            <w:shd w:val="clear" w:color="auto" w:fill="auto"/>
            <w:vAlign w:val="center"/>
          </w:tcPr>
          <w:p w14:paraId="78A0D153"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60,97%</w:t>
            </w:r>
          </w:p>
        </w:tc>
      </w:tr>
      <w:tr w:rsidR="00733207" w14:paraId="6377030C" w14:textId="77777777">
        <w:trPr>
          <w:trHeight w:val="60"/>
          <w:jc w:val="center"/>
        </w:trPr>
        <w:tc>
          <w:tcPr>
            <w:tcW w:w="1796" w:type="dxa"/>
            <w:shd w:val="clear" w:color="auto" w:fill="auto"/>
          </w:tcPr>
          <w:p w14:paraId="19BCFB7B"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b/>
                <w:bCs/>
                <w:color w:val="000000"/>
                <w:sz w:val="16"/>
                <w:szCs w:val="16"/>
              </w:rPr>
              <w:t>LES AUTRES INSTITUTIONS</w:t>
            </w:r>
          </w:p>
        </w:tc>
        <w:tc>
          <w:tcPr>
            <w:tcW w:w="859" w:type="dxa"/>
            <w:shd w:val="clear" w:color="auto" w:fill="auto"/>
            <w:vAlign w:val="center"/>
          </w:tcPr>
          <w:p w14:paraId="02085A3B"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59:32</w:t>
            </w:r>
          </w:p>
        </w:tc>
        <w:tc>
          <w:tcPr>
            <w:tcW w:w="863" w:type="dxa"/>
            <w:shd w:val="clear" w:color="auto" w:fill="auto"/>
            <w:vAlign w:val="center"/>
          </w:tcPr>
          <w:p w14:paraId="157A33EC"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7,28%</w:t>
            </w:r>
          </w:p>
        </w:tc>
        <w:tc>
          <w:tcPr>
            <w:tcW w:w="0" w:type="auto"/>
            <w:shd w:val="clear" w:color="auto" w:fill="auto"/>
            <w:vAlign w:val="center"/>
          </w:tcPr>
          <w:p w14:paraId="0C2697D7"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19:08</w:t>
            </w:r>
          </w:p>
        </w:tc>
        <w:tc>
          <w:tcPr>
            <w:tcW w:w="0" w:type="auto"/>
            <w:shd w:val="clear" w:color="auto" w:fill="auto"/>
            <w:vAlign w:val="center"/>
          </w:tcPr>
          <w:p w14:paraId="3F9BD8F0"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6,81%</w:t>
            </w:r>
          </w:p>
        </w:tc>
        <w:tc>
          <w:tcPr>
            <w:tcW w:w="0" w:type="auto"/>
            <w:shd w:val="clear" w:color="auto" w:fill="auto"/>
            <w:vAlign w:val="center"/>
          </w:tcPr>
          <w:p w14:paraId="58DE541D"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04:</w:t>
            </w:r>
            <w:proofErr w:type="gramEnd"/>
            <w:r>
              <w:rPr>
                <w:rFonts w:ascii="Rockwell" w:eastAsia="Times New Roman" w:hAnsi="Rockwell"/>
                <w:color w:val="000000"/>
                <w:sz w:val="16"/>
                <w:szCs w:val="16"/>
              </w:rPr>
              <w:t>03:55</w:t>
            </w:r>
          </w:p>
        </w:tc>
        <w:tc>
          <w:tcPr>
            <w:tcW w:w="0" w:type="auto"/>
            <w:shd w:val="clear" w:color="auto" w:fill="auto"/>
            <w:vAlign w:val="center"/>
          </w:tcPr>
          <w:p w14:paraId="644DD013"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9,15%</w:t>
            </w:r>
          </w:p>
        </w:tc>
        <w:tc>
          <w:tcPr>
            <w:tcW w:w="0" w:type="auto"/>
            <w:shd w:val="clear" w:color="auto" w:fill="auto"/>
            <w:vAlign w:val="center"/>
          </w:tcPr>
          <w:p w14:paraId="18344631"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01:</w:t>
            </w:r>
            <w:proofErr w:type="gramEnd"/>
            <w:r>
              <w:rPr>
                <w:rFonts w:ascii="Rockwell" w:eastAsia="Times New Roman" w:hAnsi="Rockwell"/>
                <w:color w:val="000000"/>
                <w:sz w:val="16"/>
                <w:szCs w:val="16"/>
              </w:rPr>
              <w:t>24:11</w:t>
            </w:r>
          </w:p>
        </w:tc>
        <w:tc>
          <w:tcPr>
            <w:tcW w:w="0" w:type="auto"/>
            <w:shd w:val="clear" w:color="auto" w:fill="auto"/>
            <w:vAlign w:val="center"/>
          </w:tcPr>
          <w:p w14:paraId="28757EC0"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8,96%</w:t>
            </w:r>
          </w:p>
        </w:tc>
        <w:tc>
          <w:tcPr>
            <w:tcW w:w="0" w:type="auto"/>
            <w:shd w:val="clear" w:color="auto" w:fill="auto"/>
            <w:vAlign w:val="center"/>
          </w:tcPr>
          <w:p w14:paraId="3E8C4106"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01:</w:t>
            </w:r>
            <w:proofErr w:type="gramEnd"/>
            <w:r>
              <w:rPr>
                <w:rFonts w:ascii="Rockwell" w:eastAsia="Times New Roman" w:hAnsi="Rockwell"/>
                <w:color w:val="000000"/>
                <w:sz w:val="16"/>
                <w:szCs w:val="16"/>
              </w:rPr>
              <w:t>16:28</w:t>
            </w:r>
          </w:p>
        </w:tc>
        <w:tc>
          <w:tcPr>
            <w:tcW w:w="0" w:type="auto"/>
            <w:shd w:val="clear" w:color="auto" w:fill="auto"/>
            <w:vAlign w:val="center"/>
          </w:tcPr>
          <w:p w14:paraId="25A762A4"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5,87%</w:t>
            </w:r>
          </w:p>
        </w:tc>
        <w:tc>
          <w:tcPr>
            <w:tcW w:w="0" w:type="auto"/>
            <w:shd w:val="clear" w:color="auto" w:fill="auto"/>
            <w:vAlign w:val="center"/>
          </w:tcPr>
          <w:p w14:paraId="217FF0CA"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22:35</w:t>
            </w:r>
          </w:p>
        </w:tc>
        <w:tc>
          <w:tcPr>
            <w:tcW w:w="0" w:type="auto"/>
            <w:shd w:val="clear" w:color="auto" w:fill="auto"/>
            <w:vAlign w:val="center"/>
          </w:tcPr>
          <w:p w14:paraId="44454C99"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5,63%</w:t>
            </w:r>
          </w:p>
        </w:tc>
        <w:tc>
          <w:tcPr>
            <w:tcW w:w="0" w:type="auto"/>
            <w:shd w:val="clear" w:color="auto" w:fill="auto"/>
            <w:vAlign w:val="center"/>
          </w:tcPr>
          <w:p w14:paraId="319873E8"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14:</w:t>
            </w:r>
            <w:proofErr w:type="gramEnd"/>
            <w:r>
              <w:rPr>
                <w:rFonts w:ascii="Rockwell" w:eastAsia="Times New Roman" w:hAnsi="Rockwell"/>
                <w:b/>
                <w:bCs/>
                <w:color w:val="000000"/>
                <w:sz w:val="16"/>
                <w:szCs w:val="16"/>
              </w:rPr>
              <w:t>06:27</w:t>
            </w:r>
          </w:p>
        </w:tc>
        <w:tc>
          <w:tcPr>
            <w:tcW w:w="0" w:type="auto"/>
            <w:shd w:val="clear" w:color="auto" w:fill="auto"/>
            <w:vAlign w:val="center"/>
          </w:tcPr>
          <w:p w14:paraId="40A35B74"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9,95%</w:t>
            </w:r>
          </w:p>
        </w:tc>
        <w:tc>
          <w:tcPr>
            <w:tcW w:w="0" w:type="auto"/>
            <w:shd w:val="clear" w:color="auto" w:fill="auto"/>
            <w:vAlign w:val="center"/>
          </w:tcPr>
          <w:p w14:paraId="55F8589E"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5:</w:t>
            </w:r>
            <w:proofErr w:type="gramEnd"/>
            <w:r>
              <w:rPr>
                <w:rFonts w:ascii="Rockwell" w:eastAsia="Times New Roman" w:hAnsi="Rockwell"/>
                <w:b/>
                <w:bCs/>
                <w:color w:val="000000"/>
                <w:sz w:val="16"/>
                <w:szCs w:val="16"/>
              </w:rPr>
              <w:t>20:10</w:t>
            </w:r>
          </w:p>
        </w:tc>
        <w:tc>
          <w:tcPr>
            <w:tcW w:w="863" w:type="dxa"/>
            <w:shd w:val="clear" w:color="auto" w:fill="auto"/>
            <w:vAlign w:val="center"/>
          </w:tcPr>
          <w:p w14:paraId="336C7952"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9,12%</w:t>
            </w:r>
          </w:p>
        </w:tc>
      </w:tr>
      <w:tr w:rsidR="00733207" w14:paraId="3D51CE13" w14:textId="77777777">
        <w:trPr>
          <w:trHeight w:val="60"/>
          <w:jc w:val="center"/>
        </w:trPr>
        <w:tc>
          <w:tcPr>
            <w:tcW w:w="1796" w:type="dxa"/>
            <w:shd w:val="clear" w:color="auto" w:fill="auto"/>
          </w:tcPr>
          <w:p w14:paraId="67BCCF67"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b/>
                <w:bCs/>
                <w:color w:val="000000"/>
                <w:sz w:val="16"/>
                <w:szCs w:val="16"/>
              </w:rPr>
              <w:t>PARTIS POLITIQUES</w:t>
            </w:r>
          </w:p>
        </w:tc>
        <w:tc>
          <w:tcPr>
            <w:tcW w:w="859" w:type="dxa"/>
            <w:shd w:val="clear" w:color="auto" w:fill="auto"/>
            <w:vAlign w:val="center"/>
          </w:tcPr>
          <w:p w14:paraId="516D9FC6"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03:16</w:t>
            </w:r>
          </w:p>
        </w:tc>
        <w:tc>
          <w:tcPr>
            <w:tcW w:w="863" w:type="dxa"/>
            <w:shd w:val="clear" w:color="auto" w:fill="auto"/>
            <w:vAlign w:val="center"/>
          </w:tcPr>
          <w:p w14:paraId="75974458"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0,40%</w:t>
            </w:r>
          </w:p>
        </w:tc>
        <w:tc>
          <w:tcPr>
            <w:tcW w:w="0" w:type="auto"/>
            <w:shd w:val="clear" w:color="auto" w:fill="auto"/>
            <w:vAlign w:val="center"/>
          </w:tcPr>
          <w:p w14:paraId="4725E6DE"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02:32</w:t>
            </w:r>
          </w:p>
        </w:tc>
        <w:tc>
          <w:tcPr>
            <w:tcW w:w="0" w:type="auto"/>
            <w:shd w:val="clear" w:color="auto" w:fill="auto"/>
            <w:vAlign w:val="center"/>
          </w:tcPr>
          <w:p w14:paraId="1416B914"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0,90%</w:t>
            </w:r>
          </w:p>
        </w:tc>
        <w:tc>
          <w:tcPr>
            <w:tcW w:w="0" w:type="auto"/>
            <w:shd w:val="clear" w:color="auto" w:fill="auto"/>
            <w:vAlign w:val="center"/>
          </w:tcPr>
          <w:p w14:paraId="46C6F35B"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04:</w:t>
            </w:r>
            <w:proofErr w:type="gramEnd"/>
            <w:r>
              <w:rPr>
                <w:rFonts w:ascii="Rockwell" w:eastAsia="Times New Roman" w:hAnsi="Rockwell"/>
                <w:color w:val="000000"/>
                <w:sz w:val="16"/>
                <w:szCs w:val="16"/>
              </w:rPr>
              <w:t>22:47</w:t>
            </w:r>
          </w:p>
        </w:tc>
        <w:tc>
          <w:tcPr>
            <w:tcW w:w="0" w:type="auto"/>
            <w:shd w:val="clear" w:color="auto" w:fill="auto"/>
            <w:vAlign w:val="center"/>
          </w:tcPr>
          <w:p w14:paraId="5972C1A6"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9,86%</w:t>
            </w:r>
          </w:p>
        </w:tc>
        <w:tc>
          <w:tcPr>
            <w:tcW w:w="0" w:type="auto"/>
            <w:shd w:val="clear" w:color="auto" w:fill="auto"/>
            <w:vAlign w:val="center"/>
          </w:tcPr>
          <w:p w14:paraId="227BE41C"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01:</w:t>
            </w:r>
            <w:proofErr w:type="gramEnd"/>
            <w:r>
              <w:rPr>
                <w:rFonts w:ascii="Rockwell" w:eastAsia="Times New Roman" w:hAnsi="Rockwell"/>
                <w:color w:val="000000"/>
                <w:sz w:val="16"/>
                <w:szCs w:val="16"/>
              </w:rPr>
              <w:t>15:22</w:t>
            </w:r>
          </w:p>
        </w:tc>
        <w:tc>
          <w:tcPr>
            <w:tcW w:w="0" w:type="auto"/>
            <w:shd w:val="clear" w:color="auto" w:fill="auto"/>
            <w:vAlign w:val="center"/>
          </w:tcPr>
          <w:p w14:paraId="05EAC1BE"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8,02%</w:t>
            </w:r>
          </w:p>
        </w:tc>
        <w:tc>
          <w:tcPr>
            <w:tcW w:w="0" w:type="auto"/>
            <w:shd w:val="clear" w:color="auto" w:fill="auto"/>
            <w:vAlign w:val="center"/>
          </w:tcPr>
          <w:p w14:paraId="1A175903"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21:56</w:t>
            </w:r>
          </w:p>
        </w:tc>
        <w:tc>
          <w:tcPr>
            <w:tcW w:w="0" w:type="auto"/>
            <w:shd w:val="clear" w:color="auto" w:fill="auto"/>
            <w:vAlign w:val="center"/>
          </w:tcPr>
          <w:p w14:paraId="0CBE8A68"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1,68%</w:t>
            </w:r>
          </w:p>
        </w:tc>
        <w:tc>
          <w:tcPr>
            <w:tcW w:w="0" w:type="auto"/>
            <w:shd w:val="clear" w:color="auto" w:fill="auto"/>
            <w:vAlign w:val="center"/>
          </w:tcPr>
          <w:p w14:paraId="04D061BF"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08:20</w:t>
            </w:r>
          </w:p>
        </w:tc>
        <w:tc>
          <w:tcPr>
            <w:tcW w:w="0" w:type="auto"/>
            <w:shd w:val="clear" w:color="auto" w:fill="auto"/>
            <w:vAlign w:val="center"/>
          </w:tcPr>
          <w:p w14:paraId="49428513"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2,08%</w:t>
            </w:r>
          </w:p>
        </w:tc>
        <w:tc>
          <w:tcPr>
            <w:tcW w:w="0" w:type="auto"/>
            <w:shd w:val="clear" w:color="auto" w:fill="auto"/>
            <w:vAlign w:val="center"/>
          </w:tcPr>
          <w:p w14:paraId="17F7F595"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5:</w:t>
            </w:r>
            <w:proofErr w:type="gramEnd"/>
            <w:r>
              <w:rPr>
                <w:rFonts w:ascii="Rockwell" w:eastAsia="Times New Roman" w:hAnsi="Rockwell"/>
                <w:b/>
                <w:bCs/>
                <w:color w:val="000000"/>
                <w:sz w:val="16"/>
                <w:szCs w:val="16"/>
              </w:rPr>
              <w:t>31:32</w:t>
            </w:r>
          </w:p>
        </w:tc>
        <w:tc>
          <w:tcPr>
            <w:tcW w:w="0" w:type="auto"/>
            <w:shd w:val="clear" w:color="auto" w:fill="auto"/>
            <w:vAlign w:val="center"/>
          </w:tcPr>
          <w:p w14:paraId="1E951A24"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3,90%</w:t>
            </w:r>
          </w:p>
        </w:tc>
        <w:tc>
          <w:tcPr>
            <w:tcW w:w="0" w:type="auto"/>
            <w:shd w:val="clear" w:color="auto" w:fill="auto"/>
            <w:vAlign w:val="center"/>
          </w:tcPr>
          <w:p w14:paraId="591895B8"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1:</w:t>
            </w:r>
            <w:proofErr w:type="gramEnd"/>
            <w:r>
              <w:rPr>
                <w:rFonts w:ascii="Rockwell" w:eastAsia="Times New Roman" w:hAnsi="Rockwell"/>
                <w:b/>
                <w:bCs/>
                <w:color w:val="000000"/>
                <w:sz w:val="16"/>
                <w:szCs w:val="16"/>
              </w:rPr>
              <w:t>48:42</w:t>
            </w:r>
          </w:p>
        </w:tc>
        <w:tc>
          <w:tcPr>
            <w:tcW w:w="863" w:type="dxa"/>
            <w:shd w:val="clear" w:color="auto" w:fill="auto"/>
            <w:vAlign w:val="center"/>
          </w:tcPr>
          <w:p w14:paraId="1F3487FE"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3,10%</w:t>
            </w:r>
          </w:p>
        </w:tc>
      </w:tr>
      <w:tr w:rsidR="00733207" w14:paraId="6FE69A9A" w14:textId="77777777">
        <w:trPr>
          <w:trHeight w:val="60"/>
          <w:jc w:val="center"/>
        </w:trPr>
        <w:tc>
          <w:tcPr>
            <w:tcW w:w="1796" w:type="dxa"/>
            <w:shd w:val="clear" w:color="auto" w:fill="auto"/>
          </w:tcPr>
          <w:p w14:paraId="065B8E97"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b/>
                <w:bCs/>
                <w:color w:val="000000"/>
                <w:sz w:val="16"/>
                <w:szCs w:val="16"/>
              </w:rPr>
              <w:t>PRESIDENCE DU FASO</w:t>
            </w:r>
          </w:p>
        </w:tc>
        <w:tc>
          <w:tcPr>
            <w:tcW w:w="859" w:type="dxa"/>
            <w:shd w:val="clear" w:color="auto" w:fill="auto"/>
            <w:vAlign w:val="center"/>
          </w:tcPr>
          <w:p w14:paraId="0179E89D"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54:04</w:t>
            </w:r>
          </w:p>
        </w:tc>
        <w:tc>
          <w:tcPr>
            <w:tcW w:w="863" w:type="dxa"/>
            <w:shd w:val="clear" w:color="auto" w:fill="auto"/>
            <w:vAlign w:val="center"/>
          </w:tcPr>
          <w:p w14:paraId="3CDD7387"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6,61%</w:t>
            </w:r>
          </w:p>
        </w:tc>
        <w:tc>
          <w:tcPr>
            <w:tcW w:w="0" w:type="auto"/>
            <w:shd w:val="clear" w:color="auto" w:fill="auto"/>
            <w:vAlign w:val="center"/>
          </w:tcPr>
          <w:p w14:paraId="16A5C722"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29:36</w:t>
            </w:r>
          </w:p>
        </w:tc>
        <w:tc>
          <w:tcPr>
            <w:tcW w:w="0" w:type="auto"/>
            <w:shd w:val="clear" w:color="auto" w:fill="auto"/>
            <w:vAlign w:val="center"/>
          </w:tcPr>
          <w:p w14:paraId="70D50E0F"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10,54%</w:t>
            </w:r>
          </w:p>
        </w:tc>
        <w:tc>
          <w:tcPr>
            <w:tcW w:w="0" w:type="auto"/>
            <w:shd w:val="clear" w:color="auto" w:fill="auto"/>
            <w:vAlign w:val="center"/>
          </w:tcPr>
          <w:p w14:paraId="388943D2"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01:</w:t>
            </w:r>
            <w:proofErr w:type="gramEnd"/>
            <w:r>
              <w:rPr>
                <w:rFonts w:ascii="Rockwell" w:eastAsia="Times New Roman" w:hAnsi="Rockwell"/>
                <w:color w:val="000000"/>
                <w:sz w:val="16"/>
                <w:szCs w:val="16"/>
              </w:rPr>
              <w:t>28:09</w:t>
            </w:r>
          </w:p>
        </w:tc>
        <w:tc>
          <w:tcPr>
            <w:tcW w:w="0" w:type="auto"/>
            <w:shd w:val="clear" w:color="auto" w:fill="auto"/>
            <w:vAlign w:val="center"/>
          </w:tcPr>
          <w:p w14:paraId="04FB9833"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3,31%</w:t>
            </w:r>
          </w:p>
        </w:tc>
        <w:tc>
          <w:tcPr>
            <w:tcW w:w="0" w:type="auto"/>
            <w:shd w:val="clear" w:color="auto" w:fill="auto"/>
            <w:vAlign w:val="center"/>
          </w:tcPr>
          <w:p w14:paraId="430A85E3"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42:31</w:t>
            </w:r>
          </w:p>
        </w:tc>
        <w:tc>
          <w:tcPr>
            <w:tcW w:w="0" w:type="auto"/>
            <w:shd w:val="clear" w:color="auto" w:fill="auto"/>
            <w:vAlign w:val="center"/>
          </w:tcPr>
          <w:p w14:paraId="05BF397F"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4,52%</w:t>
            </w:r>
          </w:p>
        </w:tc>
        <w:tc>
          <w:tcPr>
            <w:tcW w:w="0" w:type="auto"/>
            <w:shd w:val="clear" w:color="auto" w:fill="auto"/>
            <w:vAlign w:val="center"/>
          </w:tcPr>
          <w:p w14:paraId="140D836C"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54:57</w:t>
            </w:r>
          </w:p>
        </w:tc>
        <w:tc>
          <w:tcPr>
            <w:tcW w:w="0" w:type="auto"/>
            <w:shd w:val="clear" w:color="auto" w:fill="auto"/>
            <w:vAlign w:val="center"/>
          </w:tcPr>
          <w:p w14:paraId="6577883F"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4,22%</w:t>
            </w:r>
          </w:p>
        </w:tc>
        <w:tc>
          <w:tcPr>
            <w:tcW w:w="0" w:type="auto"/>
            <w:shd w:val="clear" w:color="auto" w:fill="auto"/>
            <w:vAlign w:val="center"/>
          </w:tcPr>
          <w:p w14:paraId="35B2B3B3"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20:52</w:t>
            </w:r>
          </w:p>
        </w:tc>
        <w:tc>
          <w:tcPr>
            <w:tcW w:w="0" w:type="auto"/>
            <w:shd w:val="clear" w:color="auto" w:fill="auto"/>
            <w:vAlign w:val="center"/>
          </w:tcPr>
          <w:p w14:paraId="23A4B990"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5,20%</w:t>
            </w:r>
          </w:p>
        </w:tc>
        <w:tc>
          <w:tcPr>
            <w:tcW w:w="0" w:type="auto"/>
            <w:shd w:val="clear" w:color="auto" w:fill="auto"/>
            <w:vAlign w:val="center"/>
          </w:tcPr>
          <w:p w14:paraId="016F937F"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7:</w:t>
            </w:r>
            <w:proofErr w:type="gramEnd"/>
            <w:r>
              <w:rPr>
                <w:rFonts w:ascii="Rockwell" w:eastAsia="Times New Roman" w:hAnsi="Rockwell"/>
                <w:b/>
                <w:bCs/>
                <w:color w:val="000000"/>
                <w:sz w:val="16"/>
                <w:szCs w:val="16"/>
              </w:rPr>
              <w:t>02:55</w:t>
            </w:r>
          </w:p>
        </w:tc>
        <w:tc>
          <w:tcPr>
            <w:tcW w:w="0" w:type="auto"/>
            <w:shd w:val="clear" w:color="auto" w:fill="auto"/>
            <w:vAlign w:val="center"/>
          </w:tcPr>
          <w:p w14:paraId="307A1BDF"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4,97%</w:t>
            </w:r>
          </w:p>
        </w:tc>
        <w:tc>
          <w:tcPr>
            <w:tcW w:w="0" w:type="auto"/>
            <w:shd w:val="clear" w:color="auto" w:fill="auto"/>
            <w:vAlign w:val="center"/>
          </w:tcPr>
          <w:p w14:paraId="578BFE59"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4:</w:t>
            </w:r>
            <w:proofErr w:type="gramEnd"/>
            <w:r>
              <w:rPr>
                <w:rFonts w:ascii="Rockwell" w:eastAsia="Times New Roman" w:hAnsi="Rockwell"/>
                <w:b/>
                <w:bCs/>
                <w:color w:val="000000"/>
                <w:sz w:val="16"/>
                <w:szCs w:val="16"/>
              </w:rPr>
              <w:t>03:40</w:t>
            </w:r>
          </w:p>
        </w:tc>
        <w:tc>
          <w:tcPr>
            <w:tcW w:w="863" w:type="dxa"/>
            <w:shd w:val="clear" w:color="auto" w:fill="auto"/>
            <w:vAlign w:val="center"/>
          </w:tcPr>
          <w:p w14:paraId="30A9747D"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6,94%</w:t>
            </w:r>
          </w:p>
        </w:tc>
      </w:tr>
      <w:tr w:rsidR="00733207" w14:paraId="53017A43" w14:textId="77777777">
        <w:trPr>
          <w:trHeight w:val="60"/>
          <w:jc w:val="center"/>
        </w:trPr>
        <w:tc>
          <w:tcPr>
            <w:tcW w:w="1796" w:type="dxa"/>
            <w:shd w:val="clear" w:color="auto" w:fill="auto"/>
          </w:tcPr>
          <w:p w14:paraId="7CC5F2D0" w14:textId="77777777" w:rsidR="00733207" w:rsidRDefault="00912BAE">
            <w:pPr>
              <w:spacing w:before="120" w:after="120" w:line="360" w:lineRule="auto"/>
              <w:jc w:val="both"/>
              <w:rPr>
                <w:rFonts w:ascii="Rockwell" w:eastAsia="Times New Roman" w:hAnsi="Rockwell" w:cs="Calibri"/>
                <w:color w:val="000000"/>
                <w:sz w:val="16"/>
                <w:szCs w:val="16"/>
              </w:rPr>
            </w:pPr>
            <w:r>
              <w:rPr>
                <w:rFonts w:ascii="Rockwell" w:eastAsia="Times New Roman" w:hAnsi="Rockwell" w:cs="Calibri"/>
                <w:b/>
                <w:bCs/>
                <w:color w:val="000000"/>
                <w:sz w:val="16"/>
                <w:szCs w:val="16"/>
              </w:rPr>
              <w:t>SOCIETE CIVILE</w:t>
            </w:r>
          </w:p>
        </w:tc>
        <w:tc>
          <w:tcPr>
            <w:tcW w:w="859" w:type="dxa"/>
            <w:shd w:val="clear" w:color="auto" w:fill="auto"/>
            <w:vAlign w:val="center"/>
          </w:tcPr>
          <w:p w14:paraId="510112EB"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02:</w:t>
            </w:r>
            <w:proofErr w:type="gramEnd"/>
            <w:r>
              <w:rPr>
                <w:rFonts w:ascii="Rockwell" w:eastAsia="Times New Roman" w:hAnsi="Rockwell"/>
                <w:color w:val="000000"/>
                <w:sz w:val="16"/>
                <w:szCs w:val="16"/>
              </w:rPr>
              <w:t>23:38</w:t>
            </w:r>
          </w:p>
        </w:tc>
        <w:tc>
          <w:tcPr>
            <w:tcW w:w="863" w:type="dxa"/>
            <w:shd w:val="clear" w:color="auto" w:fill="auto"/>
            <w:vAlign w:val="center"/>
          </w:tcPr>
          <w:p w14:paraId="313F96DE"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17,56%</w:t>
            </w:r>
          </w:p>
        </w:tc>
        <w:tc>
          <w:tcPr>
            <w:tcW w:w="0" w:type="auto"/>
            <w:shd w:val="clear" w:color="auto" w:fill="auto"/>
            <w:vAlign w:val="center"/>
          </w:tcPr>
          <w:p w14:paraId="6F8B7FCA"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01:</w:t>
            </w:r>
            <w:proofErr w:type="gramEnd"/>
            <w:r>
              <w:rPr>
                <w:rFonts w:ascii="Rockwell" w:eastAsia="Times New Roman" w:hAnsi="Rockwell"/>
                <w:color w:val="000000"/>
                <w:sz w:val="16"/>
                <w:szCs w:val="16"/>
              </w:rPr>
              <w:t>01:57</w:t>
            </w:r>
          </w:p>
        </w:tc>
        <w:tc>
          <w:tcPr>
            <w:tcW w:w="0" w:type="auto"/>
            <w:shd w:val="clear" w:color="auto" w:fill="auto"/>
            <w:vAlign w:val="center"/>
          </w:tcPr>
          <w:p w14:paraId="55B24A9D"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22,06%</w:t>
            </w:r>
          </w:p>
        </w:tc>
        <w:tc>
          <w:tcPr>
            <w:tcW w:w="0" w:type="auto"/>
            <w:shd w:val="clear" w:color="auto" w:fill="auto"/>
            <w:vAlign w:val="center"/>
          </w:tcPr>
          <w:p w14:paraId="33E547F8"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10:</w:t>
            </w:r>
            <w:proofErr w:type="gramEnd"/>
            <w:r>
              <w:rPr>
                <w:rFonts w:ascii="Rockwell" w:eastAsia="Times New Roman" w:hAnsi="Rockwell"/>
                <w:color w:val="000000"/>
                <w:sz w:val="16"/>
                <w:szCs w:val="16"/>
              </w:rPr>
              <w:t>01:30</w:t>
            </w:r>
          </w:p>
        </w:tc>
        <w:tc>
          <w:tcPr>
            <w:tcW w:w="0" w:type="auto"/>
            <w:shd w:val="clear" w:color="auto" w:fill="auto"/>
            <w:vAlign w:val="center"/>
          </w:tcPr>
          <w:p w14:paraId="7E06D440"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22,56%</w:t>
            </w:r>
          </w:p>
        </w:tc>
        <w:tc>
          <w:tcPr>
            <w:tcW w:w="0" w:type="auto"/>
            <w:shd w:val="clear" w:color="auto" w:fill="auto"/>
            <w:vAlign w:val="center"/>
          </w:tcPr>
          <w:p w14:paraId="67098F50"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03:</w:t>
            </w:r>
            <w:proofErr w:type="gramEnd"/>
            <w:r>
              <w:rPr>
                <w:rFonts w:ascii="Rockwell" w:eastAsia="Times New Roman" w:hAnsi="Rockwell"/>
                <w:color w:val="000000"/>
                <w:sz w:val="16"/>
                <w:szCs w:val="16"/>
              </w:rPr>
              <w:t>42:48</w:t>
            </w:r>
          </w:p>
        </w:tc>
        <w:tc>
          <w:tcPr>
            <w:tcW w:w="0" w:type="auto"/>
            <w:shd w:val="clear" w:color="auto" w:fill="auto"/>
            <w:vAlign w:val="center"/>
          </w:tcPr>
          <w:p w14:paraId="74CBD7D6"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23,71%</w:t>
            </w:r>
          </w:p>
        </w:tc>
        <w:tc>
          <w:tcPr>
            <w:tcW w:w="0" w:type="auto"/>
            <w:shd w:val="clear" w:color="auto" w:fill="auto"/>
            <w:vAlign w:val="center"/>
          </w:tcPr>
          <w:p w14:paraId="4B241C89"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03:</w:t>
            </w:r>
            <w:proofErr w:type="gramEnd"/>
            <w:r>
              <w:rPr>
                <w:rFonts w:ascii="Rockwell" w:eastAsia="Times New Roman" w:hAnsi="Rockwell"/>
                <w:color w:val="000000"/>
                <w:sz w:val="16"/>
                <w:szCs w:val="16"/>
              </w:rPr>
              <w:t>24:44</w:t>
            </w:r>
          </w:p>
        </w:tc>
        <w:tc>
          <w:tcPr>
            <w:tcW w:w="0" w:type="auto"/>
            <w:shd w:val="clear" w:color="auto" w:fill="auto"/>
            <w:vAlign w:val="center"/>
          </w:tcPr>
          <w:p w14:paraId="43678DE9"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15,72%</w:t>
            </w:r>
          </w:p>
        </w:tc>
        <w:tc>
          <w:tcPr>
            <w:tcW w:w="0" w:type="auto"/>
            <w:shd w:val="clear" w:color="auto" w:fill="auto"/>
            <w:vAlign w:val="center"/>
          </w:tcPr>
          <w:p w14:paraId="76BBEAD3" w14:textId="77777777" w:rsidR="00733207" w:rsidRDefault="00912BAE">
            <w:pPr>
              <w:spacing w:before="120" w:after="120" w:line="360" w:lineRule="auto"/>
              <w:jc w:val="both"/>
              <w:rPr>
                <w:rFonts w:ascii="Rockwell" w:eastAsia="Times New Roman" w:hAnsi="Rockwell"/>
                <w:color w:val="000000"/>
                <w:sz w:val="16"/>
                <w:szCs w:val="16"/>
              </w:rPr>
            </w:pPr>
            <w:proofErr w:type="gramStart"/>
            <w:r>
              <w:rPr>
                <w:rFonts w:ascii="Rockwell" w:eastAsia="Times New Roman" w:hAnsi="Rockwell"/>
                <w:color w:val="000000"/>
                <w:sz w:val="16"/>
                <w:szCs w:val="16"/>
              </w:rPr>
              <w:t>00:</w:t>
            </w:r>
            <w:proofErr w:type="gramEnd"/>
            <w:r>
              <w:rPr>
                <w:rFonts w:ascii="Rockwell" w:eastAsia="Times New Roman" w:hAnsi="Rockwell"/>
                <w:color w:val="000000"/>
                <w:sz w:val="16"/>
                <w:szCs w:val="16"/>
              </w:rPr>
              <w:t>52:40</w:t>
            </w:r>
          </w:p>
        </w:tc>
        <w:tc>
          <w:tcPr>
            <w:tcW w:w="0" w:type="auto"/>
            <w:shd w:val="clear" w:color="auto" w:fill="auto"/>
            <w:vAlign w:val="center"/>
          </w:tcPr>
          <w:p w14:paraId="222C8FEC" w14:textId="77777777" w:rsidR="00733207" w:rsidRDefault="00912BAE">
            <w:pPr>
              <w:spacing w:before="120" w:after="120" w:line="360" w:lineRule="auto"/>
              <w:jc w:val="both"/>
              <w:rPr>
                <w:rFonts w:ascii="Rockwell" w:eastAsia="Times New Roman" w:hAnsi="Rockwell"/>
                <w:color w:val="000000"/>
                <w:sz w:val="16"/>
                <w:szCs w:val="16"/>
              </w:rPr>
            </w:pPr>
            <w:r>
              <w:rPr>
                <w:rFonts w:ascii="Rockwell" w:eastAsia="Times New Roman" w:hAnsi="Rockwell"/>
                <w:color w:val="000000"/>
                <w:sz w:val="16"/>
                <w:szCs w:val="16"/>
              </w:rPr>
              <w:t>13,13%</w:t>
            </w:r>
          </w:p>
        </w:tc>
        <w:tc>
          <w:tcPr>
            <w:tcW w:w="0" w:type="auto"/>
            <w:shd w:val="clear" w:color="auto" w:fill="auto"/>
            <w:vAlign w:val="center"/>
          </w:tcPr>
          <w:p w14:paraId="229A2089"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30:</w:t>
            </w:r>
            <w:proofErr w:type="gramEnd"/>
            <w:r>
              <w:rPr>
                <w:rFonts w:ascii="Rockwell" w:eastAsia="Times New Roman" w:hAnsi="Rockwell"/>
                <w:b/>
                <w:bCs/>
                <w:color w:val="000000"/>
                <w:sz w:val="16"/>
                <w:szCs w:val="16"/>
              </w:rPr>
              <w:t>11:02</w:t>
            </w:r>
          </w:p>
        </w:tc>
        <w:tc>
          <w:tcPr>
            <w:tcW w:w="0" w:type="auto"/>
            <w:shd w:val="clear" w:color="auto" w:fill="auto"/>
            <w:vAlign w:val="center"/>
          </w:tcPr>
          <w:p w14:paraId="0DDEEC68"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21,30%</w:t>
            </w:r>
          </w:p>
        </w:tc>
        <w:tc>
          <w:tcPr>
            <w:tcW w:w="0" w:type="auto"/>
            <w:shd w:val="clear" w:color="auto" w:fill="auto"/>
            <w:vAlign w:val="center"/>
          </w:tcPr>
          <w:p w14:paraId="3C2013F2"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10:</w:t>
            </w:r>
            <w:proofErr w:type="gramEnd"/>
            <w:r>
              <w:rPr>
                <w:rFonts w:ascii="Rockwell" w:eastAsia="Times New Roman" w:hAnsi="Rockwell"/>
                <w:b/>
                <w:bCs/>
                <w:color w:val="000000"/>
                <w:sz w:val="16"/>
                <w:szCs w:val="16"/>
              </w:rPr>
              <w:t>58:13</w:t>
            </w:r>
          </w:p>
        </w:tc>
        <w:tc>
          <w:tcPr>
            <w:tcW w:w="863" w:type="dxa"/>
            <w:shd w:val="clear" w:color="auto" w:fill="auto"/>
            <w:vAlign w:val="center"/>
          </w:tcPr>
          <w:p w14:paraId="35A9ED4D"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18,74%</w:t>
            </w:r>
          </w:p>
        </w:tc>
      </w:tr>
      <w:tr w:rsidR="00733207" w14:paraId="1C15278A" w14:textId="77777777">
        <w:trPr>
          <w:trHeight w:val="60"/>
          <w:jc w:val="center"/>
        </w:trPr>
        <w:tc>
          <w:tcPr>
            <w:tcW w:w="1796" w:type="dxa"/>
            <w:shd w:val="clear" w:color="auto" w:fill="auto"/>
          </w:tcPr>
          <w:p w14:paraId="7ABC4DA1" w14:textId="77777777" w:rsidR="00733207" w:rsidRDefault="00912BAE">
            <w:pPr>
              <w:spacing w:before="120" w:after="120" w:line="360" w:lineRule="auto"/>
              <w:jc w:val="both"/>
              <w:rPr>
                <w:rFonts w:ascii="Rockwell" w:eastAsia="Times New Roman" w:hAnsi="Rockwell" w:cs="Calibri"/>
                <w:b/>
                <w:bCs/>
                <w:color w:val="000000"/>
                <w:sz w:val="16"/>
                <w:szCs w:val="16"/>
              </w:rPr>
            </w:pPr>
            <w:r>
              <w:rPr>
                <w:rFonts w:ascii="Rockwell" w:eastAsia="Times New Roman" w:hAnsi="Rockwell" w:cs="Calibri"/>
                <w:b/>
                <w:bCs/>
                <w:color w:val="000000"/>
                <w:sz w:val="16"/>
                <w:szCs w:val="16"/>
              </w:rPr>
              <w:t>TOTAL</w:t>
            </w:r>
          </w:p>
        </w:tc>
        <w:tc>
          <w:tcPr>
            <w:tcW w:w="859" w:type="dxa"/>
            <w:shd w:val="clear" w:color="auto" w:fill="auto"/>
            <w:vAlign w:val="center"/>
          </w:tcPr>
          <w:p w14:paraId="24FB0BE8"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13:</w:t>
            </w:r>
            <w:proofErr w:type="gramEnd"/>
            <w:r>
              <w:rPr>
                <w:rFonts w:ascii="Rockwell" w:eastAsia="Times New Roman" w:hAnsi="Rockwell"/>
                <w:b/>
                <w:bCs/>
                <w:color w:val="000000"/>
                <w:sz w:val="16"/>
                <w:szCs w:val="16"/>
              </w:rPr>
              <w:t>37:58</w:t>
            </w:r>
          </w:p>
        </w:tc>
        <w:tc>
          <w:tcPr>
            <w:tcW w:w="863" w:type="dxa"/>
            <w:shd w:val="clear" w:color="auto" w:fill="auto"/>
            <w:vAlign w:val="center"/>
          </w:tcPr>
          <w:p w14:paraId="4E0484D8"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1E6929D6"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4:</w:t>
            </w:r>
            <w:proofErr w:type="gramEnd"/>
            <w:r>
              <w:rPr>
                <w:rFonts w:ascii="Rockwell" w:eastAsia="Times New Roman" w:hAnsi="Rockwell"/>
                <w:b/>
                <w:bCs/>
                <w:color w:val="000000"/>
                <w:sz w:val="16"/>
                <w:szCs w:val="16"/>
              </w:rPr>
              <w:t>40:52</w:t>
            </w:r>
          </w:p>
        </w:tc>
        <w:tc>
          <w:tcPr>
            <w:tcW w:w="0" w:type="auto"/>
            <w:shd w:val="clear" w:color="auto" w:fill="auto"/>
            <w:vAlign w:val="center"/>
          </w:tcPr>
          <w:p w14:paraId="4376C8A4"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3EFC0382"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44:</w:t>
            </w:r>
            <w:proofErr w:type="gramEnd"/>
            <w:r>
              <w:rPr>
                <w:rFonts w:ascii="Rockwell" w:eastAsia="Times New Roman" w:hAnsi="Rockwell"/>
                <w:b/>
                <w:bCs/>
                <w:color w:val="000000"/>
                <w:sz w:val="16"/>
                <w:szCs w:val="16"/>
              </w:rPr>
              <w:t>26:21</w:t>
            </w:r>
          </w:p>
        </w:tc>
        <w:tc>
          <w:tcPr>
            <w:tcW w:w="0" w:type="auto"/>
            <w:shd w:val="clear" w:color="auto" w:fill="auto"/>
            <w:vAlign w:val="center"/>
          </w:tcPr>
          <w:p w14:paraId="651F7A73"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03A98105"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15:</w:t>
            </w:r>
            <w:proofErr w:type="gramEnd"/>
            <w:r>
              <w:rPr>
                <w:rFonts w:ascii="Rockwell" w:eastAsia="Times New Roman" w:hAnsi="Rockwell"/>
                <w:b/>
                <w:bCs/>
                <w:color w:val="000000"/>
                <w:sz w:val="16"/>
                <w:szCs w:val="16"/>
              </w:rPr>
              <w:t>39:52</w:t>
            </w:r>
          </w:p>
        </w:tc>
        <w:tc>
          <w:tcPr>
            <w:tcW w:w="0" w:type="auto"/>
            <w:shd w:val="clear" w:color="auto" w:fill="auto"/>
            <w:vAlign w:val="center"/>
          </w:tcPr>
          <w:p w14:paraId="18C75E3B"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3376C6DD"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21:</w:t>
            </w:r>
            <w:proofErr w:type="gramEnd"/>
            <w:r>
              <w:rPr>
                <w:rFonts w:ascii="Rockwell" w:eastAsia="Times New Roman" w:hAnsi="Rockwell"/>
                <w:b/>
                <w:bCs/>
                <w:color w:val="000000"/>
                <w:sz w:val="16"/>
                <w:szCs w:val="16"/>
              </w:rPr>
              <w:t>42:45</w:t>
            </w:r>
          </w:p>
        </w:tc>
        <w:tc>
          <w:tcPr>
            <w:tcW w:w="0" w:type="auto"/>
            <w:shd w:val="clear" w:color="auto" w:fill="auto"/>
            <w:vAlign w:val="center"/>
          </w:tcPr>
          <w:p w14:paraId="6EB7E66C"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200FAAC8"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6:</w:t>
            </w:r>
            <w:proofErr w:type="gramEnd"/>
            <w:r>
              <w:rPr>
                <w:rFonts w:ascii="Rockwell" w:eastAsia="Times New Roman" w:hAnsi="Rockwell"/>
                <w:b/>
                <w:bCs/>
                <w:color w:val="000000"/>
                <w:sz w:val="16"/>
                <w:szCs w:val="16"/>
              </w:rPr>
              <w:t>41:11</w:t>
            </w:r>
          </w:p>
        </w:tc>
        <w:tc>
          <w:tcPr>
            <w:tcW w:w="0" w:type="auto"/>
            <w:shd w:val="clear" w:color="auto" w:fill="auto"/>
            <w:vAlign w:val="center"/>
          </w:tcPr>
          <w:p w14:paraId="141783B7"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6524BAC7"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141:</w:t>
            </w:r>
            <w:proofErr w:type="gramEnd"/>
            <w:r>
              <w:rPr>
                <w:rFonts w:ascii="Rockwell" w:eastAsia="Times New Roman" w:hAnsi="Rockwell"/>
                <w:b/>
                <w:bCs/>
                <w:color w:val="000000"/>
                <w:sz w:val="16"/>
                <w:szCs w:val="16"/>
              </w:rPr>
              <w:t>42:46</w:t>
            </w:r>
          </w:p>
        </w:tc>
        <w:tc>
          <w:tcPr>
            <w:tcW w:w="0" w:type="auto"/>
            <w:shd w:val="clear" w:color="auto" w:fill="auto"/>
            <w:vAlign w:val="center"/>
          </w:tcPr>
          <w:p w14:paraId="4D1E4014"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c>
          <w:tcPr>
            <w:tcW w:w="0" w:type="auto"/>
            <w:shd w:val="clear" w:color="auto" w:fill="auto"/>
            <w:vAlign w:val="center"/>
          </w:tcPr>
          <w:p w14:paraId="1C8D2CAA" w14:textId="77777777" w:rsidR="00733207" w:rsidRDefault="00912BAE">
            <w:pPr>
              <w:spacing w:before="120" w:after="120" w:line="360" w:lineRule="auto"/>
              <w:jc w:val="both"/>
              <w:rPr>
                <w:rFonts w:ascii="Rockwell" w:eastAsia="Times New Roman" w:hAnsi="Rockwell"/>
                <w:b/>
                <w:bCs/>
                <w:color w:val="000000"/>
                <w:sz w:val="16"/>
                <w:szCs w:val="16"/>
              </w:rPr>
            </w:pPr>
            <w:proofErr w:type="gramStart"/>
            <w:r>
              <w:rPr>
                <w:rFonts w:ascii="Rockwell" w:eastAsia="Times New Roman" w:hAnsi="Rockwell"/>
                <w:b/>
                <w:bCs/>
                <w:color w:val="000000"/>
                <w:sz w:val="16"/>
                <w:szCs w:val="16"/>
              </w:rPr>
              <w:t>58:</w:t>
            </w:r>
            <w:proofErr w:type="gramEnd"/>
            <w:r>
              <w:rPr>
                <w:rFonts w:ascii="Rockwell" w:eastAsia="Times New Roman" w:hAnsi="Rockwell"/>
                <w:b/>
                <w:bCs/>
                <w:color w:val="000000"/>
                <w:sz w:val="16"/>
                <w:szCs w:val="16"/>
              </w:rPr>
              <w:t>31:44</w:t>
            </w:r>
          </w:p>
        </w:tc>
        <w:tc>
          <w:tcPr>
            <w:tcW w:w="863" w:type="dxa"/>
            <w:shd w:val="clear" w:color="auto" w:fill="auto"/>
            <w:vAlign w:val="center"/>
          </w:tcPr>
          <w:p w14:paraId="6EF730B9" w14:textId="77777777" w:rsidR="00733207" w:rsidRDefault="00912BAE">
            <w:pPr>
              <w:spacing w:before="120" w:after="120" w:line="360" w:lineRule="auto"/>
              <w:jc w:val="both"/>
              <w:rPr>
                <w:rFonts w:ascii="Rockwell" w:eastAsia="Times New Roman" w:hAnsi="Rockwell"/>
                <w:b/>
                <w:bCs/>
                <w:color w:val="000000"/>
                <w:sz w:val="16"/>
                <w:szCs w:val="16"/>
              </w:rPr>
            </w:pPr>
            <w:r>
              <w:rPr>
                <w:rFonts w:ascii="Rockwell" w:eastAsia="Times New Roman" w:hAnsi="Rockwell"/>
                <w:b/>
                <w:bCs/>
                <w:color w:val="000000"/>
                <w:sz w:val="16"/>
                <w:szCs w:val="16"/>
              </w:rPr>
              <w:t>100,00%</w:t>
            </w:r>
          </w:p>
        </w:tc>
      </w:tr>
    </w:tbl>
    <w:bookmarkEnd w:id="302"/>
    <w:p w14:paraId="16C066EE" w14:textId="77777777" w:rsidR="00733207" w:rsidRDefault="00912BAE">
      <w:pPr>
        <w:spacing w:before="120" w:after="120" w:line="360" w:lineRule="auto"/>
        <w:ind w:hanging="284"/>
        <w:jc w:val="both"/>
        <w:rPr>
          <w:rFonts w:ascii="Rockwell" w:hAnsi="Rockwell"/>
        </w:rPr>
        <w:sectPr w:rsidR="00733207">
          <w:pgSz w:w="16838" w:h="11906" w:orient="landscape"/>
          <w:pgMar w:top="709" w:right="1418" w:bottom="1418" w:left="709" w:header="709" w:footer="23" w:gutter="0"/>
          <w:cols w:space="708"/>
          <w:docGrid w:linePitch="360"/>
        </w:sectPr>
      </w:pPr>
      <w:r>
        <w:rPr>
          <w:rFonts w:ascii="Rockwell" w:hAnsi="Rockwell"/>
          <w:b/>
          <w:i/>
          <w:u w:val="single"/>
        </w:rPr>
        <w:t>Source</w:t>
      </w:r>
      <w:r>
        <w:rPr>
          <w:rFonts w:ascii="Rockwell" w:hAnsi="Rockwell"/>
          <w:i/>
          <w:u w:val="single"/>
        </w:rPr>
        <w:t> </w:t>
      </w:r>
      <w:r>
        <w:rPr>
          <w:rFonts w:ascii="Rockwell" w:hAnsi="Rockwell"/>
          <w:i/>
        </w:rPr>
        <w:t>: CSC</w:t>
      </w:r>
      <w:r>
        <w:rPr>
          <w:rFonts w:ascii="Rockwell" w:hAnsi="Rockwell"/>
        </w:rPr>
        <w:tab/>
      </w:r>
    </w:p>
    <w:p w14:paraId="2F80FDCB" w14:textId="77777777" w:rsidR="00733207" w:rsidRDefault="00912BAE">
      <w:pPr>
        <w:pStyle w:val="Titre7"/>
        <w:numPr>
          <w:ilvl w:val="0"/>
          <w:numId w:val="28"/>
        </w:numPr>
        <w:ind w:left="1276" w:firstLine="425"/>
        <w:jc w:val="center"/>
        <w:rPr>
          <w:rFonts w:ascii="Rockwell" w:hAnsi="Rockwell"/>
          <w:b/>
          <w:color w:val="auto"/>
          <w:sz w:val="24"/>
          <w:szCs w:val="24"/>
        </w:rPr>
      </w:pPr>
      <w:bookmarkStart w:id="303" w:name="_Toc161320253"/>
      <w:bookmarkStart w:id="304" w:name="_Toc175128513"/>
      <w:r>
        <w:rPr>
          <w:rFonts w:ascii="Rockwell" w:hAnsi="Rockwell"/>
          <w:b/>
          <w:color w:val="auto"/>
          <w:sz w:val="24"/>
          <w:szCs w:val="24"/>
        </w:rPr>
        <w:lastRenderedPageBreak/>
        <w:t>Statistiques des informations thématiques</w:t>
      </w:r>
      <w:bookmarkEnd w:id="303"/>
      <w:bookmarkEnd w:id="304"/>
    </w:p>
    <w:p w14:paraId="02951184" w14:textId="77777777" w:rsidR="00733207" w:rsidRDefault="00733207">
      <w:pPr>
        <w:jc w:val="both"/>
        <w:rPr>
          <w:rFonts w:ascii="Rockwell" w:hAnsi="Rockwell"/>
        </w:rPr>
      </w:pPr>
    </w:p>
    <w:p w14:paraId="2BCDB458" w14:textId="77777777" w:rsidR="00733207" w:rsidRDefault="00912BAE">
      <w:pPr>
        <w:spacing w:before="120" w:after="120" w:line="360" w:lineRule="auto"/>
        <w:ind w:left="720"/>
        <w:jc w:val="center"/>
        <w:rPr>
          <w:rFonts w:ascii="Rockwell" w:eastAsia="Times New Roman" w:hAnsi="Rockwell"/>
          <w:i/>
        </w:rPr>
      </w:pPr>
      <w:r>
        <w:rPr>
          <w:rFonts w:ascii="Rockwell" w:eastAsia="Times New Roman" w:hAnsi="Rockwell"/>
          <w:b/>
          <w:i/>
          <w:u w:val="single"/>
        </w:rPr>
        <w:t>Tableau n°14 :</w:t>
      </w:r>
      <w:r>
        <w:rPr>
          <w:rFonts w:ascii="Rockwell" w:eastAsia="Times New Roman" w:hAnsi="Rockwell"/>
          <w:i/>
        </w:rPr>
        <w:t xml:space="preserve">  données des médias audiovisuels par thème</w:t>
      </w:r>
    </w:p>
    <w:tbl>
      <w:tblPr>
        <w:tblW w:w="13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819"/>
        <w:gridCol w:w="822"/>
        <w:gridCol w:w="819"/>
        <w:gridCol w:w="822"/>
        <w:gridCol w:w="819"/>
        <w:gridCol w:w="822"/>
        <w:gridCol w:w="819"/>
        <w:gridCol w:w="822"/>
        <w:gridCol w:w="819"/>
        <w:gridCol w:w="822"/>
        <w:gridCol w:w="819"/>
        <w:gridCol w:w="822"/>
        <w:gridCol w:w="819"/>
        <w:gridCol w:w="822"/>
        <w:gridCol w:w="819"/>
        <w:gridCol w:w="822"/>
      </w:tblGrid>
      <w:tr w:rsidR="00733207" w14:paraId="19AD79D5" w14:textId="77777777">
        <w:trPr>
          <w:trHeight w:val="55"/>
          <w:jc w:val="center"/>
        </w:trPr>
        <w:tc>
          <w:tcPr>
            <w:tcW w:w="0" w:type="auto"/>
            <w:vMerge w:val="restart"/>
            <w:shd w:val="clear" w:color="auto" w:fill="auto"/>
            <w:vAlign w:val="center"/>
          </w:tcPr>
          <w:p w14:paraId="0D8C6113"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THEMES</w:t>
            </w:r>
          </w:p>
        </w:tc>
        <w:tc>
          <w:tcPr>
            <w:tcW w:w="0" w:type="auto"/>
            <w:gridSpan w:val="4"/>
            <w:shd w:val="clear" w:color="auto" w:fill="auto"/>
            <w:vAlign w:val="center"/>
          </w:tcPr>
          <w:p w14:paraId="5D74DCDC" w14:textId="77777777" w:rsidR="00733207" w:rsidRDefault="00E06378">
            <w:pPr>
              <w:spacing w:before="120" w:after="120" w:line="360" w:lineRule="auto"/>
              <w:jc w:val="both"/>
              <w:rPr>
                <w:rFonts w:ascii="Rockwell" w:eastAsia="Times New Roman" w:hAnsi="Rockwell" w:cs="Calibri"/>
                <w:b/>
                <w:bCs/>
                <w:sz w:val="15"/>
                <w:szCs w:val="15"/>
              </w:rPr>
            </w:pPr>
            <w:hyperlink r:id="rId45" w:history="1">
              <w:r w:rsidR="00912BAE">
                <w:rPr>
                  <w:rFonts w:ascii="Rockwell" w:eastAsia="Times New Roman" w:hAnsi="Rockwell" w:cs="Calibri"/>
                  <w:b/>
                  <w:sz w:val="15"/>
                  <w:szCs w:val="15"/>
                </w:rPr>
                <w:t>RTB</w:t>
              </w:r>
            </w:hyperlink>
            <w:r w:rsidR="00912BAE">
              <w:rPr>
                <w:rFonts w:ascii="Rockwell" w:eastAsia="Times New Roman" w:hAnsi="Rockwell" w:cs="Calibri"/>
                <w:b/>
                <w:sz w:val="15"/>
                <w:szCs w:val="15"/>
              </w:rPr>
              <w:t>/TELE</w:t>
            </w:r>
          </w:p>
        </w:tc>
        <w:tc>
          <w:tcPr>
            <w:tcW w:w="0" w:type="auto"/>
            <w:gridSpan w:val="4"/>
            <w:shd w:val="clear" w:color="auto" w:fill="auto"/>
            <w:vAlign w:val="center"/>
          </w:tcPr>
          <w:p w14:paraId="6749BE49"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RTB/RADIO</w:t>
            </w:r>
          </w:p>
        </w:tc>
        <w:tc>
          <w:tcPr>
            <w:tcW w:w="0" w:type="auto"/>
            <w:gridSpan w:val="4"/>
            <w:shd w:val="clear" w:color="auto" w:fill="auto"/>
            <w:vAlign w:val="center"/>
          </w:tcPr>
          <w:p w14:paraId="1315D29C"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RADIO OMEGA FM</w:t>
            </w:r>
          </w:p>
        </w:tc>
        <w:tc>
          <w:tcPr>
            <w:tcW w:w="0" w:type="auto"/>
            <w:gridSpan w:val="4"/>
            <w:shd w:val="clear" w:color="auto" w:fill="auto"/>
            <w:vAlign w:val="center"/>
          </w:tcPr>
          <w:p w14:paraId="473D6737"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RADIO SAVANE FM</w:t>
            </w:r>
          </w:p>
        </w:tc>
      </w:tr>
      <w:tr w:rsidR="00733207" w14:paraId="09386563" w14:textId="77777777">
        <w:trPr>
          <w:trHeight w:val="65"/>
          <w:jc w:val="center"/>
        </w:trPr>
        <w:tc>
          <w:tcPr>
            <w:tcW w:w="0" w:type="auto"/>
            <w:vMerge/>
            <w:shd w:val="clear" w:color="auto" w:fill="auto"/>
            <w:vAlign w:val="center"/>
          </w:tcPr>
          <w:p w14:paraId="2F27937B" w14:textId="77777777" w:rsidR="00733207" w:rsidRDefault="00733207">
            <w:pPr>
              <w:spacing w:before="120" w:after="120" w:line="360" w:lineRule="auto"/>
              <w:jc w:val="both"/>
              <w:rPr>
                <w:rFonts w:ascii="Rockwell" w:eastAsia="Times New Roman" w:hAnsi="Rockwell" w:cs="Calibri"/>
                <w:b/>
                <w:bCs/>
                <w:color w:val="000000"/>
                <w:sz w:val="15"/>
                <w:szCs w:val="15"/>
              </w:rPr>
            </w:pPr>
          </w:p>
        </w:tc>
        <w:tc>
          <w:tcPr>
            <w:tcW w:w="0" w:type="auto"/>
            <w:shd w:val="clear" w:color="auto" w:fill="auto"/>
            <w:vAlign w:val="center"/>
          </w:tcPr>
          <w:p w14:paraId="1C51AAE1"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0" w:type="auto"/>
            <w:shd w:val="clear" w:color="auto" w:fill="auto"/>
            <w:vAlign w:val="center"/>
          </w:tcPr>
          <w:p w14:paraId="0415416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0" w:type="auto"/>
            <w:shd w:val="clear" w:color="auto" w:fill="auto"/>
            <w:vAlign w:val="center"/>
          </w:tcPr>
          <w:p w14:paraId="3E79A5DD"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0" w:type="auto"/>
            <w:shd w:val="clear" w:color="auto" w:fill="auto"/>
            <w:vAlign w:val="center"/>
          </w:tcPr>
          <w:p w14:paraId="5BDCECA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c>
          <w:tcPr>
            <w:tcW w:w="0" w:type="auto"/>
            <w:shd w:val="clear" w:color="auto" w:fill="auto"/>
            <w:vAlign w:val="center"/>
          </w:tcPr>
          <w:p w14:paraId="456F5C3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0" w:type="auto"/>
            <w:shd w:val="clear" w:color="auto" w:fill="auto"/>
            <w:vAlign w:val="center"/>
          </w:tcPr>
          <w:p w14:paraId="5C31A7D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0" w:type="auto"/>
            <w:shd w:val="clear" w:color="auto" w:fill="auto"/>
            <w:vAlign w:val="center"/>
          </w:tcPr>
          <w:p w14:paraId="780182C1"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0" w:type="auto"/>
            <w:shd w:val="clear" w:color="auto" w:fill="auto"/>
            <w:vAlign w:val="center"/>
          </w:tcPr>
          <w:p w14:paraId="6D020C2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c>
          <w:tcPr>
            <w:tcW w:w="0" w:type="auto"/>
            <w:shd w:val="clear" w:color="auto" w:fill="auto"/>
            <w:vAlign w:val="center"/>
          </w:tcPr>
          <w:p w14:paraId="02999063"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0" w:type="auto"/>
            <w:shd w:val="clear" w:color="auto" w:fill="auto"/>
            <w:vAlign w:val="center"/>
          </w:tcPr>
          <w:p w14:paraId="5844D37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0" w:type="auto"/>
            <w:shd w:val="clear" w:color="auto" w:fill="auto"/>
            <w:vAlign w:val="center"/>
          </w:tcPr>
          <w:p w14:paraId="6370A01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0" w:type="auto"/>
            <w:shd w:val="clear" w:color="auto" w:fill="auto"/>
            <w:vAlign w:val="center"/>
          </w:tcPr>
          <w:p w14:paraId="72B9B35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c>
          <w:tcPr>
            <w:tcW w:w="0" w:type="auto"/>
            <w:shd w:val="clear" w:color="auto" w:fill="auto"/>
            <w:vAlign w:val="center"/>
          </w:tcPr>
          <w:p w14:paraId="59222AE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0" w:type="auto"/>
            <w:shd w:val="clear" w:color="auto" w:fill="auto"/>
            <w:vAlign w:val="center"/>
          </w:tcPr>
          <w:p w14:paraId="0ED3F9F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0" w:type="auto"/>
            <w:shd w:val="clear" w:color="auto" w:fill="auto"/>
            <w:vAlign w:val="center"/>
          </w:tcPr>
          <w:p w14:paraId="7528643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0" w:type="auto"/>
            <w:shd w:val="clear" w:color="auto" w:fill="auto"/>
            <w:vAlign w:val="center"/>
          </w:tcPr>
          <w:p w14:paraId="2999B81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r>
      <w:tr w:rsidR="00733207" w14:paraId="01E8E735" w14:textId="77777777">
        <w:trPr>
          <w:trHeight w:val="55"/>
          <w:jc w:val="center"/>
        </w:trPr>
        <w:tc>
          <w:tcPr>
            <w:tcW w:w="0" w:type="auto"/>
            <w:shd w:val="clear" w:color="auto" w:fill="auto"/>
            <w:vAlign w:val="center"/>
          </w:tcPr>
          <w:p w14:paraId="53963352"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CULTURE</w:t>
            </w:r>
          </w:p>
        </w:tc>
        <w:tc>
          <w:tcPr>
            <w:tcW w:w="0" w:type="auto"/>
            <w:shd w:val="clear" w:color="auto" w:fill="auto"/>
            <w:vAlign w:val="center"/>
          </w:tcPr>
          <w:p w14:paraId="443BBF0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08:</w:t>
            </w:r>
            <w:proofErr w:type="gramEnd"/>
            <w:r>
              <w:rPr>
                <w:rFonts w:ascii="Rockwell" w:eastAsia="Times New Roman" w:hAnsi="Rockwell" w:cs="Calibri"/>
                <w:color w:val="000000"/>
                <w:sz w:val="15"/>
                <w:szCs w:val="15"/>
              </w:rPr>
              <w:t>27:45</w:t>
            </w:r>
          </w:p>
        </w:tc>
        <w:tc>
          <w:tcPr>
            <w:tcW w:w="0" w:type="auto"/>
            <w:shd w:val="clear" w:color="auto" w:fill="auto"/>
            <w:vAlign w:val="center"/>
          </w:tcPr>
          <w:p w14:paraId="431B90F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17,25%</w:t>
            </w:r>
          </w:p>
        </w:tc>
        <w:tc>
          <w:tcPr>
            <w:tcW w:w="0" w:type="auto"/>
            <w:shd w:val="clear" w:color="auto" w:fill="auto"/>
            <w:vAlign w:val="center"/>
          </w:tcPr>
          <w:p w14:paraId="1395E48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43:50</w:t>
            </w:r>
          </w:p>
        </w:tc>
        <w:tc>
          <w:tcPr>
            <w:tcW w:w="0" w:type="auto"/>
            <w:shd w:val="clear" w:color="auto" w:fill="auto"/>
            <w:vAlign w:val="center"/>
          </w:tcPr>
          <w:p w14:paraId="786D8FE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11,89%</w:t>
            </w:r>
          </w:p>
        </w:tc>
        <w:tc>
          <w:tcPr>
            <w:tcW w:w="0" w:type="auto"/>
            <w:shd w:val="clear" w:color="auto" w:fill="auto"/>
            <w:vAlign w:val="center"/>
          </w:tcPr>
          <w:p w14:paraId="1E36378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40:48</w:t>
            </w:r>
          </w:p>
        </w:tc>
        <w:tc>
          <w:tcPr>
            <w:tcW w:w="0" w:type="auto"/>
            <w:shd w:val="clear" w:color="auto" w:fill="auto"/>
            <w:vAlign w:val="center"/>
          </w:tcPr>
          <w:p w14:paraId="20FC3EAF"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6,43%</w:t>
            </w:r>
          </w:p>
        </w:tc>
        <w:tc>
          <w:tcPr>
            <w:tcW w:w="0" w:type="auto"/>
            <w:shd w:val="clear" w:color="auto" w:fill="auto"/>
            <w:vAlign w:val="center"/>
          </w:tcPr>
          <w:p w14:paraId="07FD8BD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35:14</w:t>
            </w:r>
          </w:p>
        </w:tc>
        <w:tc>
          <w:tcPr>
            <w:tcW w:w="0" w:type="auto"/>
            <w:shd w:val="clear" w:color="auto" w:fill="auto"/>
            <w:vAlign w:val="center"/>
          </w:tcPr>
          <w:p w14:paraId="24EB009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5,43%</w:t>
            </w:r>
          </w:p>
        </w:tc>
        <w:tc>
          <w:tcPr>
            <w:tcW w:w="0" w:type="auto"/>
            <w:shd w:val="clear" w:color="auto" w:fill="auto"/>
            <w:vAlign w:val="center"/>
          </w:tcPr>
          <w:p w14:paraId="668264E3"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02:26</w:t>
            </w:r>
          </w:p>
        </w:tc>
        <w:tc>
          <w:tcPr>
            <w:tcW w:w="0" w:type="auto"/>
            <w:shd w:val="clear" w:color="auto" w:fill="auto"/>
            <w:vAlign w:val="center"/>
          </w:tcPr>
          <w:p w14:paraId="336555F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5,58%</w:t>
            </w:r>
          </w:p>
        </w:tc>
        <w:tc>
          <w:tcPr>
            <w:tcW w:w="0" w:type="auto"/>
            <w:shd w:val="clear" w:color="auto" w:fill="auto"/>
            <w:vAlign w:val="center"/>
          </w:tcPr>
          <w:p w14:paraId="519FEE73"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17:29</w:t>
            </w:r>
          </w:p>
        </w:tc>
        <w:tc>
          <w:tcPr>
            <w:tcW w:w="0" w:type="auto"/>
            <w:shd w:val="clear" w:color="auto" w:fill="auto"/>
            <w:vAlign w:val="center"/>
          </w:tcPr>
          <w:p w14:paraId="7F8B8611"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4,23%</w:t>
            </w:r>
          </w:p>
        </w:tc>
        <w:tc>
          <w:tcPr>
            <w:tcW w:w="0" w:type="auto"/>
            <w:shd w:val="clear" w:color="auto" w:fill="auto"/>
            <w:vAlign w:val="center"/>
          </w:tcPr>
          <w:p w14:paraId="26A347A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29:31</w:t>
            </w:r>
          </w:p>
        </w:tc>
        <w:tc>
          <w:tcPr>
            <w:tcW w:w="0" w:type="auto"/>
            <w:shd w:val="clear" w:color="auto" w:fill="auto"/>
            <w:vAlign w:val="center"/>
          </w:tcPr>
          <w:p w14:paraId="6100360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6,64%</w:t>
            </w:r>
          </w:p>
        </w:tc>
        <w:tc>
          <w:tcPr>
            <w:tcW w:w="0" w:type="auto"/>
            <w:shd w:val="clear" w:color="auto" w:fill="auto"/>
            <w:vAlign w:val="center"/>
          </w:tcPr>
          <w:p w14:paraId="602536A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27:29</w:t>
            </w:r>
          </w:p>
        </w:tc>
        <w:tc>
          <w:tcPr>
            <w:tcW w:w="0" w:type="auto"/>
            <w:shd w:val="clear" w:color="auto" w:fill="auto"/>
            <w:vAlign w:val="center"/>
          </w:tcPr>
          <w:p w14:paraId="0EAF9B63"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4,41%</w:t>
            </w:r>
          </w:p>
        </w:tc>
      </w:tr>
      <w:tr w:rsidR="00733207" w14:paraId="7E64C0A2" w14:textId="77777777">
        <w:trPr>
          <w:trHeight w:val="55"/>
          <w:jc w:val="center"/>
        </w:trPr>
        <w:tc>
          <w:tcPr>
            <w:tcW w:w="0" w:type="auto"/>
            <w:shd w:val="clear" w:color="auto" w:fill="auto"/>
            <w:vAlign w:val="center"/>
          </w:tcPr>
          <w:p w14:paraId="5EFA7F3E"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ECONOMIE</w:t>
            </w:r>
          </w:p>
        </w:tc>
        <w:tc>
          <w:tcPr>
            <w:tcW w:w="0" w:type="auto"/>
            <w:shd w:val="clear" w:color="auto" w:fill="auto"/>
            <w:vAlign w:val="center"/>
          </w:tcPr>
          <w:p w14:paraId="4AF0670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06:</w:t>
            </w:r>
            <w:proofErr w:type="gramEnd"/>
            <w:r>
              <w:rPr>
                <w:rFonts w:ascii="Rockwell" w:eastAsia="Times New Roman" w:hAnsi="Rockwell" w:cs="Calibri"/>
                <w:color w:val="000000"/>
                <w:sz w:val="15"/>
                <w:szCs w:val="15"/>
              </w:rPr>
              <w:t>56:33</w:t>
            </w:r>
          </w:p>
        </w:tc>
        <w:tc>
          <w:tcPr>
            <w:tcW w:w="0" w:type="auto"/>
            <w:shd w:val="clear" w:color="auto" w:fill="auto"/>
            <w:vAlign w:val="center"/>
          </w:tcPr>
          <w:p w14:paraId="03AE8CC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14,15%</w:t>
            </w:r>
          </w:p>
        </w:tc>
        <w:tc>
          <w:tcPr>
            <w:tcW w:w="0" w:type="auto"/>
            <w:shd w:val="clear" w:color="auto" w:fill="auto"/>
            <w:vAlign w:val="center"/>
          </w:tcPr>
          <w:p w14:paraId="5A5AADF1"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11:07</w:t>
            </w:r>
          </w:p>
        </w:tc>
        <w:tc>
          <w:tcPr>
            <w:tcW w:w="0" w:type="auto"/>
            <w:shd w:val="clear" w:color="auto" w:fill="auto"/>
            <w:vAlign w:val="center"/>
          </w:tcPr>
          <w:p w14:paraId="63CFCA9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15,01%</w:t>
            </w:r>
          </w:p>
        </w:tc>
        <w:tc>
          <w:tcPr>
            <w:tcW w:w="0" w:type="auto"/>
            <w:shd w:val="clear" w:color="auto" w:fill="auto"/>
            <w:vAlign w:val="center"/>
          </w:tcPr>
          <w:p w14:paraId="359D07F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04:13</w:t>
            </w:r>
          </w:p>
        </w:tc>
        <w:tc>
          <w:tcPr>
            <w:tcW w:w="0" w:type="auto"/>
            <w:shd w:val="clear" w:color="auto" w:fill="auto"/>
            <w:vAlign w:val="center"/>
          </w:tcPr>
          <w:p w14:paraId="644725C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7,92%</w:t>
            </w:r>
          </w:p>
        </w:tc>
        <w:tc>
          <w:tcPr>
            <w:tcW w:w="0" w:type="auto"/>
            <w:shd w:val="clear" w:color="auto" w:fill="auto"/>
            <w:vAlign w:val="center"/>
          </w:tcPr>
          <w:p w14:paraId="18824DF1"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50:25</w:t>
            </w:r>
          </w:p>
        </w:tc>
        <w:tc>
          <w:tcPr>
            <w:tcW w:w="0" w:type="auto"/>
            <w:shd w:val="clear" w:color="auto" w:fill="auto"/>
            <w:vAlign w:val="center"/>
          </w:tcPr>
          <w:p w14:paraId="59F4E4ED"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7,78%</w:t>
            </w:r>
          </w:p>
        </w:tc>
        <w:tc>
          <w:tcPr>
            <w:tcW w:w="0" w:type="auto"/>
            <w:shd w:val="clear" w:color="auto" w:fill="auto"/>
            <w:vAlign w:val="center"/>
          </w:tcPr>
          <w:p w14:paraId="22FF31CA"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39:13</w:t>
            </w:r>
          </w:p>
        </w:tc>
        <w:tc>
          <w:tcPr>
            <w:tcW w:w="0" w:type="auto"/>
            <w:shd w:val="clear" w:color="auto" w:fill="auto"/>
            <w:vAlign w:val="center"/>
          </w:tcPr>
          <w:p w14:paraId="3325D61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8,87%</w:t>
            </w:r>
          </w:p>
        </w:tc>
        <w:tc>
          <w:tcPr>
            <w:tcW w:w="0" w:type="auto"/>
            <w:shd w:val="clear" w:color="auto" w:fill="auto"/>
            <w:vAlign w:val="center"/>
          </w:tcPr>
          <w:p w14:paraId="4D941E8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32:59</w:t>
            </w:r>
          </w:p>
        </w:tc>
        <w:tc>
          <w:tcPr>
            <w:tcW w:w="0" w:type="auto"/>
            <w:shd w:val="clear" w:color="auto" w:fill="auto"/>
            <w:vAlign w:val="center"/>
          </w:tcPr>
          <w:p w14:paraId="466414E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7,98%</w:t>
            </w:r>
          </w:p>
        </w:tc>
        <w:tc>
          <w:tcPr>
            <w:tcW w:w="0" w:type="auto"/>
            <w:shd w:val="clear" w:color="auto" w:fill="auto"/>
            <w:vAlign w:val="center"/>
          </w:tcPr>
          <w:p w14:paraId="0881F4E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33:38</w:t>
            </w:r>
          </w:p>
        </w:tc>
        <w:tc>
          <w:tcPr>
            <w:tcW w:w="0" w:type="auto"/>
            <w:shd w:val="clear" w:color="auto" w:fill="auto"/>
            <w:vAlign w:val="center"/>
          </w:tcPr>
          <w:p w14:paraId="7C9CEA6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6,94%</w:t>
            </w:r>
          </w:p>
        </w:tc>
        <w:tc>
          <w:tcPr>
            <w:tcW w:w="0" w:type="auto"/>
            <w:shd w:val="clear" w:color="auto" w:fill="auto"/>
            <w:vAlign w:val="center"/>
          </w:tcPr>
          <w:p w14:paraId="2AD86860"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34:19</w:t>
            </w:r>
          </w:p>
        </w:tc>
        <w:tc>
          <w:tcPr>
            <w:tcW w:w="0" w:type="auto"/>
            <w:shd w:val="clear" w:color="auto" w:fill="auto"/>
            <w:vAlign w:val="center"/>
          </w:tcPr>
          <w:p w14:paraId="4B28FC5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5,51%</w:t>
            </w:r>
          </w:p>
        </w:tc>
      </w:tr>
      <w:tr w:rsidR="00733207" w14:paraId="7BE35B45" w14:textId="77777777">
        <w:trPr>
          <w:trHeight w:val="55"/>
          <w:jc w:val="center"/>
        </w:trPr>
        <w:tc>
          <w:tcPr>
            <w:tcW w:w="0" w:type="auto"/>
            <w:shd w:val="clear" w:color="auto" w:fill="auto"/>
            <w:vAlign w:val="center"/>
          </w:tcPr>
          <w:p w14:paraId="7A3F07CD"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GENRE</w:t>
            </w:r>
          </w:p>
        </w:tc>
        <w:tc>
          <w:tcPr>
            <w:tcW w:w="0" w:type="auto"/>
            <w:shd w:val="clear" w:color="auto" w:fill="auto"/>
            <w:vAlign w:val="center"/>
          </w:tcPr>
          <w:p w14:paraId="5F1B348A"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31BB6FB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7EB9BAA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363AD6E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0A5389A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41D5944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39A741B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6091BB7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51D27D5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131FE8D3"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4A33952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37EEFE3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669AA100"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551F58D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0" w:type="auto"/>
            <w:shd w:val="clear" w:color="auto" w:fill="auto"/>
            <w:vAlign w:val="center"/>
          </w:tcPr>
          <w:p w14:paraId="2EA0E44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0" w:type="auto"/>
            <w:shd w:val="clear" w:color="auto" w:fill="auto"/>
            <w:vAlign w:val="center"/>
          </w:tcPr>
          <w:p w14:paraId="6D62A1B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r>
      <w:tr w:rsidR="00733207" w14:paraId="75FB6B1A" w14:textId="77777777">
        <w:trPr>
          <w:trHeight w:val="55"/>
          <w:jc w:val="center"/>
        </w:trPr>
        <w:tc>
          <w:tcPr>
            <w:tcW w:w="0" w:type="auto"/>
            <w:shd w:val="clear" w:color="auto" w:fill="auto"/>
            <w:vAlign w:val="center"/>
          </w:tcPr>
          <w:p w14:paraId="5C316C43"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POLITIQUE</w:t>
            </w:r>
          </w:p>
        </w:tc>
        <w:tc>
          <w:tcPr>
            <w:tcW w:w="0" w:type="auto"/>
            <w:shd w:val="clear" w:color="auto" w:fill="auto"/>
            <w:vAlign w:val="center"/>
          </w:tcPr>
          <w:p w14:paraId="6F132C7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08:</w:t>
            </w:r>
            <w:proofErr w:type="gramEnd"/>
            <w:r>
              <w:rPr>
                <w:rFonts w:ascii="Rockwell" w:eastAsia="Times New Roman" w:hAnsi="Rockwell" w:cs="Calibri"/>
                <w:color w:val="000000"/>
                <w:sz w:val="15"/>
                <w:szCs w:val="15"/>
              </w:rPr>
              <w:t>17:30</w:t>
            </w:r>
          </w:p>
        </w:tc>
        <w:tc>
          <w:tcPr>
            <w:tcW w:w="0" w:type="auto"/>
            <w:shd w:val="clear" w:color="auto" w:fill="auto"/>
            <w:vAlign w:val="center"/>
          </w:tcPr>
          <w:p w14:paraId="4D9DC12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16,90%</w:t>
            </w:r>
          </w:p>
        </w:tc>
        <w:tc>
          <w:tcPr>
            <w:tcW w:w="0" w:type="auto"/>
            <w:shd w:val="clear" w:color="auto" w:fill="auto"/>
            <w:vAlign w:val="center"/>
          </w:tcPr>
          <w:p w14:paraId="38089D3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05:27</w:t>
            </w:r>
          </w:p>
        </w:tc>
        <w:tc>
          <w:tcPr>
            <w:tcW w:w="0" w:type="auto"/>
            <w:shd w:val="clear" w:color="auto" w:fill="auto"/>
            <w:vAlign w:val="center"/>
          </w:tcPr>
          <w:p w14:paraId="3D83ED7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21,23%</w:t>
            </w:r>
          </w:p>
        </w:tc>
        <w:tc>
          <w:tcPr>
            <w:tcW w:w="0" w:type="auto"/>
            <w:shd w:val="clear" w:color="auto" w:fill="auto"/>
            <w:vAlign w:val="center"/>
          </w:tcPr>
          <w:p w14:paraId="093AE28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08:</w:t>
            </w:r>
            <w:proofErr w:type="gramEnd"/>
            <w:r>
              <w:rPr>
                <w:rFonts w:ascii="Rockwell" w:eastAsia="Times New Roman" w:hAnsi="Rockwell" w:cs="Calibri"/>
                <w:color w:val="000000"/>
                <w:sz w:val="15"/>
                <w:szCs w:val="15"/>
              </w:rPr>
              <w:t>58:12</w:t>
            </w:r>
          </w:p>
        </w:tc>
        <w:tc>
          <w:tcPr>
            <w:tcW w:w="0" w:type="auto"/>
            <w:shd w:val="clear" w:color="auto" w:fill="auto"/>
            <w:vAlign w:val="center"/>
          </w:tcPr>
          <w:p w14:paraId="331204A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34,31%</w:t>
            </w:r>
          </w:p>
        </w:tc>
        <w:tc>
          <w:tcPr>
            <w:tcW w:w="0" w:type="auto"/>
            <w:shd w:val="clear" w:color="auto" w:fill="auto"/>
            <w:vAlign w:val="center"/>
          </w:tcPr>
          <w:p w14:paraId="554954C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04:</w:t>
            </w:r>
            <w:proofErr w:type="gramEnd"/>
            <w:r>
              <w:rPr>
                <w:rFonts w:ascii="Rockwell" w:eastAsia="Times New Roman" w:hAnsi="Rockwell" w:cs="Calibri"/>
                <w:color w:val="000000"/>
                <w:sz w:val="15"/>
                <w:szCs w:val="15"/>
              </w:rPr>
              <w:t>20:47</w:t>
            </w:r>
          </w:p>
        </w:tc>
        <w:tc>
          <w:tcPr>
            <w:tcW w:w="0" w:type="auto"/>
            <w:shd w:val="clear" w:color="auto" w:fill="auto"/>
            <w:vAlign w:val="center"/>
          </w:tcPr>
          <w:p w14:paraId="79475061"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40,22%</w:t>
            </w:r>
          </w:p>
        </w:tc>
        <w:tc>
          <w:tcPr>
            <w:tcW w:w="0" w:type="auto"/>
            <w:shd w:val="clear" w:color="auto" w:fill="auto"/>
            <w:vAlign w:val="center"/>
          </w:tcPr>
          <w:p w14:paraId="3FE3888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29:33</w:t>
            </w:r>
          </w:p>
        </w:tc>
        <w:tc>
          <w:tcPr>
            <w:tcW w:w="0" w:type="auto"/>
            <w:shd w:val="clear" w:color="auto" w:fill="auto"/>
            <w:vAlign w:val="center"/>
          </w:tcPr>
          <w:p w14:paraId="16F8B30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18,74%</w:t>
            </w:r>
          </w:p>
        </w:tc>
        <w:tc>
          <w:tcPr>
            <w:tcW w:w="0" w:type="auto"/>
            <w:shd w:val="clear" w:color="auto" w:fill="auto"/>
            <w:vAlign w:val="center"/>
          </w:tcPr>
          <w:p w14:paraId="5DF8D82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38:09</w:t>
            </w:r>
          </w:p>
        </w:tc>
        <w:tc>
          <w:tcPr>
            <w:tcW w:w="0" w:type="auto"/>
            <w:shd w:val="clear" w:color="auto" w:fill="auto"/>
            <w:vAlign w:val="center"/>
          </w:tcPr>
          <w:p w14:paraId="2E8A1EE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23,74%</w:t>
            </w:r>
          </w:p>
        </w:tc>
        <w:tc>
          <w:tcPr>
            <w:tcW w:w="0" w:type="auto"/>
            <w:shd w:val="clear" w:color="auto" w:fill="auto"/>
            <w:vAlign w:val="center"/>
          </w:tcPr>
          <w:p w14:paraId="03CF39C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04:</w:t>
            </w:r>
            <w:proofErr w:type="gramEnd"/>
            <w:r>
              <w:rPr>
                <w:rFonts w:ascii="Rockwell" w:eastAsia="Times New Roman" w:hAnsi="Rockwell" w:cs="Calibri"/>
                <w:color w:val="000000"/>
                <w:sz w:val="15"/>
                <w:szCs w:val="15"/>
              </w:rPr>
              <w:t>20:41</w:t>
            </w:r>
          </w:p>
        </w:tc>
        <w:tc>
          <w:tcPr>
            <w:tcW w:w="0" w:type="auto"/>
            <w:shd w:val="clear" w:color="auto" w:fill="auto"/>
            <w:vAlign w:val="center"/>
          </w:tcPr>
          <w:p w14:paraId="3FE7C52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19,33%</w:t>
            </w:r>
          </w:p>
        </w:tc>
        <w:tc>
          <w:tcPr>
            <w:tcW w:w="0" w:type="auto"/>
            <w:shd w:val="clear" w:color="auto" w:fill="auto"/>
            <w:vAlign w:val="center"/>
          </w:tcPr>
          <w:p w14:paraId="3982744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26:39</w:t>
            </w:r>
          </w:p>
        </w:tc>
        <w:tc>
          <w:tcPr>
            <w:tcW w:w="0" w:type="auto"/>
            <w:shd w:val="clear" w:color="auto" w:fill="auto"/>
            <w:vAlign w:val="center"/>
          </w:tcPr>
          <w:p w14:paraId="5CB3BA3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23,54%</w:t>
            </w:r>
          </w:p>
        </w:tc>
      </w:tr>
      <w:tr w:rsidR="00733207" w14:paraId="5D62F30F" w14:textId="77777777">
        <w:trPr>
          <w:trHeight w:val="55"/>
          <w:jc w:val="center"/>
        </w:trPr>
        <w:tc>
          <w:tcPr>
            <w:tcW w:w="0" w:type="auto"/>
            <w:shd w:val="clear" w:color="auto" w:fill="auto"/>
            <w:vAlign w:val="center"/>
          </w:tcPr>
          <w:p w14:paraId="4948BB35"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RELIGION</w:t>
            </w:r>
          </w:p>
        </w:tc>
        <w:tc>
          <w:tcPr>
            <w:tcW w:w="0" w:type="auto"/>
            <w:shd w:val="clear" w:color="auto" w:fill="auto"/>
            <w:vAlign w:val="center"/>
          </w:tcPr>
          <w:p w14:paraId="0642B65A"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33:21</w:t>
            </w:r>
          </w:p>
        </w:tc>
        <w:tc>
          <w:tcPr>
            <w:tcW w:w="0" w:type="auto"/>
            <w:shd w:val="clear" w:color="auto" w:fill="auto"/>
            <w:vAlign w:val="center"/>
          </w:tcPr>
          <w:p w14:paraId="485A42D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3,17%</w:t>
            </w:r>
          </w:p>
        </w:tc>
        <w:tc>
          <w:tcPr>
            <w:tcW w:w="0" w:type="auto"/>
            <w:shd w:val="clear" w:color="auto" w:fill="auto"/>
            <w:vAlign w:val="center"/>
          </w:tcPr>
          <w:p w14:paraId="49C3B32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19:34</w:t>
            </w:r>
          </w:p>
        </w:tc>
        <w:tc>
          <w:tcPr>
            <w:tcW w:w="0" w:type="auto"/>
            <w:shd w:val="clear" w:color="auto" w:fill="auto"/>
            <w:vAlign w:val="center"/>
          </w:tcPr>
          <w:p w14:paraId="73BDF3E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2,24%</w:t>
            </w:r>
          </w:p>
        </w:tc>
        <w:tc>
          <w:tcPr>
            <w:tcW w:w="0" w:type="auto"/>
            <w:shd w:val="clear" w:color="auto" w:fill="auto"/>
            <w:vAlign w:val="center"/>
          </w:tcPr>
          <w:p w14:paraId="5943D3D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22:32</w:t>
            </w:r>
          </w:p>
        </w:tc>
        <w:tc>
          <w:tcPr>
            <w:tcW w:w="0" w:type="auto"/>
            <w:shd w:val="clear" w:color="auto" w:fill="auto"/>
            <w:vAlign w:val="center"/>
          </w:tcPr>
          <w:p w14:paraId="1A22CBF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5,26%</w:t>
            </w:r>
          </w:p>
        </w:tc>
        <w:tc>
          <w:tcPr>
            <w:tcW w:w="0" w:type="auto"/>
            <w:shd w:val="clear" w:color="auto" w:fill="auto"/>
            <w:vAlign w:val="center"/>
          </w:tcPr>
          <w:p w14:paraId="43F80CB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23:22</w:t>
            </w:r>
          </w:p>
        </w:tc>
        <w:tc>
          <w:tcPr>
            <w:tcW w:w="0" w:type="auto"/>
            <w:shd w:val="clear" w:color="auto" w:fill="auto"/>
            <w:vAlign w:val="center"/>
          </w:tcPr>
          <w:p w14:paraId="1E0D7D1D"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3,60%</w:t>
            </w:r>
          </w:p>
        </w:tc>
        <w:tc>
          <w:tcPr>
            <w:tcW w:w="0" w:type="auto"/>
            <w:shd w:val="clear" w:color="auto" w:fill="auto"/>
            <w:vAlign w:val="center"/>
          </w:tcPr>
          <w:p w14:paraId="06857BD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36:45</w:t>
            </w:r>
          </w:p>
        </w:tc>
        <w:tc>
          <w:tcPr>
            <w:tcW w:w="0" w:type="auto"/>
            <w:shd w:val="clear" w:color="auto" w:fill="auto"/>
            <w:vAlign w:val="center"/>
          </w:tcPr>
          <w:p w14:paraId="49EC59F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3,29%</w:t>
            </w:r>
          </w:p>
        </w:tc>
        <w:tc>
          <w:tcPr>
            <w:tcW w:w="0" w:type="auto"/>
            <w:shd w:val="clear" w:color="auto" w:fill="auto"/>
            <w:vAlign w:val="center"/>
          </w:tcPr>
          <w:p w14:paraId="0B45474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09:22</w:t>
            </w:r>
          </w:p>
        </w:tc>
        <w:tc>
          <w:tcPr>
            <w:tcW w:w="0" w:type="auto"/>
            <w:shd w:val="clear" w:color="auto" w:fill="auto"/>
            <w:vAlign w:val="center"/>
          </w:tcPr>
          <w:p w14:paraId="7BCC5F1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2,27%</w:t>
            </w:r>
          </w:p>
        </w:tc>
        <w:tc>
          <w:tcPr>
            <w:tcW w:w="0" w:type="auto"/>
            <w:shd w:val="clear" w:color="auto" w:fill="auto"/>
            <w:vAlign w:val="center"/>
          </w:tcPr>
          <w:p w14:paraId="6A6999B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00:00</w:t>
            </w:r>
          </w:p>
        </w:tc>
        <w:tc>
          <w:tcPr>
            <w:tcW w:w="0" w:type="auto"/>
            <w:shd w:val="clear" w:color="auto" w:fill="auto"/>
            <w:vAlign w:val="center"/>
          </w:tcPr>
          <w:p w14:paraId="703B456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4,45%</w:t>
            </w:r>
          </w:p>
        </w:tc>
        <w:tc>
          <w:tcPr>
            <w:tcW w:w="0" w:type="auto"/>
            <w:shd w:val="clear" w:color="auto" w:fill="auto"/>
            <w:vAlign w:val="center"/>
          </w:tcPr>
          <w:p w14:paraId="2CE2F35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12:04</w:t>
            </w:r>
          </w:p>
        </w:tc>
        <w:tc>
          <w:tcPr>
            <w:tcW w:w="0" w:type="auto"/>
            <w:shd w:val="clear" w:color="auto" w:fill="auto"/>
            <w:vAlign w:val="center"/>
          </w:tcPr>
          <w:p w14:paraId="199DFF9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1,94%</w:t>
            </w:r>
          </w:p>
        </w:tc>
      </w:tr>
      <w:tr w:rsidR="00733207" w14:paraId="6DACEA1F" w14:textId="77777777">
        <w:trPr>
          <w:trHeight w:val="55"/>
          <w:jc w:val="center"/>
        </w:trPr>
        <w:tc>
          <w:tcPr>
            <w:tcW w:w="0" w:type="auto"/>
            <w:shd w:val="clear" w:color="auto" w:fill="auto"/>
            <w:vAlign w:val="center"/>
          </w:tcPr>
          <w:p w14:paraId="381370EC"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SANTE</w:t>
            </w:r>
          </w:p>
        </w:tc>
        <w:tc>
          <w:tcPr>
            <w:tcW w:w="0" w:type="auto"/>
            <w:shd w:val="clear" w:color="auto" w:fill="auto"/>
            <w:vAlign w:val="center"/>
          </w:tcPr>
          <w:p w14:paraId="5CDFEBD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06:</w:t>
            </w:r>
            <w:proofErr w:type="gramEnd"/>
            <w:r>
              <w:rPr>
                <w:rFonts w:ascii="Rockwell" w:eastAsia="Times New Roman" w:hAnsi="Rockwell" w:cs="Calibri"/>
                <w:color w:val="000000"/>
                <w:sz w:val="15"/>
                <w:szCs w:val="15"/>
              </w:rPr>
              <w:t>34:38</w:t>
            </w:r>
          </w:p>
        </w:tc>
        <w:tc>
          <w:tcPr>
            <w:tcW w:w="0" w:type="auto"/>
            <w:shd w:val="clear" w:color="auto" w:fill="auto"/>
            <w:vAlign w:val="center"/>
          </w:tcPr>
          <w:p w14:paraId="15679CB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13,41%</w:t>
            </w:r>
          </w:p>
        </w:tc>
        <w:tc>
          <w:tcPr>
            <w:tcW w:w="0" w:type="auto"/>
            <w:shd w:val="clear" w:color="auto" w:fill="auto"/>
            <w:vAlign w:val="center"/>
          </w:tcPr>
          <w:p w14:paraId="42F37A0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53:30</w:t>
            </w:r>
          </w:p>
        </w:tc>
        <w:tc>
          <w:tcPr>
            <w:tcW w:w="0" w:type="auto"/>
            <w:shd w:val="clear" w:color="auto" w:fill="auto"/>
            <w:vAlign w:val="center"/>
          </w:tcPr>
          <w:p w14:paraId="119E750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13,00%</w:t>
            </w:r>
          </w:p>
        </w:tc>
        <w:tc>
          <w:tcPr>
            <w:tcW w:w="0" w:type="auto"/>
            <w:shd w:val="clear" w:color="auto" w:fill="auto"/>
            <w:vAlign w:val="center"/>
          </w:tcPr>
          <w:p w14:paraId="06FC76B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04:</w:t>
            </w:r>
            <w:proofErr w:type="gramEnd"/>
            <w:r>
              <w:rPr>
                <w:rFonts w:ascii="Rockwell" w:eastAsia="Times New Roman" w:hAnsi="Rockwell" w:cs="Calibri"/>
                <w:color w:val="000000"/>
                <w:sz w:val="15"/>
                <w:szCs w:val="15"/>
              </w:rPr>
              <w:t>30:22</w:t>
            </w:r>
          </w:p>
        </w:tc>
        <w:tc>
          <w:tcPr>
            <w:tcW w:w="0" w:type="auto"/>
            <w:shd w:val="clear" w:color="auto" w:fill="auto"/>
            <w:vAlign w:val="center"/>
          </w:tcPr>
          <w:p w14:paraId="1E6431C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17,23%</w:t>
            </w:r>
          </w:p>
        </w:tc>
        <w:tc>
          <w:tcPr>
            <w:tcW w:w="0" w:type="auto"/>
            <w:shd w:val="clear" w:color="auto" w:fill="auto"/>
            <w:vAlign w:val="center"/>
          </w:tcPr>
          <w:p w14:paraId="04D5DE6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38:19</w:t>
            </w:r>
          </w:p>
        </w:tc>
        <w:tc>
          <w:tcPr>
            <w:tcW w:w="0" w:type="auto"/>
            <w:shd w:val="clear" w:color="auto" w:fill="auto"/>
            <w:vAlign w:val="center"/>
          </w:tcPr>
          <w:p w14:paraId="1BC20A1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15,16%</w:t>
            </w:r>
          </w:p>
        </w:tc>
        <w:tc>
          <w:tcPr>
            <w:tcW w:w="0" w:type="auto"/>
            <w:shd w:val="clear" w:color="auto" w:fill="auto"/>
            <w:vAlign w:val="center"/>
          </w:tcPr>
          <w:p w14:paraId="7E099A5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38:18</w:t>
            </w:r>
          </w:p>
        </w:tc>
        <w:tc>
          <w:tcPr>
            <w:tcW w:w="0" w:type="auto"/>
            <w:shd w:val="clear" w:color="auto" w:fill="auto"/>
            <w:vAlign w:val="center"/>
          </w:tcPr>
          <w:p w14:paraId="5173368D"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14,16%</w:t>
            </w:r>
          </w:p>
        </w:tc>
        <w:tc>
          <w:tcPr>
            <w:tcW w:w="0" w:type="auto"/>
            <w:shd w:val="clear" w:color="auto" w:fill="auto"/>
            <w:vAlign w:val="center"/>
          </w:tcPr>
          <w:p w14:paraId="4C00A08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51:51</w:t>
            </w:r>
          </w:p>
        </w:tc>
        <w:tc>
          <w:tcPr>
            <w:tcW w:w="0" w:type="auto"/>
            <w:shd w:val="clear" w:color="auto" w:fill="auto"/>
            <w:vAlign w:val="center"/>
          </w:tcPr>
          <w:p w14:paraId="4F1C3F8D"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12,54%</w:t>
            </w:r>
          </w:p>
        </w:tc>
        <w:tc>
          <w:tcPr>
            <w:tcW w:w="0" w:type="auto"/>
            <w:shd w:val="clear" w:color="auto" w:fill="auto"/>
            <w:vAlign w:val="center"/>
          </w:tcPr>
          <w:p w14:paraId="09BEE78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27:15</w:t>
            </w:r>
          </w:p>
        </w:tc>
        <w:tc>
          <w:tcPr>
            <w:tcW w:w="0" w:type="auto"/>
            <w:shd w:val="clear" w:color="auto" w:fill="auto"/>
            <w:vAlign w:val="center"/>
          </w:tcPr>
          <w:p w14:paraId="7BC40D3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6,47%</w:t>
            </w:r>
          </w:p>
        </w:tc>
        <w:tc>
          <w:tcPr>
            <w:tcW w:w="0" w:type="auto"/>
            <w:shd w:val="clear" w:color="auto" w:fill="auto"/>
            <w:vAlign w:val="center"/>
          </w:tcPr>
          <w:p w14:paraId="2B3AD5A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34:27</w:t>
            </w:r>
          </w:p>
        </w:tc>
        <w:tc>
          <w:tcPr>
            <w:tcW w:w="0" w:type="auto"/>
            <w:shd w:val="clear" w:color="auto" w:fill="auto"/>
            <w:vAlign w:val="center"/>
          </w:tcPr>
          <w:p w14:paraId="0B238B8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5,53%</w:t>
            </w:r>
          </w:p>
        </w:tc>
      </w:tr>
      <w:tr w:rsidR="00733207" w14:paraId="53E4C283" w14:textId="77777777">
        <w:trPr>
          <w:trHeight w:val="55"/>
          <w:jc w:val="center"/>
        </w:trPr>
        <w:tc>
          <w:tcPr>
            <w:tcW w:w="0" w:type="auto"/>
            <w:shd w:val="clear" w:color="auto" w:fill="auto"/>
            <w:vAlign w:val="center"/>
          </w:tcPr>
          <w:p w14:paraId="1D9EA1EC"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SECURITE</w:t>
            </w:r>
          </w:p>
        </w:tc>
        <w:tc>
          <w:tcPr>
            <w:tcW w:w="0" w:type="auto"/>
            <w:shd w:val="clear" w:color="auto" w:fill="auto"/>
            <w:vAlign w:val="center"/>
          </w:tcPr>
          <w:p w14:paraId="69B69B8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05:</w:t>
            </w:r>
            <w:proofErr w:type="gramEnd"/>
            <w:r>
              <w:rPr>
                <w:rFonts w:ascii="Rockwell" w:eastAsia="Times New Roman" w:hAnsi="Rockwell" w:cs="Calibri"/>
                <w:color w:val="000000"/>
                <w:sz w:val="15"/>
                <w:szCs w:val="15"/>
              </w:rPr>
              <w:t>53:12</w:t>
            </w:r>
          </w:p>
        </w:tc>
        <w:tc>
          <w:tcPr>
            <w:tcW w:w="0" w:type="auto"/>
            <w:shd w:val="clear" w:color="auto" w:fill="auto"/>
            <w:vAlign w:val="center"/>
          </w:tcPr>
          <w:p w14:paraId="1D7A284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12,00%</w:t>
            </w:r>
          </w:p>
        </w:tc>
        <w:tc>
          <w:tcPr>
            <w:tcW w:w="0" w:type="auto"/>
            <w:shd w:val="clear" w:color="auto" w:fill="auto"/>
            <w:vAlign w:val="center"/>
          </w:tcPr>
          <w:p w14:paraId="7267B3C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55:53</w:t>
            </w:r>
          </w:p>
        </w:tc>
        <w:tc>
          <w:tcPr>
            <w:tcW w:w="0" w:type="auto"/>
            <w:shd w:val="clear" w:color="auto" w:fill="auto"/>
            <w:vAlign w:val="center"/>
          </w:tcPr>
          <w:p w14:paraId="0F69F6C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13,27%</w:t>
            </w:r>
          </w:p>
        </w:tc>
        <w:tc>
          <w:tcPr>
            <w:tcW w:w="0" w:type="auto"/>
            <w:shd w:val="clear" w:color="auto" w:fill="auto"/>
            <w:vAlign w:val="center"/>
          </w:tcPr>
          <w:p w14:paraId="6F2BE29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21:57</w:t>
            </w:r>
          </w:p>
        </w:tc>
        <w:tc>
          <w:tcPr>
            <w:tcW w:w="0" w:type="auto"/>
            <w:shd w:val="clear" w:color="auto" w:fill="auto"/>
            <w:vAlign w:val="center"/>
          </w:tcPr>
          <w:p w14:paraId="01A18A1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9,05%</w:t>
            </w:r>
          </w:p>
        </w:tc>
        <w:tc>
          <w:tcPr>
            <w:tcW w:w="0" w:type="auto"/>
            <w:shd w:val="clear" w:color="auto" w:fill="auto"/>
            <w:vAlign w:val="center"/>
          </w:tcPr>
          <w:p w14:paraId="2D3B3AF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05:42</w:t>
            </w:r>
          </w:p>
        </w:tc>
        <w:tc>
          <w:tcPr>
            <w:tcW w:w="0" w:type="auto"/>
            <w:shd w:val="clear" w:color="auto" w:fill="auto"/>
            <w:vAlign w:val="center"/>
          </w:tcPr>
          <w:p w14:paraId="54511E4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10,13%</w:t>
            </w:r>
          </w:p>
        </w:tc>
        <w:tc>
          <w:tcPr>
            <w:tcW w:w="0" w:type="auto"/>
            <w:shd w:val="clear" w:color="auto" w:fill="auto"/>
            <w:vAlign w:val="center"/>
          </w:tcPr>
          <w:p w14:paraId="47041A6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46:30</w:t>
            </w:r>
          </w:p>
        </w:tc>
        <w:tc>
          <w:tcPr>
            <w:tcW w:w="0" w:type="auto"/>
            <w:shd w:val="clear" w:color="auto" w:fill="auto"/>
            <w:vAlign w:val="center"/>
          </w:tcPr>
          <w:p w14:paraId="03766413"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14,89%</w:t>
            </w:r>
          </w:p>
        </w:tc>
        <w:tc>
          <w:tcPr>
            <w:tcW w:w="0" w:type="auto"/>
            <w:shd w:val="clear" w:color="auto" w:fill="auto"/>
            <w:vAlign w:val="center"/>
          </w:tcPr>
          <w:p w14:paraId="6FE9E14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06:45</w:t>
            </w:r>
          </w:p>
        </w:tc>
        <w:tc>
          <w:tcPr>
            <w:tcW w:w="0" w:type="auto"/>
            <w:shd w:val="clear" w:color="auto" w:fill="auto"/>
            <w:vAlign w:val="center"/>
          </w:tcPr>
          <w:p w14:paraId="7A74395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16,14%</w:t>
            </w:r>
          </w:p>
        </w:tc>
        <w:tc>
          <w:tcPr>
            <w:tcW w:w="0" w:type="auto"/>
            <w:shd w:val="clear" w:color="auto" w:fill="auto"/>
            <w:vAlign w:val="center"/>
          </w:tcPr>
          <w:p w14:paraId="57C94CD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41:51</w:t>
            </w:r>
          </w:p>
        </w:tc>
        <w:tc>
          <w:tcPr>
            <w:tcW w:w="0" w:type="auto"/>
            <w:shd w:val="clear" w:color="auto" w:fill="auto"/>
            <w:vAlign w:val="center"/>
          </w:tcPr>
          <w:p w14:paraId="6096E7B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7,55%</w:t>
            </w:r>
          </w:p>
        </w:tc>
        <w:tc>
          <w:tcPr>
            <w:tcW w:w="0" w:type="auto"/>
            <w:shd w:val="clear" w:color="auto" w:fill="auto"/>
            <w:vAlign w:val="center"/>
          </w:tcPr>
          <w:p w14:paraId="184550F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53:58</w:t>
            </w:r>
          </w:p>
        </w:tc>
        <w:tc>
          <w:tcPr>
            <w:tcW w:w="0" w:type="auto"/>
            <w:shd w:val="clear" w:color="auto" w:fill="auto"/>
            <w:vAlign w:val="center"/>
          </w:tcPr>
          <w:p w14:paraId="364017F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8,66%</w:t>
            </w:r>
          </w:p>
        </w:tc>
      </w:tr>
      <w:tr w:rsidR="00733207" w14:paraId="682E00FF" w14:textId="77777777">
        <w:trPr>
          <w:trHeight w:val="55"/>
          <w:jc w:val="center"/>
        </w:trPr>
        <w:tc>
          <w:tcPr>
            <w:tcW w:w="0" w:type="auto"/>
            <w:shd w:val="clear" w:color="auto" w:fill="auto"/>
            <w:vAlign w:val="center"/>
          </w:tcPr>
          <w:p w14:paraId="0A06FCA0"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SOCIETE</w:t>
            </w:r>
          </w:p>
        </w:tc>
        <w:tc>
          <w:tcPr>
            <w:tcW w:w="0" w:type="auto"/>
            <w:shd w:val="clear" w:color="auto" w:fill="auto"/>
            <w:vAlign w:val="center"/>
          </w:tcPr>
          <w:p w14:paraId="4916423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11:</w:t>
            </w:r>
            <w:proofErr w:type="gramEnd"/>
            <w:r>
              <w:rPr>
                <w:rFonts w:ascii="Rockwell" w:eastAsia="Times New Roman" w:hAnsi="Rockwell" w:cs="Calibri"/>
                <w:color w:val="000000"/>
                <w:sz w:val="15"/>
                <w:szCs w:val="15"/>
              </w:rPr>
              <w:t>20:55</w:t>
            </w:r>
          </w:p>
        </w:tc>
        <w:tc>
          <w:tcPr>
            <w:tcW w:w="0" w:type="auto"/>
            <w:shd w:val="clear" w:color="auto" w:fill="auto"/>
            <w:vAlign w:val="center"/>
          </w:tcPr>
          <w:p w14:paraId="75F72BB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23,13%</w:t>
            </w:r>
          </w:p>
        </w:tc>
        <w:tc>
          <w:tcPr>
            <w:tcW w:w="0" w:type="auto"/>
            <w:shd w:val="clear" w:color="auto" w:fill="auto"/>
            <w:vAlign w:val="center"/>
          </w:tcPr>
          <w:p w14:paraId="26560A3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24:02</w:t>
            </w:r>
          </w:p>
        </w:tc>
        <w:tc>
          <w:tcPr>
            <w:tcW w:w="0" w:type="auto"/>
            <w:shd w:val="clear" w:color="auto" w:fill="auto"/>
            <w:vAlign w:val="center"/>
          </w:tcPr>
          <w:p w14:paraId="4DD2B2ED"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23,36%</w:t>
            </w:r>
          </w:p>
        </w:tc>
        <w:tc>
          <w:tcPr>
            <w:tcW w:w="0" w:type="auto"/>
            <w:shd w:val="clear" w:color="auto" w:fill="auto"/>
            <w:vAlign w:val="center"/>
          </w:tcPr>
          <w:p w14:paraId="27270AD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05:</w:t>
            </w:r>
            <w:proofErr w:type="gramEnd"/>
            <w:r>
              <w:rPr>
                <w:rFonts w:ascii="Rockwell" w:eastAsia="Times New Roman" w:hAnsi="Rockwell" w:cs="Calibri"/>
                <w:color w:val="000000"/>
                <w:sz w:val="15"/>
                <w:szCs w:val="15"/>
              </w:rPr>
              <w:t>10:40</w:t>
            </w:r>
          </w:p>
        </w:tc>
        <w:tc>
          <w:tcPr>
            <w:tcW w:w="0" w:type="auto"/>
            <w:shd w:val="clear" w:color="auto" w:fill="auto"/>
            <w:vAlign w:val="center"/>
          </w:tcPr>
          <w:p w14:paraId="1FD86ED1"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19,80%</w:t>
            </w:r>
          </w:p>
        </w:tc>
        <w:tc>
          <w:tcPr>
            <w:tcW w:w="0" w:type="auto"/>
            <w:shd w:val="clear" w:color="auto" w:fill="auto"/>
            <w:vAlign w:val="center"/>
          </w:tcPr>
          <w:p w14:paraId="4D201A0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54:32</w:t>
            </w:r>
          </w:p>
        </w:tc>
        <w:tc>
          <w:tcPr>
            <w:tcW w:w="0" w:type="auto"/>
            <w:shd w:val="clear" w:color="auto" w:fill="auto"/>
            <w:vAlign w:val="center"/>
          </w:tcPr>
          <w:p w14:paraId="63941B3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17,67%</w:t>
            </w:r>
          </w:p>
        </w:tc>
        <w:tc>
          <w:tcPr>
            <w:tcW w:w="0" w:type="auto"/>
            <w:shd w:val="clear" w:color="auto" w:fill="auto"/>
            <w:vAlign w:val="center"/>
          </w:tcPr>
          <w:p w14:paraId="43E4290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06:</w:t>
            </w:r>
            <w:proofErr w:type="gramEnd"/>
            <w:r>
              <w:rPr>
                <w:rFonts w:ascii="Rockwell" w:eastAsia="Times New Roman" w:hAnsi="Rockwell" w:cs="Calibri"/>
                <w:color w:val="000000"/>
                <w:sz w:val="15"/>
                <w:szCs w:val="15"/>
              </w:rPr>
              <w:t>25:17</w:t>
            </w:r>
          </w:p>
        </w:tc>
        <w:tc>
          <w:tcPr>
            <w:tcW w:w="0" w:type="auto"/>
            <w:shd w:val="clear" w:color="auto" w:fill="auto"/>
            <w:vAlign w:val="center"/>
          </w:tcPr>
          <w:p w14:paraId="2306BF8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34,46%</w:t>
            </w:r>
          </w:p>
        </w:tc>
        <w:tc>
          <w:tcPr>
            <w:tcW w:w="0" w:type="auto"/>
            <w:shd w:val="clear" w:color="auto" w:fill="auto"/>
            <w:vAlign w:val="center"/>
          </w:tcPr>
          <w:p w14:paraId="54EF14B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16:55</w:t>
            </w:r>
          </w:p>
        </w:tc>
        <w:tc>
          <w:tcPr>
            <w:tcW w:w="0" w:type="auto"/>
            <w:shd w:val="clear" w:color="auto" w:fill="auto"/>
            <w:vAlign w:val="center"/>
          </w:tcPr>
          <w:p w14:paraId="72FA3C1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33,11%</w:t>
            </w:r>
          </w:p>
        </w:tc>
        <w:tc>
          <w:tcPr>
            <w:tcW w:w="0" w:type="auto"/>
            <w:shd w:val="clear" w:color="auto" w:fill="auto"/>
            <w:vAlign w:val="center"/>
          </w:tcPr>
          <w:p w14:paraId="04E0447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10:</w:t>
            </w:r>
            <w:proofErr w:type="gramEnd"/>
            <w:r>
              <w:rPr>
                <w:rFonts w:ascii="Rockwell" w:eastAsia="Times New Roman" w:hAnsi="Rockwell" w:cs="Calibri"/>
                <w:color w:val="000000"/>
                <w:sz w:val="15"/>
                <w:szCs w:val="15"/>
              </w:rPr>
              <w:t>55:38</w:t>
            </w:r>
          </w:p>
        </w:tc>
        <w:tc>
          <w:tcPr>
            <w:tcW w:w="0" w:type="auto"/>
            <w:shd w:val="clear" w:color="auto" w:fill="auto"/>
            <w:vAlign w:val="center"/>
          </w:tcPr>
          <w:p w14:paraId="2AAFDB8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48,62%</w:t>
            </w:r>
          </w:p>
        </w:tc>
        <w:tc>
          <w:tcPr>
            <w:tcW w:w="0" w:type="auto"/>
            <w:shd w:val="clear" w:color="auto" w:fill="auto"/>
            <w:vAlign w:val="center"/>
          </w:tcPr>
          <w:p w14:paraId="3786AB41"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05:</w:t>
            </w:r>
            <w:proofErr w:type="gramEnd"/>
            <w:r>
              <w:rPr>
                <w:rFonts w:ascii="Rockwell" w:eastAsia="Times New Roman" w:hAnsi="Rockwell" w:cs="Calibri"/>
                <w:color w:val="000000"/>
                <w:sz w:val="15"/>
                <w:szCs w:val="15"/>
              </w:rPr>
              <w:t>14:02</w:t>
            </w:r>
          </w:p>
        </w:tc>
        <w:tc>
          <w:tcPr>
            <w:tcW w:w="0" w:type="auto"/>
            <w:shd w:val="clear" w:color="auto" w:fill="auto"/>
            <w:vAlign w:val="center"/>
          </w:tcPr>
          <w:p w14:paraId="4464C031"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50,41%</w:t>
            </w:r>
          </w:p>
        </w:tc>
      </w:tr>
      <w:tr w:rsidR="00733207" w14:paraId="386F549C" w14:textId="77777777">
        <w:trPr>
          <w:trHeight w:val="55"/>
          <w:jc w:val="center"/>
        </w:trPr>
        <w:tc>
          <w:tcPr>
            <w:tcW w:w="0" w:type="auto"/>
            <w:shd w:val="clear" w:color="auto" w:fill="auto"/>
            <w:vAlign w:val="center"/>
          </w:tcPr>
          <w:p w14:paraId="47E937BD"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TOTAL</w:t>
            </w:r>
          </w:p>
        </w:tc>
        <w:tc>
          <w:tcPr>
            <w:tcW w:w="0" w:type="auto"/>
            <w:shd w:val="clear" w:color="auto" w:fill="auto"/>
            <w:vAlign w:val="center"/>
          </w:tcPr>
          <w:p w14:paraId="590C2639"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49:</w:t>
            </w:r>
            <w:proofErr w:type="gramEnd"/>
            <w:r>
              <w:rPr>
                <w:rFonts w:ascii="Rockwell" w:eastAsia="Times New Roman" w:hAnsi="Rockwell" w:cs="Calibri"/>
                <w:b/>
                <w:bCs/>
                <w:color w:val="000000"/>
                <w:sz w:val="15"/>
                <w:szCs w:val="15"/>
              </w:rPr>
              <w:t>03:54</w:t>
            </w:r>
          </w:p>
        </w:tc>
        <w:tc>
          <w:tcPr>
            <w:tcW w:w="0" w:type="auto"/>
            <w:shd w:val="clear" w:color="auto" w:fill="auto"/>
            <w:vAlign w:val="center"/>
          </w:tcPr>
          <w:p w14:paraId="42234D5F"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5F5C083B"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14:</w:t>
            </w:r>
            <w:proofErr w:type="gramEnd"/>
            <w:r>
              <w:rPr>
                <w:rFonts w:ascii="Rockwell" w:eastAsia="Times New Roman" w:hAnsi="Rockwell" w:cs="Calibri"/>
                <w:b/>
                <w:bCs/>
                <w:color w:val="000000"/>
                <w:sz w:val="15"/>
                <w:szCs w:val="15"/>
              </w:rPr>
              <w:t>33:23</w:t>
            </w:r>
          </w:p>
        </w:tc>
        <w:tc>
          <w:tcPr>
            <w:tcW w:w="0" w:type="auto"/>
            <w:shd w:val="clear" w:color="auto" w:fill="auto"/>
            <w:vAlign w:val="center"/>
          </w:tcPr>
          <w:p w14:paraId="68B4ADA7"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7676C0EC"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26:</w:t>
            </w:r>
            <w:proofErr w:type="gramEnd"/>
            <w:r>
              <w:rPr>
                <w:rFonts w:ascii="Rockwell" w:eastAsia="Times New Roman" w:hAnsi="Rockwell" w:cs="Calibri"/>
                <w:b/>
                <w:bCs/>
                <w:color w:val="000000"/>
                <w:sz w:val="15"/>
                <w:szCs w:val="15"/>
              </w:rPr>
              <w:t>08:44</w:t>
            </w:r>
          </w:p>
        </w:tc>
        <w:tc>
          <w:tcPr>
            <w:tcW w:w="0" w:type="auto"/>
            <w:shd w:val="clear" w:color="auto" w:fill="auto"/>
            <w:vAlign w:val="center"/>
          </w:tcPr>
          <w:p w14:paraId="44D41518"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173A2133"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10:</w:t>
            </w:r>
            <w:proofErr w:type="gramEnd"/>
            <w:r>
              <w:rPr>
                <w:rFonts w:ascii="Rockwell" w:eastAsia="Times New Roman" w:hAnsi="Rockwell" w:cs="Calibri"/>
                <w:b/>
                <w:bCs/>
                <w:color w:val="000000"/>
                <w:sz w:val="15"/>
                <w:szCs w:val="15"/>
              </w:rPr>
              <w:t>48:21</w:t>
            </w:r>
          </w:p>
        </w:tc>
        <w:tc>
          <w:tcPr>
            <w:tcW w:w="0" w:type="auto"/>
            <w:shd w:val="clear" w:color="auto" w:fill="auto"/>
            <w:vAlign w:val="center"/>
          </w:tcPr>
          <w:p w14:paraId="2C184F16"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3B9EC341"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18:</w:t>
            </w:r>
            <w:proofErr w:type="gramEnd"/>
            <w:r>
              <w:rPr>
                <w:rFonts w:ascii="Rockwell" w:eastAsia="Times New Roman" w:hAnsi="Rockwell" w:cs="Calibri"/>
                <w:b/>
                <w:bCs/>
                <w:color w:val="000000"/>
                <w:sz w:val="15"/>
                <w:szCs w:val="15"/>
              </w:rPr>
              <w:t>38:02</w:t>
            </w:r>
          </w:p>
        </w:tc>
        <w:tc>
          <w:tcPr>
            <w:tcW w:w="0" w:type="auto"/>
            <w:shd w:val="clear" w:color="auto" w:fill="auto"/>
            <w:vAlign w:val="center"/>
          </w:tcPr>
          <w:p w14:paraId="54B55A4C"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4C55EC9A"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06:</w:t>
            </w:r>
            <w:proofErr w:type="gramEnd"/>
            <w:r>
              <w:rPr>
                <w:rFonts w:ascii="Rockwell" w:eastAsia="Times New Roman" w:hAnsi="Rockwell" w:cs="Calibri"/>
                <w:b/>
                <w:bCs/>
                <w:color w:val="000000"/>
                <w:sz w:val="15"/>
                <w:szCs w:val="15"/>
              </w:rPr>
              <w:t>53:30</w:t>
            </w:r>
          </w:p>
        </w:tc>
        <w:tc>
          <w:tcPr>
            <w:tcW w:w="0" w:type="auto"/>
            <w:shd w:val="clear" w:color="auto" w:fill="auto"/>
            <w:vAlign w:val="center"/>
          </w:tcPr>
          <w:p w14:paraId="1762A55E"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3E6EBD52"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22:</w:t>
            </w:r>
            <w:proofErr w:type="gramEnd"/>
            <w:r>
              <w:rPr>
                <w:rFonts w:ascii="Rockwell" w:eastAsia="Times New Roman" w:hAnsi="Rockwell" w:cs="Calibri"/>
                <w:b/>
                <w:bCs/>
                <w:color w:val="000000"/>
                <w:sz w:val="15"/>
                <w:szCs w:val="15"/>
              </w:rPr>
              <w:t>28:34</w:t>
            </w:r>
          </w:p>
        </w:tc>
        <w:tc>
          <w:tcPr>
            <w:tcW w:w="0" w:type="auto"/>
            <w:shd w:val="clear" w:color="auto" w:fill="auto"/>
            <w:vAlign w:val="center"/>
          </w:tcPr>
          <w:p w14:paraId="3961D924"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0" w:type="auto"/>
            <w:shd w:val="clear" w:color="auto" w:fill="auto"/>
            <w:vAlign w:val="center"/>
          </w:tcPr>
          <w:p w14:paraId="79D4188F"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10:</w:t>
            </w:r>
            <w:proofErr w:type="gramEnd"/>
            <w:r>
              <w:rPr>
                <w:rFonts w:ascii="Rockwell" w:eastAsia="Times New Roman" w:hAnsi="Rockwell" w:cs="Calibri"/>
                <w:b/>
                <w:bCs/>
                <w:color w:val="000000"/>
                <w:sz w:val="15"/>
                <w:szCs w:val="15"/>
              </w:rPr>
              <w:t>22:58</w:t>
            </w:r>
          </w:p>
        </w:tc>
        <w:tc>
          <w:tcPr>
            <w:tcW w:w="0" w:type="auto"/>
            <w:shd w:val="clear" w:color="auto" w:fill="auto"/>
            <w:vAlign w:val="center"/>
          </w:tcPr>
          <w:p w14:paraId="58BF2806"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r>
    </w:tbl>
    <w:p w14:paraId="220DA3C3" w14:textId="77777777" w:rsidR="00733207" w:rsidRDefault="00912BAE">
      <w:pPr>
        <w:spacing w:before="120" w:after="120" w:line="360" w:lineRule="auto"/>
        <w:ind w:left="284"/>
        <w:jc w:val="both"/>
        <w:rPr>
          <w:rFonts w:ascii="Rockwell" w:hAnsi="Rockwell"/>
          <w:i/>
          <w:u w:val="single"/>
        </w:rPr>
      </w:pPr>
      <w:r>
        <w:rPr>
          <w:rFonts w:ascii="Rockwell" w:hAnsi="Rockwell"/>
          <w:b/>
          <w:i/>
          <w:u w:val="single"/>
        </w:rPr>
        <w:t>Source</w:t>
      </w:r>
      <w:r>
        <w:rPr>
          <w:rFonts w:ascii="Rockwell" w:hAnsi="Rockwell"/>
          <w:i/>
          <w:u w:val="single"/>
        </w:rPr>
        <w:t> </w:t>
      </w:r>
      <w:r>
        <w:rPr>
          <w:rFonts w:ascii="Rockwell" w:hAnsi="Rockwell"/>
          <w:i/>
        </w:rPr>
        <w:t>: CSC</w:t>
      </w:r>
    </w:p>
    <w:p w14:paraId="0050476F" w14:textId="77777777" w:rsidR="00733207" w:rsidRDefault="00733207">
      <w:pPr>
        <w:spacing w:before="120" w:after="120" w:line="360" w:lineRule="auto"/>
        <w:jc w:val="both"/>
        <w:rPr>
          <w:rFonts w:ascii="Rockwell" w:hAnsi="Rockwell"/>
          <w:sz w:val="26"/>
          <w:szCs w:val="26"/>
        </w:rPr>
      </w:pPr>
    </w:p>
    <w:p w14:paraId="6B252FD5" w14:textId="77777777" w:rsidR="00733207" w:rsidRDefault="00733207">
      <w:pPr>
        <w:spacing w:before="120" w:after="120" w:line="360" w:lineRule="auto"/>
        <w:jc w:val="both"/>
        <w:rPr>
          <w:rFonts w:ascii="Rockwell" w:hAnsi="Rockwell"/>
          <w:sz w:val="26"/>
          <w:szCs w:val="26"/>
        </w:rPr>
        <w:sectPr w:rsidR="00733207">
          <w:pgSz w:w="16838" w:h="11906" w:orient="landscape"/>
          <w:pgMar w:top="992" w:right="1418" w:bottom="1418" w:left="851" w:header="709" w:footer="23"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830"/>
        <w:gridCol w:w="833"/>
        <w:gridCol w:w="830"/>
        <w:gridCol w:w="833"/>
        <w:gridCol w:w="830"/>
        <w:gridCol w:w="833"/>
        <w:gridCol w:w="830"/>
        <w:gridCol w:w="833"/>
        <w:gridCol w:w="830"/>
        <w:gridCol w:w="833"/>
        <w:gridCol w:w="830"/>
        <w:gridCol w:w="833"/>
        <w:gridCol w:w="920"/>
        <w:gridCol w:w="833"/>
        <w:gridCol w:w="830"/>
        <w:gridCol w:w="833"/>
      </w:tblGrid>
      <w:tr w:rsidR="00733207" w14:paraId="090E2DD6" w14:textId="77777777">
        <w:trPr>
          <w:trHeight w:val="60"/>
        </w:trPr>
        <w:tc>
          <w:tcPr>
            <w:tcW w:w="400" w:type="pct"/>
            <w:vMerge w:val="restart"/>
            <w:shd w:val="clear" w:color="auto" w:fill="auto"/>
          </w:tcPr>
          <w:p w14:paraId="4DD573C6"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lastRenderedPageBreak/>
              <w:t>THEMES</w:t>
            </w:r>
          </w:p>
        </w:tc>
        <w:tc>
          <w:tcPr>
            <w:tcW w:w="1142" w:type="pct"/>
            <w:gridSpan w:val="4"/>
            <w:shd w:val="clear" w:color="auto" w:fill="auto"/>
          </w:tcPr>
          <w:p w14:paraId="10C7444E"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RADIO OUAGA FM</w:t>
            </w:r>
          </w:p>
        </w:tc>
        <w:tc>
          <w:tcPr>
            <w:tcW w:w="1142" w:type="pct"/>
            <w:gridSpan w:val="4"/>
            <w:shd w:val="clear" w:color="auto" w:fill="auto"/>
          </w:tcPr>
          <w:p w14:paraId="479421DA"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TELEVISION 3TV</w:t>
            </w:r>
          </w:p>
        </w:tc>
        <w:tc>
          <w:tcPr>
            <w:tcW w:w="1142" w:type="pct"/>
            <w:gridSpan w:val="4"/>
            <w:shd w:val="clear" w:color="auto" w:fill="auto"/>
          </w:tcPr>
          <w:p w14:paraId="18E386E8"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TELEVISION BF1</w:t>
            </w:r>
          </w:p>
        </w:tc>
        <w:tc>
          <w:tcPr>
            <w:tcW w:w="1173" w:type="pct"/>
            <w:gridSpan w:val="4"/>
            <w:shd w:val="clear" w:color="auto" w:fill="auto"/>
          </w:tcPr>
          <w:p w14:paraId="6BBB3C88" w14:textId="77777777" w:rsidR="00733207" w:rsidRDefault="00912BAE">
            <w:pPr>
              <w:spacing w:before="120" w:after="120" w:line="360" w:lineRule="auto"/>
              <w:jc w:val="both"/>
              <w:rPr>
                <w:rFonts w:ascii="Rockwell" w:eastAsia="Times New Roman" w:hAnsi="Rockwell" w:cs="Calibri"/>
                <w:b/>
                <w:bCs/>
                <w:color w:val="000000"/>
                <w:sz w:val="15"/>
                <w:szCs w:val="15"/>
                <w:u w:val="single"/>
              </w:rPr>
            </w:pPr>
            <w:r>
              <w:rPr>
                <w:rFonts w:ascii="Rockwell" w:eastAsia="Times New Roman" w:hAnsi="Rockwell" w:cs="Calibri"/>
                <w:b/>
                <w:bCs/>
                <w:color w:val="000000"/>
                <w:sz w:val="15"/>
                <w:szCs w:val="15"/>
                <w:u w:val="single"/>
              </w:rPr>
              <w:t>TOTAL</w:t>
            </w:r>
          </w:p>
        </w:tc>
      </w:tr>
      <w:tr w:rsidR="00733207" w14:paraId="2F532E6D" w14:textId="77777777">
        <w:trPr>
          <w:trHeight w:val="60"/>
        </w:trPr>
        <w:tc>
          <w:tcPr>
            <w:tcW w:w="400" w:type="pct"/>
            <w:vMerge/>
            <w:shd w:val="clear" w:color="auto" w:fill="auto"/>
          </w:tcPr>
          <w:p w14:paraId="00012B1C" w14:textId="77777777" w:rsidR="00733207" w:rsidRDefault="00733207">
            <w:pPr>
              <w:spacing w:before="120" w:after="120" w:line="360" w:lineRule="auto"/>
              <w:jc w:val="both"/>
              <w:rPr>
                <w:rFonts w:ascii="Rockwell" w:eastAsia="Times New Roman" w:hAnsi="Rockwell" w:cs="Calibri"/>
                <w:b/>
                <w:bCs/>
                <w:color w:val="000000"/>
                <w:sz w:val="15"/>
                <w:szCs w:val="15"/>
              </w:rPr>
            </w:pPr>
          </w:p>
        </w:tc>
        <w:tc>
          <w:tcPr>
            <w:tcW w:w="285" w:type="pct"/>
            <w:shd w:val="clear" w:color="auto" w:fill="auto"/>
          </w:tcPr>
          <w:p w14:paraId="47DF85C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286" w:type="pct"/>
            <w:shd w:val="clear" w:color="auto" w:fill="auto"/>
          </w:tcPr>
          <w:p w14:paraId="651BC40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285" w:type="pct"/>
            <w:shd w:val="clear" w:color="auto" w:fill="auto"/>
          </w:tcPr>
          <w:p w14:paraId="753C836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286" w:type="pct"/>
            <w:shd w:val="clear" w:color="auto" w:fill="auto"/>
          </w:tcPr>
          <w:p w14:paraId="2D8AFDF6"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c>
          <w:tcPr>
            <w:tcW w:w="285" w:type="pct"/>
            <w:shd w:val="clear" w:color="auto" w:fill="auto"/>
          </w:tcPr>
          <w:p w14:paraId="483D888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286" w:type="pct"/>
            <w:shd w:val="clear" w:color="auto" w:fill="auto"/>
          </w:tcPr>
          <w:p w14:paraId="7BAB8BC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285" w:type="pct"/>
            <w:shd w:val="clear" w:color="auto" w:fill="auto"/>
          </w:tcPr>
          <w:p w14:paraId="7F1EC20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286" w:type="pct"/>
            <w:shd w:val="clear" w:color="auto" w:fill="auto"/>
          </w:tcPr>
          <w:p w14:paraId="5A06C4A3"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c>
          <w:tcPr>
            <w:tcW w:w="285" w:type="pct"/>
            <w:shd w:val="clear" w:color="auto" w:fill="auto"/>
          </w:tcPr>
          <w:p w14:paraId="50B2744F"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286" w:type="pct"/>
            <w:shd w:val="clear" w:color="auto" w:fill="auto"/>
          </w:tcPr>
          <w:p w14:paraId="6924E56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285" w:type="pct"/>
            <w:shd w:val="clear" w:color="auto" w:fill="auto"/>
          </w:tcPr>
          <w:p w14:paraId="478146B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286" w:type="pct"/>
            <w:shd w:val="clear" w:color="auto" w:fill="auto"/>
          </w:tcPr>
          <w:p w14:paraId="458260A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c>
          <w:tcPr>
            <w:tcW w:w="316" w:type="pct"/>
            <w:shd w:val="clear" w:color="auto" w:fill="auto"/>
          </w:tcPr>
          <w:p w14:paraId="35C1AFE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TA</w:t>
            </w:r>
          </w:p>
        </w:tc>
        <w:tc>
          <w:tcPr>
            <w:tcW w:w="286" w:type="pct"/>
            <w:shd w:val="clear" w:color="auto" w:fill="auto"/>
          </w:tcPr>
          <w:p w14:paraId="6286A36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TA</w:t>
            </w:r>
          </w:p>
        </w:tc>
        <w:tc>
          <w:tcPr>
            <w:tcW w:w="285" w:type="pct"/>
            <w:shd w:val="clear" w:color="auto" w:fill="auto"/>
          </w:tcPr>
          <w:p w14:paraId="6236DEB6"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TP</w:t>
            </w:r>
          </w:p>
        </w:tc>
        <w:tc>
          <w:tcPr>
            <w:tcW w:w="286" w:type="pct"/>
            <w:shd w:val="clear" w:color="auto" w:fill="auto"/>
          </w:tcPr>
          <w:p w14:paraId="6E0ACC7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 TP</w:t>
            </w:r>
          </w:p>
        </w:tc>
      </w:tr>
      <w:tr w:rsidR="00733207" w14:paraId="3735B139" w14:textId="77777777">
        <w:trPr>
          <w:trHeight w:val="60"/>
        </w:trPr>
        <w:tc>
          <w:tcPr>
            <w:tcW w:w="400" w:type="pct"/>
            <w:shd w:val="clear" w:color="auto" w:fill="auto"/>
          </w:tcPr>
          <w:p w14:paraId="2528D7CD"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CULTURE</w:t>
            </w:r>
          </w:p>
        </w:tc>
        <w:tc>
          <w:tcPr>
            <w:tcW w:w="285" w:type="pct"/>
            <w:shd w:val="clear" w:color="auto" w:fill="auto"/>
          </w:tcPr>
          <w:p w14:paraId="2AEBA2E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24:00</w:t>
            </w:r>
          </w:p>
        </w:tc>
        <w:tc>
          <w:tcPr>
            <w:tcW w:w="286" w:type="pct"/>
            <w:shd w:val="clear" w:color="auto" w:fill="auto"/>
          </w:tcPr>
          <w:p w14:paraId="2CD519B6"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4,63%</w:t>
            </w:r>
          </w:p>
        </w:tc>
        <w:tc>
          <w:tcPr>
            <w:tcW w:w="285" w:type="pct"/>
            <w:shd w:val="clear" w:color="auto" w:fill="auto"/>
          </w:tcPr>
          <w:p w14:paraId="064831E3"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31:26</w:t>
            </w:r>
          </w:p>
        </w:tc>
        <w:tc>
          <w:tcPr>
            <w:tcW w:w="286" w:type="pct"/>
            <w:shd w:val="clear" w:color="auto" w:fill="auto"/>
          </w:tcPr>
          <w:p w14:paraId="1AAE91F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3,93%</w:t>
            </w:r>
          </w:p>
        </w:tc>
        <w:tc>
          <w:tcPr>
            <w:tcW w:w="285" w:type="pct"/>
            <w:shd w:val="clear" w:color="auto" w:fill="auto"/>
          </w:tcPr>
          <w:p w14:paraId="36230CB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47:17</w:t>
            </w:r>
          </w:p>
        </w:tc>
        <w:tc>
          <w:tcPr>
            <w:tcW w:w="286" w:type="pct"/>
            <w:shd w:val="clear" w:color="auto" w:fill="auto"/>
          </w:tcPr>
          <w:p w14:paraId="79ABD41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5,66%</w:t>
            </w:r>
          </w:p>
        </w:tc>
        <w:tc>
          <w:tcPr>
            <w:tcW w:w="285" w:type="pct"/>
            <w:shd w:val="clear" w:color="auto" w:fill="auto"/>
          </w:tcPr>
          <w:p w14:paraId="4FF39F9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01:39</w:t>
            </w:r>
          </w:p>
        </w:tc>
        <w:tc>
          <w:tcPr>
            <w:tcW w:w="286" w:type="pct"/>
            <w:shd w:val="clear" w:color="auto" w:fill="auto"/>
          </w:tcPr>
          <w:p w14:paraId="503E30C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4,34%</w:t>
            </w:r>
          </w:p>
        </w:tc>
        <w:tc>
          <w:tcPr>
            <w:tcW w:w="285" w:type="pct"/>
            <w:shd w:val="clear" w:color="auto" w:fill="auto"/>
          </w:tcPr>
          <w:p w14:paraId="7CE33D9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43:33</w:t>
            </w:r>
          </w:p>
        </w:tc>
        <w:tc>
          <w:tcPr>
            <w:tcW w:w="286" w:type="pct"/>
            <w:shd w:val="clear" w:color="auto" w:fill="auto"/>
          </w:tcPr>
          <w:p w14:paraId="34BE427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3,41%</w:t>
            </w:r>
          </w:p>
        </w:tc>
        <w:tc>
          <w:tcPr>
            <w:tcW w:w="285" w:type="pct"/>
            <w:shd w:val="clear" w:color="auto" w:fill="auto"/>
          </w:tcPr>
          <w:p w14:paraId="02079D4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25:06</w:t>
            </w:r>
          </w:p>
        </w:tc>
        <w:tc>
          <w:tcPr>
            <w:tcW w:w="286" w:type="pct"/>
            <w:shd w:val="clear" w:color="auto" w:fill="auto"/>
          </w:tcPr>
          <w:p w14:paraId="7929776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2,66%</w:t>
            </w:r>
          </w:p>
        </w:tc>
        <w:tc>
          <w:tcPr>
            <w:tcW w:w="316" w:type="pct"/>
            <w:shd w:val="clear" w:color="auto" w:fill="auto"/>
          </w:tcPr>
          <w:p w14:paraId="46D740C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19:</w:t>
            </w:r>
            <w:proofErr w:type="gramEnd"/>
            <w:r>
              <w:rPr>
                <w:rFonts w:ascii="Rockwell" w:eastAsia="Times New Roman" w:hAnsi="Rockwell" w:cs="Calibri"/>
                <w:color w:val="000000"/>
                <w:sz w:val="15"/>
                <w:szCs w:val="15"/>
              </w:rPr>
              <w:t>35:20</w:t>
            </w:r>
          </w:p>
        </w:tc>
        <w:tc>
          <w:tcPr>
            <w:tcW w:w="286" w:type="pct"/>
            <w:shd w:val="clear" w:color="auto" w:fill="auto"/>
          </w:tcPr>
          <w:p w14:paraId="4ADCFB4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7,41%</w:t>
            </w:r>
          </w:p>
        </w:tc>
        <w:tc>
          <w:tcPr>
            <w:tcW w:w="285" w:type="pct"/>
            <w:shd w:val="clear" w:color="auto" w:fill="auto"/>
          </w:tcPr>
          <w:p w14:paraId="1AA04BE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5:</w:t>
            </w:r>
            <w:proofErr w:type="gramEnd"/>
            <w:r>
              <w:rPr>
                <w:rFonts w:ascii="Rockwell" w:eastAsia="Times New Roman" w:hAnsi="Rockwell" w:cs="Calibri"/>
                <w:color w:val="000000"/>
                <w:sz w:val="15"/>
                <w:szCs w:val="15"/>
              </w:rPr>
              <w:t>02:13</w:t>
            </w:r>
          </w:p>
        </w:tc>
        <w:tc>
          <w:tcPr>
            <w:tcW w:w="286" w:type="pct"/>
            <w:shd w:val="clear" w:color="auto" w:fill="auto"/>
          </w:tcPr>
          <w:p w14:paraId="128C9B7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5,28%</w:t>
            </w:r>
          </w:p>
        </w:tc>
      </w:tr>
      <w:tr w:rsidR="00733207" w14:paraId="5F25F018" w14:textId="77777777">
        <w:trPr>
          <w:trHeight w:val="60"/>
        </w:trPr>
        <w:tc>
          <w:tcPr>
            <w:tcW w:w="400" w:type="pct"/>
            <w:shd w:val="clear" w:color="auto" w:fill="auto"/>
          </w:tcPr>
          <w:p w14:paraId="21DCB4FF"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ECONOMIE</w:t>
            </w:r>
          </w:p>
        </w:tc>
        <w:tc>
          <w:tcPr>
            <w:tcW w:w="285" w:type="pct"/>
            <w:shd w:val="clear" w:color="auto" w:fill="auto"/>
          </w:tcPr>
          <w:p w14:paraId="2B18539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14:28</w:t>
            </w:r>
          </w:p>
        </w:tc>
        <w:tc>
          <w:tcPr>
            <w:tcW w:w="286" w:type="pct"/>
            <w:shd w:val="clear" w:color="auto" w:fill="auto"/>
          </w:tcPr>
          <w:p w14:paraId="5F4B56C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10,71%</w:t>
            </w:r>
          </w:p>
        </w:tc>
        <w:tc>
          <w:tcPr>
            <w:tcW w:w="285" w:type="pct"/>
            <w:shd w:val="clear" w:color="auto" w:fill="auto"/>
          </w:tcPr>
          <w:p w14:paraId="684C7CA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12:53</w:t>
            </w:r>
          </w:p>
        </w:tc>
        <w:tc>
          <w:tcPr>
            <w:tcW w:w="286" w:type="pct"/>
            <w:shd w:val="clear" w:color="auto" w:fill="auto"/>
          </w:tcPr>
          <w:p w14:paraId="595748F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9,12%</w:t>
            </w:r>
          </w:p>
        </w:tc>
        <w:tc>
          <w:tcPr>
            <w:tcW w:w="285" w:type="pct"/>
            <w:shd w:val="clear" w:color="auto" w:fill="auto"/>
          </w:tcPr>
          <w:p w14:paraId="04972950"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07:</w:t>
            </w:r>
            <w:proofErr w:type="gramEnd"/>
            <w:r>
              <w:rPr>
                <w:rFonts w:ascii="Rockwell" w:eastAsia="Times New Roman" w:hAnsi="Rockwell" w:cs="Calibri"/>
                <w:color w:val="000000"/>
                <w:sz w:val="15"/>
                <w:szCs w:val="15"/>
              </w:rPr>
              <w:t>31:15</w:t>
            </w:r>
          </w:p>
        </w:tc>
        <w:tc>
          <w:tcPr>
            <w:tcW w:w="286" w:type="pct"/>
            <w:shd w:val="clear" w:color="auto" w:fill="auto"/>
          </w:tcPr>
          <w:p w14:paraId="3618A606"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11,23%</w:t>
            </w:r>
          </w:p>
        </w:tc>
        <w:tc>
          <w:tcPr>
            <w:tcW w:w="285" w:type="pct"/>
            <w:shd w:val="clear" w:color="auto" w:fill="auto"/>
          </w:tcPr>
          <w:p w14:paraId="6AA6045A"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10:56</w:t>
            </w:r>
          </w:p>
        </w:tc>
        <w:tc>
          <w:tcPr>
            <w:tcW w:w="286" w:type="pct"/>
            <w:shd w:val="clear" w:color="auto" w:fill="auto"/>
          </w:tcPr>
          <w:p w14:paraId="7E01D82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9,21%</w:t>
            </w:r>
          </w:p>
        </w:tc>
        <w:tc>
          <w:tcPr>
            <w:tcW w:w="285" w:type="pct"/>
            <w:shd w:val="clear" w:color="auto" w:fill="auto"/>
          </w:tcPr>
          <w:p w14:paraId="27CEE3E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04:</w:t>
            </w:r>
            <w:proofErr w:type="gramEnd"/>
            <w:r>
              <w:rPr>
                <w:rFonts w:ascii="Rockwell" w:eastAsia="Times New Roman" w:hAnsi="Rockwell" w:cs="Calibri"/>
                <w:color w:val="000000"/>
                <w:sz w:val="15"/>
                <w:szCs w:val="15"/>
              </w:rPr>
              <w:t>32:32</w:t>
            </w:r>
          </w:p>
        </w:tc>
        <w:tc>
          <w:tcPr>
            <w:tcW w:w="286" w:type="pct"/>
            <w:shd w:val="clear" w:color="auto" w:fill="auto"/>
          </w:tcPr>
          <w:p w14:paraId="4709FF8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8,96%</w:t>
            </w:r>
          </w:p>
        </w:tc>
        <w:tc>
          <w:tcPr>
            <w:tcW w:w="285" w:type="pct"/>
            <w:shd w:val="clear" w:color="auto" w:fill="auto"/>
          </w:tcPr>
          <w:p w14:paraId="659D3D2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17:13</w:t>
            </w:r>
          </w:p>
        </w:tc>
        <w:tc>
          <w:tcPr>
            <w:tcW w:w="286" w:type="pct"/>
            <w:shd w:val="clear" w:color="auto" w:fill="auto"/>
          </w:tcPr>
          <w:p w14:paraId="5C40E4B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8,18%</w:t>
            </w:r>
          </w:p>
        </w:tc>
        <w:tc>
          <w:tcPr>
            <w:tcW w:w="316" w:type="pct"/>
            <w:shd w:val="clear" w:color="auto" w:fill="auto"/>
          </w:tcPr>
          <w:p w14:paraId="4092A2C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27:</w:t>
            </w:r>
            <w:proofErr w:type="gramEnd"/>
            <w:r>
              <w:rPr>
                <w:rFonts w:ascii="Rockwell" w:eastAsia="Times New Roman" w:hAnsi="Rockwell" w:cs="Calibri"/>
                <w:color w:val="000000"/>
                <w:sz w:val="15"/>
                <w:szCs w:val="15"/>
              </w:rPr>
              <w:t>31:52</w:t>
            </w:r>
          </w:p>
        </w:tc>
        <w:tc>
          <w:tcPr>
            <w:tcW w:w="286" w:type="pct"/>
            <w:shd w:val="clear" w:color="auto" w:fill="auto"/>
          </w:tcPr>
          <w:p w14:paraId="547CBBB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10,42%</w:t>
            </w:r>
          </w:p>
        </w:tc>
        <w:tc>
          <w:tcPr>
            <w:tcW w:w="285" w:type="pct"/>
            <w:shd w:val="clear" w:color="auto" w:fill="auto"/>
          </w:tcPr>
          <w:p w14:paraId="503B01A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8:</w:t>
            </w:r>
            <w:proofErr w:type="gramEnd"/>
            <w:r>
              <w:rPr>
                <w:rFonts w:ascii="Rockwell" w:eastAsia="Times New Roman" w:hAnsi="Rockwell" w:cs="Calibri"/>
                <w:color w:val="000000"/>
                <w:sz w:val="15"/>
                <w:szCs w:val="15"/>
              </w:rPr>
              <w:t>49:52</w:t>
            </w:r>
          </w:p>
        </w:tc>
        <w:tc>
          <w:tcPr>
            <w:tcW w:w="286" w:type="pct"/>
            <w:shd w:val="clear" w:color="auto" w:fill="auto"/>
          </w:tcPr>
          <w:p w14:paraId="02BB1BC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9,26%</w:t>
            </w:r>
          </w:p>
        </w:tc>
      </w:tr>
      <w:tr w:rsidR="00733207" w14:paraId="3134E5FF" w14:textId="77777777">
        <w:trPr>
          <w:trHeight w:val="60"/>
        </w:trPr>
        <w:tc>
          <w:tcPr>
            <w:tcW w:w="400" w:type="pct"/>
            <w:shd w:val="clear" w:color="auto" w:fill="auto"/>
          </w:tcPr>
          <w:p w14:paraId="4D78AF26"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GENRE</w:t>
            </w:r>
          </w:p>
        </w:tc>
        <w:tc>
          <w:tcPr>
            <w:tcW w:w="285" w:type="pct"/>
            <w:shd w:val="clear" w:color="auto" w:fill="auto"/>
          </w:tcPr>
          <w:p w14:paraId="29E41AE6"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286" w:type="pct"/>
            <w:shd w:val="clear" w:color="auto" w:fill="auto"/>
          </w:tcPr>
          <w:p w14:paraId="2EE8B81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285" w:type="pct"/>
            <w:shd w:val="clear" w:color="auto" w:fill="auto"/>
          </w:tcPr>
          <w:p w14:paraId="30EABEE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286" w:type="pct"/>
            <w:shd w:val="clear" w:color="auto" w:fill="auto"/>
          </w:tcPr>
          <w:p w14:paraId="38AA12AF"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285" w:type="pct"/>
            <w:shd w:val="clear" w:color="auto" w:fill="auto"/>
          </w:tcPr>
          <w:p w14:paraId="6F9BA5F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286" w:type="pct"/>
            <w:shd w:val="clear" w:color="auto" w:fill="auto"/>
          </w:tcPr>
          <w:p w14:paraId="413A6E7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285" w:type="pct"/>
            <w:shd w:val="clear" w:color="auto" w:fill="auto"/>
          </w:tcPr>
          <w:p w14:paraId="79AB8EA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286" w:type="pct"/>
            <w:shd w:val="clear" w:color="auto" w:fill="auto"/>
          </w:tcPr>
          <w:p w14:paraId="458BD5C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285" w:type="pct"/>
            <w:shd w:val="clear" w:color="auto" w:fill="auto"/>
          </w:tcPr>
          <w:p w14:paraId="2095607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286" w:type="pct"/>
            <w:shd w:val="clear" w:color="auto" w:fill="auto"/>
          </w:tcPr>
          <w:p w14:paraId="1DA2133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285" w:type="pct"/>
            <w:shd w:val="clear" w:color="auto" w:fill="auto"/>
          </w:tcPr>
          <w:p w14:paraId="6DC7ECF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00:00</w:t>
            </w:r>
          </w:p>
        </w:tc>
        <w:tc>
          <w:tcPr>
            <w:tcW w:w="286" w:type="pct"/>
            <w:shd w:val="clear" w:color="auto" w:fill="auto"/>
          </w:tcPr>
          <w:p w14:paraId="29DB6EB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316" w:type="pct"/>
            <w:shd w:val="clear" w:color="auto" w:fill="auto"/>
          </w:tcPr>
          <w:p w14:paraId="623437C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w:t>
            </w:r>
            <w:proofErr w:type="gramEnd"/>
            <w:r>
              <w:rPr>
                <w:rFonts w:ascii="Rockwell" w:eastAsia="Times New Roman" w:hAnsi="Rockwell" w:cs="Calibri"/>
                <w:color w:val="000000"/>
                <w:sz w:val="15"/>
                <w:szCs w:val="15"/>
              </w:rPr>
              <w:t>00:00</w:t>
            </w:r>
          </w:p>
        </w:tc>
        <w:tc>
          <w:tcPr>
            <w:tcW w:w="286" w:type="pct"/>
            <w:shd w:val="clear" w:color="auto" w:fill="auto"/>
          </w:tcPr>
          <w:p w14:paraId="084CB57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c>
          <w:tcPr>
            <w:tcW w:w="285" w:type="pct"/>
            <w:shd w:val="clear" w:color="auto" w:fill="auto"/>
          </w:tcPr>
          <w:p w14:paraId="01D99C5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w:t>
            </w:r>
            <w:proofErr w:type="gramEnd"/>
            <w:r>
              <w:rPr>
                <w:rFonts w:ascii="Rockwell" w:eastAsia="Times New Roman" w:hAnsi="Rockwell" w:cs="Calibri"/>
                <w:color w:val="000000"/>
                <w:sz w:val="15"/>
                <w:szCs w:val="15"/>
              </w:rPr>
              <w:t>00:00</w:t>
            </w:r>
          </w:p>
        </w:tc>
        <w:tc>
          <w:tcPr>
            <w:tcW w:w="286" w:type="pct"/>
            <w:shd w:val="clear" w:color="auto" w:fill="auto"/>
          </w:tcPr>
          <w:p w14:paraId="144EE1B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0,00%</w:t>
            </w:r>
          </w:p>
        </w:tc>
      </w:tr>
      <w:tr w:rsidR="00733207" w14:paraId="78645364" w14:textId="77777777">
        <w:trPr>
          <w:trHeight w:val="60"/>
        </w:trPr>
        <w:tc>
          <w:tcPr>
            <w:tcW w:w="400" w:type="pct"/>
            <w:shd w:val="clear" w:color="auto" w:fill="auto"/>
          </w:tcPr>
          <w:p w14:paraId="556835F0"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POLITIQUE</w:t>
            </w:r>
          </w:p>
        </w:tc>
        <w:tc>
          <w:tcPr>
            <w:tcW w:w="285" w:type="pct"/>
            <w:shd w:val="clear" w:color="auto" w:fill="auto"/>
          </w:tcPr>
          <w:p w14:paraId="19EA0AE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07:</w:t>
            </w:r>
            <w:proofErr w:type="gramEnd"/>
            <w:r>
              <w:rPr>
                <w:rFonts w:ascii="Rockwell" w:eastAsia="Times New Roman" w:hAnsi="Rockwell" w:cs="Calibri"/>
                <w:color w:val="000000"/>
                <w:sz w:val="15"/>
                <w:szCs w:val="15"/>
              </w:rPr>
              <w:t>36:36</w:t>
            </w:r>
          </w:p>
        </w:tc>
        <w:tc>
          <w:tcPr>
            <w:tcW w:w="286" w:type="pct"/>
            <w:shd w:val="clear" w:color="auto" w:fill="auto"/>
          </w:tcPr>
          <w:p w14:paraId="42B1548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25,15%</w:t>
            </w:r>
          </w:p>
        </w:tc>
        <w:tc>
          <w:tcPr>
            <w:tcW w:w="285" w:type="pct"/>
            <w:shd w:val="clear" w:color="auto" w:fill="auto"/>
          </w:tcPr>
          <w:p w14:paraId="280393C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44:30</w:t>
            </w:r>
          </w:p>
        </w:tc>
        <w:tc>
          <w:tcPr>
            <w:tcW w:w="286" w:type="pct"/>
            <w:shd w:val="clear" w:color="auto" w:fill="auto"/>
          </w:tcPr>
          <w:p w14:paraId="2C484A7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28,10%</w:t>
            </w:r>
          </w:p>
        </w:tc>
        <w:tc>
          <w:tcPr>
            <w:tcW w:w="285" w:type="pct"/>
            <w:shd w:val="clear" w:color="auto" w:fill="auto"/>
          </w:tcPr>
          <w:p w14:paraId="6C5DEB5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24:</w:t>
            </w:r>
            <w:proofErr w:type="gramEnd"/>
            <w:r>
              <w:rPr>
                <w:rFonts w:ascii="Rockwell" w:eastAsia="Times New Roman" w:hAnsi="Rockwell" w:cs="Calibri"/>
                <w:color w:val="000000"/>
                <w:sz w:val="15"/>
                <w:szCs w:val="15"/>
              </w:rPr>
              <w:t>03:18</w:t>
            </w:r>
          </w:p>
        </w:tc>
        <w:tc>
          <w:tcPr>
            <w:tcW w:w="286" w:type="pct"/>
            <w:shd w:val="clear" w:color="auto" w:fill="auto"/>
          </w:tcPr>
          <w:p w14:paraId="6A1AF55F"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35,92%</w:t>
            </w:r>
          </w:p>
        </w:tc>
        <w:tc>
          <w:tcPr>
            <w:tcW w:w="285" w:type="pct"/>
            <w:shd w:val="clear" w:color="auto" w:fill="auto"/>
          </w:tcPr>
          <w:p w14:paraId="27442C5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10:</w:t>
            </w:r>
            <w:proofErr w:type="gramEnd"/>
            <w:r>
              <w:rPr>
                <w:rFonts w:ascii="Rockwell" w:eastAsia="Times New Roman" w:hAnsi="Rockwell" w:cs="Calibri"/>
                <w:color w:val="000000"/>
                <w:sz w:val="15"/>
                <w:szCs w:val="15"/>
              </w:rPr>
              <w:t>11:08</w:t>
            </w:r>
          </w:p>
        </w:tc>
        <w:tc>
          <w:tcPr>
            <w:tcW w:w="286" w:type="pct"/>
            <w:shd w:val="clear" w:color="auto" w:fill="auto"/>
          </w:tcPr>
          <w:p w14:paraId="7D65852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42,98%</w:t>
            </w:r>
          </w:p>
        </w:tc>
        <w:tc>
          <w:tcPr>
            <w:tcW w:w="285" w:type="pct"/>
            <w:shd w:val="clear" w:color="auto" w:fill="auto"/>
          </w:tcPr>
          <w:p w14:paraId="3AB225E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18:</w:t>
            </w:r>
            <w:proofErr w:type="gramEnd"/>
            <w:r>
              <w:rPr>
                <w:rFonts w:ascii="Rockwell" w:eastAsia="Times New Roman" w:hAnsi="Rockwell" w:cs="Calibri"/>
                <w:color w:val="000000"/>
                <w:sz w:val="15"/>
                <w:szCs w:val="15"/>
              </w:rPr>
              <w:t>54:12</w:t>
            </w:r>
          </w:p>
        </w:tc>
        <w:tc>
          <w:tcPr>
            <w:tcW w:w="286" w:type="pct"/>
            <w:shd w:val="clear" w:color="auto" w:fill="auto"/>
          </w:tcPr>
          <w:p w14:paraId="5F65B93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37,30%</w:t>
            </w:r>
          </w:p>
        </w:tc>
        <w:tc>
          <w:tcPr>
            <w:tcW w:w="285" w:type="pct"/>
            <w:shd w:val="clear" w:color="auto" w:fill="auto"/>
          </w:tcPr>
          <w:p w14:paraId="5C7F045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06:</w:t>
            </w:r>
            <w:proofErr w:type="gramEnd"/>
            <w:r>
              <w:rPr>
                <w:rFonts w:ascii="Rockwell" w:eastAsia="Times New Roman" w:hAnsi="Rockwell" w:cs="Calibri"/>
                <w:color w:val="000000"/>
                <w:sz w:val="15"/>
                <w:szCs w:val="15"/>
              </w:rPr>
              <w:t>18:16</w:t>
            </w:r>
          </w:p>
        </w:tc>
        <w:tc>
          <w:tcPr>
            <w:tcW w:w="286" w:type="pct"/>
            <w:shd w:val="clear" w:color="auto" w:fill="auto"/>
          </w:tcPr>
          <w:p w14:paraId="0FD74306"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40,07%</w:t>
            </w:r>
          </w:p>
        </w:tc>
        <w:tc>
          <w:tcPr>
            <w:tcW w:w="316" w:type="pct"/>
            <w:shd w:val="clear" w:color="auto" w:fill="auto"/>
          </w:tcPr>
          <w:p w14:paraId="5032EB7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75:</w:t>
            </w:r>
            <w:proofErr w:type="gramEnd"/>
            <w:r>
              <w:rPr>
                <w:rFonts w:ascii="Rockwell" w:eastAsia="Times New Roman" w:hAnsi="Rockwell" w:cs="Calibri"/>
                <w:color w:val="000000"/>
                <w:sz w:val="15"/>
                <w:szCs w:val="15"/>
              </w:rPr>
              <w:t>40:02</w:t>
            </w:r>
          </w:p>
        </w:tc>
        <w:tc>
          <w:tcPr>
            <w:tcW w:w="286" w:type="pct"/>
            <w:shd w:val="clear" w:color="auto" w:fill="auto"/>
          </w:tcPr>
          <w:p w14:paraId="4C80D7A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28,64%</w:t>
            </w:r>
          </w:p>
        </w:tc>
        <w:tc>
          <w:tcPr>
            <w:tcW w:w="285" w:type="pct"/>
            <w:shd w:val="clear" w:color="auto" w:fill="auto"/>
          </w:tcPr>
          <w:p w14:paraId="05DCFE5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31:</w:t>
            </w:r>
            <w:proofErr w:type="gramEnd"/>
            <w:r>
              <w:rPr>
                <w:rFonts w:ascii="Rockwell" w:eastAsia="Times New Roman" w:hAnsi="Rockwell" w:cs="Calibri"/>
                <w:color w:val="000000"/>
                <w:sz w:val="15"/>
                <w:szCs w:val="15"/>
              </w:rPr>
              <w:t>44:56</w:t>
            </w:r>
          </w:p>
        </w:tc>
        <w:tc>
          <w:tcPr>
            <w:tcW w:w="286" w:type="pct"/>
            <w:shd w:val="clear" w:color="auto" w:fill="auto"/>
          </w:tcPr>
          <w:p w14:paraId="0A1590E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33,29%</w:t>
            </w:r>
          </w:p>
        </w:tc>
      </w:tr>
      <w:tr w:rsidR="00733207" w14:paraId="070BD77A" w14:textId="77777777">
        <w:trPr>
          <w:trHeight w:val="60"/>
        </w:trPr>
        <w:tc>
          <w:tcPr>
            <w:tcW w:w="400" w:type="pct"/>
            <w:shd w:val="clear" w:color="auto" w:fill="auto"/>
          </w:tcPr>
          <w:p w14:paraId="3BE017FE"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RELIGION</w:t>
            </w:r>
          </w:p>
        </w:tc>
        <w:tc>
          <w:tcPr>
            <w:tcW w:w="285" w:type="pct"/>
            <w:shd w:val="clear" w:color="auto" w:fill="auto"/>
          </w:tcPr>
          <w:p w14:paraId="1F053E1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24:00</w:t>
            </w:r>
          </w:p>
        </w:tc>
        <w:tc>
          <w:tcPr>
            <w:tcW w:w="286" w:type="pct"/>
            <w:shd w:val="clear" w:color="auto" w:fill="auto"/>
          </w:tcPr>
          <w:p w14:paraId="272B075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1,32%</w:t>
            </w:r>
          </w:p>
        </w:tc>
        <w:tc>
          <w:tcPr>
            <w:tcW w:w="285" w:type="pct"/>
            <w:shd w:val="clear" w:color="auto" w:fill="auto"/>
          </w:tcPr>
          <w:p w14:paraId="38C657EC"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07:29</w:t>
            </w:r>
          </w:p>
        </w:tc>
        <w:tc>
          <w:tcPr>
            <w:tcW w:w="286" w:type="pct"/>
            <w:shd w:val="clear" w:color="auto" w:fill="auto"/>
          </w:tcPr>
          <w:p w14:paraId="2C27CA1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0,94%</w:t>
            </w:r>
          </w:p>
        </w:tc>
        <w:tc>
          <w:tcPr>
            <w:tcW w:w="285" w:type="pct"/>
            <w:shd w:val="clear" w:color="auto" w:fill="auto"/>
          </w:tcPr>
          <w:p w14:paraId="0D8151B1"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17:41</w:t>
            </w:r>
          </w:p>
        </w:tc>
        <w:tc>
          <w:tcPr>
            <w:tcW w:w="286" w:type="pct"/>
            <w:shd w:val="clear" w:color="auto" w:fill="auto"/>
          </w:tcPr>
          <w:p w14:paraId="3527ABA6"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1,93%</w:t>
            </w:r>
          </w:p>
        </w:tc>
        <w:tc>
          <w:tcPr>
            <w:tcW w:w="285" w:type="pct"/>
            <w:shd w:val="clear" w:color="auto" w:fill="auto"/>
          </w:tcPr>
          <w:p w14:paraId="4DF0C98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13:43</w:t>
            </w:r>
          </w:p>
        </w:tc>
        <w:tc>
          <w:tcPr>
            <w:tcW w:w="286" w:type="pct"/>
            <w:shd w:val="clear" w:color="auto" w:fill="auto"/>
          </w:tcPr>
          <w:p w14:paraId="29714D0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0,96%</w:t>
            </w:r>
          </w:p>
        </w:tc>
        <w:tc>
          <w:tcPr>
            <w:tcW w:w="285" w:type="pct"/>
            <w:shd w:val="clear" w:color="auto" w:fill="auto"/>
          </w:tcPr>
          <w:p w14:paraId="7AA452AA"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51:44</w:t>
            </w:r>
          </w:p>
        </w:tc>
        <w:tc>
          <w:tcPr>
            <w:tcW w:w="286" w:type="pct"/>
            <w:shd w:val="clear" w:color="auto" w:fill="auto"/>
          </w:tcPr>
          <w:p w14:paraId="0D04372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3,67%</w:t>
            </w:r>
          </w:p>
        </w:tc>
        <w:tc>
          <w:tcPr>
            <w:tcW w:w="285" w:type="pct"/>
            <w:shd w:val="clear" w:color="auto" w:fill="auto"/>
          </w:tcPr>
          <w:p w14:paraId="75C47C2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00:</w:t>
            </w:r>
            <w:proofErr w:type="gramEnd"/>
            <w:r>
              <w:rPr>
                <w:rFonts w:ascii="Rockwell" w:eastAsia="Times New Roman" w:hAnsi="Rockwell" w:cs="Calibri"/>
                <w:color w:val="000000"/>
                <w:sz w:val="15"/>
                <w:szCs w:val="15"/>
              </w:rPr>
              <w:t>22:22</w:t>
            </w:r>
          </w:p>
        </w:tc>
        <w:tc>
          <w:tcPr>
            <w:tcW w:w="286" w:type="pct"/>
            <w:shd w:val="clear" w:color="auto" w:fill="auto"/>
          </w:tcPr>
          <w:p w14:paraId="0DDBCBB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2,37%</w:t>
            </w:r>
          </w:p>
        </w:tc>
        <w:tc>
          <w:tcPr>
            <w:tcW w:w="316" w:type="pct"/>
            <w:shd w:val="clear" w:color="auto" w:fill="auto"/>
          </w:tcPr>
          <w:p w14:paraId="44232CE2"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8:</w:t>
            </w:r>
            <w:proofErr w:type="gramEnd"/>
            <w:r>
              <w:rPr>
                <w:rFonts w:ascii="Rockwell" w:eastAsia="Times New Roman" w:hAnsi="Rockwell" w:cs="Calibri"/>
                <w:color w:val="000000"/>
                <w:sz w:val="15"/>
                <w:szCs w:val="15"/>
              </w:rPr>
              <w:t>06:03</w:t>
            </w:r>
          </w:p>
        </w:tc>
        <w:tc>
          <w:tcPr>
            <w:tcW w:w="286" w:type="pct"/>
            <w:shd w:val="clear" w:color="auto" w:fill="auto"/>
          </w:tcPr>
          <w:p w14:paraId="147DA82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3,07%</w:t>
            </w:r>
          </w:p>
        </w:tc>
        <w:tc>
          <w:tcPr>
            <w:tcW w:w="285" w:type="pct"/>
            <w:shd w:val="clear" w:color="auto" w:fill="auto"/>
          </w:tcPr>
          <w:p w14:paraId="33A9AA8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w:t>
            </w:r>
            <w:proofErr w:type="gramEnd"/>
            <w:r>
              <w:rPr>
                <w:rFonts w:ascii="Rockwell" w:eastAsia="Times New Roman" w:hAnsi="Rockwell" w:cs="Calibri"/>
                <w:color w:val="000000"/>
                <w:sz w:val="15"/>
                <w:szCs w:val="15"/>
              </w:rPr>
              <w:t>47:56</w:t>
            </w:r>
          </w:p>
        </w:tc>
        <w:tc>
          <w:tcPr>
            <w:tcW w:w="286" w:type="pct"/>
            <w:shd w:val="clear" w:color="auto" w:fill="auto"/>
          </w:tcPr>
          <w:p w14:paraId="0EFFD14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1,89%</w:t>
            </w:r>
          </w:p>
        </w:tc>
      </w:tr>
      <w:tr w:rsidR="00733207" w14:paraId="1A8C1C2A" w14:textId="77777777">
        <w:trPr>
          <w:trHeight w:val="60"/>
        </w:trPr>
        <w:tc>
          <w:tcPr>
            <w:tcW w:w="400" w:type="pct"/>
            <w:shd w:val="clear" w:color="auto" w:fill="auto"/>
          </w:tcPr>
          <w:p w14:paraId="6C561884"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SANTE</w:t>
            </w:r>
          </w:p>
        </w:tc>
        <w:tc>
          <w:tcPr>
            <w:tcW w:w="285" w:type="pct"/>
            <w:shd w:val="clear" w:color="auto" w:fill="auto"/>
          </w:tcPr>
          <w:p w14:paraId="3DF77EC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44:01</w:t>
            </w:r>
          </w:p>
        </w:tc>
        <w:tc>
          <w:tcPr>
            <w:tcW w:w="286" w:type="pct"/>
            <w:shd w:val="clear" w:color="auto" w:fill="auto"/>
          </w:tcPr>
          <w:p w14:paraId="5AC8929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9,04%</w:t>
            </w:r>
          </w:p>
        </w:tc>
        <w:tc>
          <w:tcPr>
            <w:tcW w:w="285" w:type="pct"/>
            <w:shd w:val="clear" w:color="auto" w:fill="auto"/>
          </w:tcPr>
          <w:p w14:paraId="5BAD221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11:10</w:t>
            </w:r>
          </w:p>
        </w:tc>
        <w:tc>
          <w:tcPr>
            <w:tcW w:w="286" w:type="pct"/>
            <w:shd w:val="clear" w:color="auto" w:fill="auto"/>
          </w:tcPr>
          <w:p w14:paraId="1C02C2A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8,91%</w:t>
            </w:r>
          </w:p>
        </w:tc>
        <w:tc>
          <w:tcPr>
            <w:tcW w:w="285" w:type="pct"/>
            <w:shd w:val="clear" w:color="auto" w:fill="auto"/>
          </w:tcPr>
          <w:p w14:paraId="30F132E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07:</w:t>
            </w:r>
            <w:proofErr w:type="gramEnd"/>
            <w:r>
              <w:rPr>
                <w:rFonts w:ascii="Rockwell" w:eastAsia="Times New Roman" w:hAnsi="Rockwell" w:cs="Calibri"/>
                <w:color w:val="000000"/>
                <w:sz w:val="15"/>
                <w:szCs w:val="15"/>
              </w:rPr>
              <w:t>06:20</w:t>
            </w:r>
          </w:p>
        </w:tc>
        <w:tc>
          <w:tcPr>
            <w:tcW w:w="286" w:type="pct"/>
            <w:shd w:val="clear" w:color="auto" w:fill="auto"/>
          </w:tcPr>
          <w:p w14:paraId="303B1D1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10,61%</w:t>
            </w:r>
          </w:p>
        </w:tc>
        <w:tc>
          <w:tcPr>
            <w:tcW w:w="285" w:type="pct"/>
            <w:shd w:val="clear" w:color="auto" w:fill="auto"/>
          </w:tcPr>
          <w:p w14:paraId="66D7CC47"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31:43</w:t>
            </w:r>
          </w:p>
        </w:tc>
        <w:tc>
          <w:tcPr>
            <w:tcW w:w="286" w:type="pct"/>
            <w:shd w:val="clear" w:color="auto" w:fill="auto"/>
          </w:tcPr>
          <w:p w14:paraId="7FC4A03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10,67%</w:t>
            </w:r>
          </w:p>
        </w:tc>
        <w:tc>
          <w:tcPr>
            <w:tcW w:w="285" w:type="pct"/>
            <w:shd w:val="clear" w:color="auto" w:fill="auto"/>
          </w:tcPr>
          <w:p w14:paraId="3543A22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05:</w:t>
            </w:r>
            <w:proofErr w:type="gramEnd"/>
            <w:r>
              <w:rPr>
                <w:rFonts w:ascii="Rockwell" w:eastAsia="Times New Roman" w:hAnsi="Rockwell" w:cs="Calibri"/>
                <w:color w:val="000000"/>
                <w:sz w:val="15"/>
                <w:szCs w:val="15"/>
              </w:rPr>
              <w:t>57:18</w:t>
            </w:r>
          </w:p>
        </w:tc>
        <w:tc>
          <w:tcPr>
            <w:tcW w:w="286" w:type="pct"/>
            <w:shd w:val="clear" w:color="auto" w:fill="auto"/>
          </w:tcPr>
          <w:p w14:paraId="7EB02D98"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11,75%</w:t>
            </w:r>
          </w:p>
        </w:tc>
        <w:tc>
          <w:tcPr>
            <w:tcW w:w="285" w:type="pct"/>
            <w:shd w:val="clear" w:color="auto" w:fill="auto"/>
          </w:tcPr>
          <w:p w14:paraId="47D21D5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44:14</w:t>
            </w:r>
          </w:p>
        </w:tc>
        <w:tc>
          <w:tcPr>
            <w:tcW w:w="286" w:type="pct"/>
            <w:shd w:val="clear" w:color="auto" w:fill="auto"/>
          </w:tcPr>
          <w:p w14:paraId="62BCC65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11,04%</w:t>
            </w:r>
          </w:p>
        </w:tc>
        <w:tc>
          <w:tcPr>
            <w:tcW w:w="316" w:type="pct"/>
            <w:shd w:val="clear" w:color="auto" w:fill="auto"/>
          </w:tcPr>
          <w:p w14:paraId="7F1287E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30:</w:t>
            </w:r>
            <w:proofErr w:type="gramEnd"/>
            <w:r>
              <w:rPr>
                <w:rFonts w:ascii="Rockwell" w:eastAsia="Times New Roman" w:hAnsi="Rockwell" w:cs="Calibri"/>
                <w:color w:val="000000"/>
                <w:sz w:val="15"/>
                <w:szCs w:val="15"/>
              </w:rPr>
              <w:t>58:12</w:t>
            </w:r>
          </w:p>
        </w:tc>
        <w:tc>
          <w:tcPr>
            <w:tcW w:w="286" w:type="pct"/>
            <w:shd w:val="clear" w:color="auto" w:fill="auto"/>
          </w:tcPr>
          <w:p w14:paraId="04F4392E"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11,72%</w:t>
            </w:r>
          </w:p>
        </w:tc>
        <w:tc>
          <w:tcPr>
            <w:tcW w:w="285" w:type="pct"/>
            <w:shd w:val="clear" w:color="auto" w:fill="auto"/>
          </w:tcPr>
          <w:p w14:paraId="28425D3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10:</w:t>
            </w:r>
            <w:proofErr w:type="gramEnd"/>
            <w:r>
              <w:rPr>
                <w:rFonts w:ascii="Rockwell" w:eastAsia="Times New Roman" w:hAnsi="Rockwell" w:cs="Calibri"/>
                <w:color w:val="000000"/>
                <w:sz w:val="15"/>
                <w:szCs w:val="15"/>
              </w:rPr>
              <w:t>25:14</w:t>
            </w:r>
          </w:p>
        </w:tc>
        <w:tc>
          <w:tcPr>
            <w:tcW w:w="286" w:type="pct"/>
            <w:shd w:val="clear" w:color="auto" w:fill="auto"/>
          </w:tcPr>
          <w:p w14:paraId="14FF2070"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10,92%</w:t>
            </w:r>
          </w:p>
        </w:tc>
      </w:tr>
      <w:tr w:rsidR="00733207" w14:paraId="060D763D" w14:textId="77777777">
        <w:trPr>
          <w:trHeight w:val="60"/>
        </w:trPr>
        <w:tc>
          <w:tcPr>
            <w:tcW w:w="400" w:type="pct"/>
            <w:shd w:val="clear" w:color="auto" w:fill="auto"/>
          </w:tcPr>
          <w:p w14:paraId="0C2148EF"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SECURITE</w:t>
            </w:r>
          </w:p>
        </w:tc>
        <w:tc>
          <w:tcPr>
            <w:tcW w:w="285" w:type="pct"/>
            <w:shd w:val="clear" w:color="auto" w:fill="auto"/>
          </w:tcPr>
          <w:p w14:paraId="73F7ABD9"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58:40</w:t>
            </w:r>
          </w:p>
        </w:tc>
        <w:tc>
          <w:tcPr>
            <w:tcW w:w="286" w:type="pct"/>
            <w:shd w:val="clear" w:color="auto" w:fill="auto"/>
          </w:tcPr>
          <w:p w14:paraId="7F88986B"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9,84%</w:t>
            </w:r>
          </w:p>
        </w:tc>
        <w:tc>
          <w:tcPr>
            <w:tcW w:w="285" w:type="pct"/>
            <w:shd w:val="clear" w:color="auto" w:fill="auto"/>
          </w:tcPr>
          <w:p w14:paraId="364C32F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20:16</w:t>
            </w:r>
          </w:p>
        </w:tc>
        <w:tc>
          <w:tcPr>
            <w:tcW w:w="286" w:type="pct"/>
            <w:shd w:val="clear" w:color="auto" w:fill="auto"/>
          </w:tcPr>
          <w:p w14:paraId="244CDFF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10,05%</w:t>
            </w:r>
          </w:p>
        </w:tc>
        <w:tc>
          <w:tcPr>
            <w:tcW w:w="285" w:type="pct"/>
            <w:shd w:val="clear" w:color="auto" w:fill="auto"/>
          </w:tcPr>
          <w:p w14:paraId="3438C838"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08:</w:t>
            </w:r>
            <w:proofErr w:type="gramEnd"/>
            <w:r>
              <w:rPr>
                <w:rFonts w:ascii="Rockwell" w:eastAsia="Times New Roman" w:hAnsi="Rockwell" w:cs="Calibri"/>
                <w:color w:val="000000"/>
                <w:sz w:val="15"/>
                <w:szCs w:val="15"/>
              </w:rPr>
              <w:t>03:40</w:t>
            </w:r>
          </w:p>
        </w:tc>
        <w:tc>
          <w:tcPr>
            <w:tcW w:w="286" w:type="pct"/>
            <w:shd w:val="clear" w:color="auto" w:fill="auto"/>
          </w:tcPr>
          <w:p w14:paraId="0165DCBF"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12,04%</w:t>
            </w:r>
          </w:p>
        </w:tc>
        <w:tc>
          <w:tcPr>
            <w:tcW w:w="285" w:type="pct"/>
            <w:shd w:val="clear" w:color="auto" w:fill="auto"/>
          </w:tcPr>
          <w:p w14:paraId="3BD23B0B"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02:</w:t>
            </w:r>
            <w:proofErr w:type="gramEnd"/>
            <w:r>
              <w:rPr>
                <w:rFonts w:ascii="Rockwell" w:eastAsia="Times New Roman" w:hAnsi="Rockwell" w:cs="Calibri"/>
                <w:color w:val="000000"/>
                <w:sz w:val="15"/>
                <w:szCs w:val="15"/>
              </w:rPr>
              <w:t>30:11</w:t>
            </w:r>
          </w:p>
        </w:tc>
        <w:tc>
          <w:tcPr>
            <w:tcW w:w="286" w:type="pct"/>
            <w:shd w:val="clear" w:color="auto" w:fill="auto"/>
          </w:tcPr>
          <w:p w14:paraId="0B2FDC8F"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10,56%</w:t>
            </w:r>
          </w:p>
        </w:tc>
        <w:tc>
          <w:tcPr>
            <w:tcW w:w="285" w:type="pct"/>
            <w:shd w:val="clear" w:color="auto" w:fill="auto"/>
          </w:tcPr>
          <w:p w14:paraId="462D046F"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03:</w:t>
            </w:r>
            <w:proofErr w:type="gramEnd"/>
            <w:r>
              <w:rPr>
                <w:rFonts w:ascii="Rockwell" w:eastAsia="Times New Roman" w:hAnsi="Rockwell" w:cs="Calibri"/>
                <w:color w:val="000000"/>
                <w:sz w:val="15"/>
                <w:szCs w:val="15"/>
              </w:rPr>
              <w:t>58:08</w:t>
            </w:r>
          </w:p>
        </w:tc>
        <w:tc>
          <w:tcPr>
            <w:tcW w:w="286" w:type="pct"/>
            <w:shd w:val="clear" w:color="auto" w:fill="auto"/>
          </w:tcPr>
          <w:p w14:paraId="480FEFCA"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7,83%</w:t>
            </w:r>
          </w:p>
        </w:tc>
        <w:tc>
          <w:tcPr>
            <w:tcW w:w="285" w:type="pct"/>
            <w:shd w:val="clear" w:color="auto" w:fill="auto"/>
          </w:tcPr>
          <w:p w14:paraId="266EED94"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01:</w:t>
            </w:r>
            <w:proofErr w:type="gramEnd"/>
            <w:r>
              <w:rPr>
                <w:rFonts w:ascii="Rockwell" w:eastAsia="Times New Roman" w:hAnsi="Rockwell" w:cs="Calibri"/>
                <w:color w:val="000000"/>
                <w:sz w:val="15"/>
                <w:szCs w:val="15"/>
              </w:rPr>
              <w:t>12:27</w:t>
            </w:r>
          </w:p>
        </w:tc>
        <w:tc>
          <w:tcPr>
            <w:tcW w:w="286" w:type="pct"/>
            <w:shd w:val="clear" w:color="auto" w:fill="auto"/>
          </w:tcPr>
          <w:p w14:paraId="089D0E67"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7,68%</w:t>
            </w:r>
          </w:p>
        </w:tc>
        <w:tc>
          <w:tcPr>
            <w:tcW w:w="316" w:type="pct"/>
            <w:shd w:val="clear" w:color="auto" w:fill="auto"/>
          </w:tcPr>
          <w:p w14:paraId="0C3E2B69"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color w:val="000000"/>
                <w:sz w:val="15"/>
                <w:szCs w:val="15"/>
              </w:rPr>
              <w:t>27:</w:t>
            </w:r>
            <w:proofErr w:type="gramEnd"/>
            <w:r>
              <w:rPr>
                <w:rFonts w:ascii="Rockwell" w:eastAsia="Times New Roman" w:hAnsi="Rockwell" w:cs="Calibri"/>
                <w:color w:val="000000"/>
                <w:sz w:val="15"/>
                <w:szCs w:val="15"/>
              </w:rPr>
              <w:t>43:58</w:t>
            </w:r>
          </w:p>
        </w:tc>
        <w:tc>
          <w:tcPr>
            <w:tcW w:w="286" w:type="pct"/>
            <w:shd w:val="clear" w:color="auto" w:fill="auto"/>
          </w:tcPr>
          <w:p w14:paraId="48141224"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color w:val="000000"/>
                <w:sz w:val="15"/>
                <w:szCs w:val="15"/>
              </w:rPr>
              <w:t>10,50%</w:t>
            </w:r>
          </w:p>
        </w:tc>
        <w:tc>
          <w:tcPr>
            <w:tcW w:w="285" w:type="pct"/>
            <w:shd w:val="clear" w:color="auto" w:fill="auto"/>
          </w:tcPr>
          <w:p w14:paraId="4508D55B"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color w:val="000000"/>
                <w:sz w:val="15"/>
                <w:szCs w:val="15"/>
              </w:rPr>
              <w:t>10:</w:t>
            </w:r>
            <w:proofErr w:type="gramEnd"/>
            <w:r>
              <w:rPr>
                <w:rFonts w:ascii="Rockwell" w:eastAsia="Times New Roman" w:hAnsi="Rockwell" w:cs="Calibri"/>
                <w:color w:val="000000"/>
                <w:sz w:val="15"/>
                <w:szCs w:val="15"/>
              </w:rPr>
              <w:t>05:12</w:t>
            </w:r>
          </w:p>
        </w:tc>
        <w:tc>
          <w:tcPr>
            <w:tcW w:w="286" w:type="pct"/>
            <w:shd w:val="clear" w:color="auto" w:fill="auto"/>
          </w:tcPr>
          <w:p w14:paraId="7EEDDB92"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color w:val="000000"/>
                <w:sz w:val="15"/>
                <w:szCs w:val="15"/>
              </w:rPr>
              <w:t>10,57%</w:t>
            </w:r>
          </w:p>
        </w:tc>
      </w:tr>
      <w:tr w:rsidR="00733207" w14:paraId="42877873" w14:textId="77777777">
        <w:trPr>
          <w:trHeight w:val="60"/>
        </w:trPr>
        <w:tc>
          <w:tcPr>
            <w:tcW w:w="400" w:type="pct"/>
            <w:shd w:val="clear" w:color="auto" w:fill="auto"/>
          </w:tcPr>
          <w:p w14:paraId="4D7DC1EC"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SOCIETE</w:t>
            </w:r>
          </w:p>
        </w:tc>
        <w:tc>
          <w:tcPr>
            <w:tcW w:w="285" w:type="pct"/>
            <w:shd w:val="clear" w:color="auto" w:fill="auto"/>
          </w:tcPr>
          <w:p w14:paraId="6C856AAD"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11:</w:t>
            </w:r>
            <w:proofErr w:type="gramEnd"/>
            <w:r>
              <w:rPr>
                <w:rFonts w:ascii="Rockwell" w:eastAsia="Times New Roman" w:hAnsi="Rockwell" w:cs="Calibri"/>
                <w:color w:val="000000"/>
                <w:sz w:val="15"/>
                <w:szCs w:val="15"/>
              </w:rPr>
              <w:t>53:29</w:t>
            </w:r>
          </w:p>
        </w:tc>
        <w:tc>
          <w:tcPr>
            <w:tcW w:w="286" w:type="pct"/>
            <w:shd w:val="clear" w:color="auto" w:fill="auto"/>
          </w:tcPr>
          <w:p w14:paraId="555A56EC"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39,31%</w:t>
            </w:r>
          </w:p>
        </w:tc>
        <w:tc>
          <w:tcPr>
            <w:tcW w:w="285" w:type="pct"/>
            <w:shd w:val="clear" w:color="auto" w:fill="auto"/>
          </w:tcPr>
          <w:p w14:paraId="05C5811E"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05:</w:t>
            </w:r>
            <w:proofErr w:type="gramEnd"/>
            <w:r>
              <w:rPr>
                <w:rFonts w:ascii="Rockwell" w:eastAsia="Times New Roman" w:hAnsi="Rockwell" w:cs="Calibri"/>
                <w:color w:val="000000"/>
                <w:sz w:val="15"/>
                <w:szCs w:val="15"/>
              </w:rPr>
              <w:t>11:11</w:t>
            </w:r>
          </w:p>
        </w:tc>
        <w:tc>
          <w:tcPr>
            <w:tcW w:w="286" w:type="pct"/>
            <w:shd w:val="clear" w:color="auto" w:fill="auto"/>
          </w:tcPr>
          <w:p w14:paraId="04F70629"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38,95%</w:t>
            </w:r>
          </w:p>
        </w:tc>
        <w:tc>
          <w:tcPr>
            <w:tcW w:w="285" w:type="pct"/>
            <w:shd w:val="clear" w:color="auto" w:fill="auto"/>
          </w:tcPr>
          <w:p w14:paraId="13B41775"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15:</w:t>
            </w:r>
            <w:proofErr w:type="gramEnd"/>
            <w:r>
              <w:rPr>
                <w:rFonts w:ascii="Rockwell" w:eastAsia="Times New Roman" w:hAnsi="Rockwell" w:cs="Calibri"/>
                <w:color w:val="000000"/>
                <w:sz w:val="15"/>
                <w:szCs w:val="15"/>
              </w:rPr>
              <w:t>08:56</w:t>
            </w:r>
          </w:p>
        </w:tc>
        <w:tc>
          <w:tcPr>
            <w:tcW w:w="286" w:type="pct"/>
            <w:shd w:val="clear" w:color="auto" w:fill="auto"/>
          </w:tcPr>
          <w:p w14:paraId="7EF49EB2"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22,62%</w:t>
            </w:r>
          </w:p>
        </w:tc>
        <w:tc>
          <w:tcPr>
            <w:tcW w:w="285" w:type="pct"/>
            <w:shd w:val="clear" w:color="auto" w:fill="auto"/>
          </w:tcPr>
          <w:p w14:paraId="0978FF8A"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05:</w:t>
            </w:r>
            <w:proofErr w:type="gramEnd"/>
            <w:r>
              <w:rPr>
                <w:rFonts w:ascii="Rockwell" w:eastAsia="Times New Roman" w:hAnsi="Rockwell" w:cs="Calibri"/>
                <w:color w:val="000000"/>
                <w:sz w:val="15"/>
                <w:szCs w:val="15"/>
              </w:rPr>
              <w:t>02:37</w:t>
            </w:r>
          </w:p>
        </w:tc>
        <w:tc>
          <w:tcPr>
            <w:tcW w:w="286" w:type="pct"/>
            <w:shd w:val="clear" w:color="auto" w:fill="auto"/>
          </w:tcPr>
          <w:p w14:paraId="01F001C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21,28%</w:t>
            </w:r>
          </w:p>
        </w:tc>
        <w:tc>
          <w:tcPr>
            <w:tcW w:w="285" w:type="pct"/>
            <w:shd w:val="clear" w:color="auto" w:fill="auto"/>
          </w:tcPr>
          <w:p w14:paraId="6F806B41"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13:</w:t>
            </w:r>
            <w:proofErr w:type="gramEnd"/>
            <w:r>
              <w:rPr>
                <w:rFonts w:ascii="Rockwell" w:eastAsia="Times New Roman" w:hAnsi="Rockwell" w:cs="Calibri"/>
                <w:color w:val="000000"/>
                <w:sz w:val="15"/>
                <w:szCs w:val="15"/>
              </w:rPr>
              <w:t>43:36</w:t>
            </w:r>
          </w:p>
        </w:tc>
        <w:tc>
          <w:tcPr>
            <w:tcW w:w="286" w:type="pct"/>
            <w:shd w:val="clear" w:color="auto" w:fill="auto"/>
          </w:tcPr>
          <w:p w14:paraId="2C9F9F84"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27,08%</w:t>
            </w:r>
          </w:p>
        </w:tc>
        <w:tc>
          <w:tcPr>
            <w:tcW w:w="285" w:type="pct"/>
            <w:shd w:val="clear" w:color="auto" w:fill="auto"/>
          </w:tcPr>
          <w:p w14:paraId="02B761F3" w14:textId="77777777" w:rsidR="00733207" w:rsidRDefault="00912BAE">
            <w:pPr>
              <w:spacing w:before="120" w:after="120" w:line="360" w:lineRule="auto"/>
              <w:jc w:val="both"/>
              <w:rPr>
                <w:rFonts w:ascii="Rockwell" w:eastAsia="Times New Roman" w:hAnsi="Rockwell" w:cs="Calibri"/>
                <w:color w:val="000000"/>
                <w:sz w:val="15"/>
                <w:szCs w:val="15"/>
              </w:rPr>
            </w:pPr>
            <w:proofErr w:type="gramStart"/>
            <w:r>
              <w:rPr>
                <w:rFonts w:ascii="Rockwell" w:eastAsia="Times New Roman" w:hAnsi="Rockwell" w:cs="Calibri"/>
                <w:color w:val="000000"/>
                <w:sz w:val="15"/>
                <w:szCs w:val="15"/>
              </w:rPr>
              <w:t>04:</w:t>
            </w:r>
            <w:proofErr w:type="gramEnd"/>
            <w:r>
              <w:rPr>
                <w:rFonts w:ascii="Rockwell" w:eastAsia="Times New Roman" w:hAnsi="Rockwell" w:cs="Calibri"/>
                <w:color w:val="000000"/>
                <w:sz w:val="15"/>
                <w:szCs w:val="15"/>
              </w:rPr>
              <w:t>24:20</w:t>
            </w:r>
          </w:p>
        </w:tc>
        <w:tc>
          <w:tcPr>
            <w:tcW w:w="286" w:type="pct"/>
            <w:shd w:val="clear" w:color="auto" w:fill="auto"/>
          </w:tcPr>
          <w:p w14:paraId="50355655" w14:textId="77777777" w:rsidR="00733207" w:rsidRDefault="00912BAE">
            <w:pPr>
              <w:spacing w:before="120" w:after="120" w:line="360" w:lineRule="auto"/>
              <w:jc w:val="both"/>
              <w:rPr>
                <w:rFonts w:ascii="Rockwell" w:eastAsia="Times New Roman" w:hAnsi="Rockwell" w:cs="Calibri"/>
                <w:color w:val="000000"/>
                <w:sz w:val="15"/>
                <w:szCs w:val="15"/>
              </w:rPr>
            </w:pPr>
            <w:r>
              <w:rPr>
                <w:rFonts w:ascii="Rockwell" w:eastAsia="Times New Roman" w:hAnsi="Rockwell" w:cs="Calibri"/>
                <w:color w:val="000000"/>
                <w:sz w:val="15"/>
                <w:szCs w:val="15"/>
              </w:rPr>
              <w:t>28,00%</w:t>
            </w:r>
          </w:p>
        </w:tc>
        <w:tc>
          <w:tcPr>
            <w:tcW w:w="316" w:type="pct"/>
            <w:shd w:val="clear" w:color="auto" w:fill="auto"/>
          </w:tcPr>
          <w:p w14:paraId="293DD76B"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color w:val="000000"/>
                <w:sz w:val="15"/>
                <w:szCs w:val="15"/>
              </w:rPr>
              <w:t>74:</w:t>
            </w:r>
            <w:proofErr w:type="gramEnd"/>
            <w:r>
              <w:rPr>
                <w:rFonts w:ascii="Rockwell" w:eastAsia="Times New Roman" w:hAnsi="Rockwell" w:cs="Calibri"/>
                <w:color w:val="000000"/>
                <w:sz w:val="15"/>
                <w:szCs w:val="15"/>
              </w:rPr>
              <w:t>38:31</w:t>
            </w:r>
          </w:p>
        </w:tc>
        <w:tc>
          <w:tcPr>
            <w:tcW w:w="286" w:type="pct"/>
            <w:shd w:val="clear" w:color="auto" w:fill="auto"/>
          </w:tcPr>
          <w:p w14:paraId="447DFADD"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color w:val="000000"/>
                <w:sz w:val="15"/>
                <w:szCs w:val="15"/>
              </w:rPr>
              <w:t>28,25%</w:t>
            </w:r>
          </w:p>
        </w:tc>
        <w:tc>
          <w:tcPr>
            <w:tcW w:w="285" w:type="pct"/>
            <w:shd w:val="clear" w:color="auto" w:fill="auto"/>
          </w:tcPr>
          <w:p w14:paraId="300DC5B4"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color w:val="000000"/>
                <w:sz w:val="15"/>
                <w:szCs w:val="15"/>
              </w:rPr>
              <w:t>27:</w:t>
            </w:r>
            <w:proofErr w:type="gramEnd"/>
            <w:r>
              <w:rPr>
                <w:rFonts w:ascii="Rockwell" w:eastAsia="Times New Roman" w:hAnsi="Rockwell" w:cs="Calibri"/>
                <w:color w:val="000000"/>
                <w:sz w:val="15"/>
                <w:szCs w:val="15"/>
              </w:rPr>
              <w:t>27:39</w:t>
            </w:r>
          </w:p>
        </w:tc>
        <w:tc>
          <w:tcPr>
            <w:tcW w:w="286" w:type="pct"/>
            <w:shd w:val="clear" w:color="auto" w:fill="auto"/>
          </w:tcPr>
          <w:p w14:paraId="1B6666EE"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color w:val="000000"/>
                <w:sz w:val="15"/>
                <w:szCs w:val="15"/>
              </w:rPr>
              <w:t>28,79%</w:t>
            </w:r>
          </w:p>
        </w:tc>
      </w:tr>
      <w:tr w:rsidR="00733207" w14:paraId="3E285DCF" w14:textId="77777777">
        <w:trPr>
          <w:trHeight w:val="60"/>
        </w:trPr>
        <w:tc>
          <w:tcPr>
            <w:tcW w:w="400" w:type="pct"/>
            <w:shd w:val="clear" w:color="auto" w:fill="auto"/>
          </w:tcPr>
          <w:p w14:paraId="6224B243"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TOTAL</w:t>
            </w:r>
          </w:p>
        </w:tc>
        <w:tc>
          <w:tcPr>
            <w:tcW w:w="285" w:type="pct"/>
            <w:shd w:val="clear" w:color="auto" w:fill="auto"/>
          </w:tcPr>
          <w:p w14:paraId="34D7900E"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30:</w:t>
            </w:r>
            <w:proofErr w:type="gramEnd"/>
            <w:r>
              <w:rPr>
                <w:rFonts w:ascii="Rockwell" w:eastAsia="Times New Roman" w:hAnsi="Rockwell" w:cs="Calibri"/>
                <w:b/>
                <w:bCs/>
                <w:color w:val="000000"/>
                <w:sz w:val="15"/>
                <w:szCs w:val="15"/>
              </w:rPr>
              <w:t>15:14</w:t>
            </w:r>
          </w:p>
        </w:tc>
        <w:tc>
          <w:tcPr>
            <w:tcW w:w="286" w:type="pct"/>
            <w:shd w:val="clear" w:color="auto" w:fill="auto"/>
          </w:tcPr>
          <w:p w14:paraId="4CBE2926"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285" w:type="pct"/>
            <w:shd w:val="clear" w:color="auto" w:fill="auto"/>
          </w:tcPr>
          <w:p w14:paraId="363D7C42"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13:</w:t>
            </w:r>
            <w:proofErr w:type="gramEnd"/>
            <w:r>
              <w:rPr>
                <w:rFonts w:ascii="Rockwell" w:eastAsia="Times New Roman" w:hAnsi="Rockwell" w:cs="Calibri"/>
                <w:b/>
                <w:bCs/>
                <w:color w:val="000000"/>
                <w:sz w:val="15"/>
                <w:szCs w:val="15"/>
              </w:rPr>
              <w:t>18:55</w:t>
            </w:r>
          </w:p>
        </w:tc>
        <w:tc>
          <w:tcPr>
            <w:tcW w:w="286" w:type="pct"/>
            <w:shd w:val="clear" w:color="auto" w:fill="auto"/>
          </w:tcPr>
          <w:p w14:paraId="6FD4C791"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285" w:type="pct"/>
            <w:shd w:val="clear" w:color="auto" w:fill="auto"/>
          </w:tcPr>
          <w:p w14:paraId="50F8EC7A"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66:</w:t>
            </w:r>
            <w:proofErr w:type="gramEnd"/>
            <w:r>
              <w:rPr>
                <w:rFonts w:ascii="Rockwell" w:eastAsia="Times New Roman" w:hAnsi="Rockwell" w:cs="Calibri"/>
                <w:b/>
                <w:bCs/>
                <w:color w:val="000000"/>
                <w:sz w:val="15"/>
                <w:szCs w:val="15"/>
              </w:rPr>
              <w:t>58:27</w:t>
            </w:r>
          </w:p>
        </w:tc>
        <w:tc>
          <w:tcPr>
            <w:tcW w:w="286" w:type="pct"/>
            <w:shd w:val="clear" w:color="auto" w:fill="auto"/>
          </w:tcPr>
          <w:p w14:paraId="7894E640"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285" w:type="pct"/>
            <w:shd w:val="clear" w:color="auto" w:fill="auto"/>
          </w:tcPr>
          <w:p w14:paraId="03520E9A"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23:</w:t>
            </w:r>
            <w:proofErr w:type="gramEnd"/>
            <w:r>
              <w:rPr>
                <w:rFonts w:ascii="Rockwell" w:eastAsia="Times New Roman" w:hAnsi="Rockwell" w:cs="Calibri"/>
                <w:b/>
                <w:bCs/>
                <w:color w:val="000000"/>
                <w:sz w:val="15"/>
                <w:szCs w:val="15"/>
              </w:rPr>
              <w:t>41:57</w:t>
            </w:r>
          </w:p>
        </w:tc>
        <w:tc>
          <w:tcPr>
            <w:tcW w:w="286" w:type="pct"/>
            <w:shd w:val="clear" w:color="auto" w:fill="auto"/>
          </w:tcPr>
          <w:p w14:paraId="7E06EC67"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285" w:type="pct"/>
            <w:shd w:val="clear" w:color="auto" w:fill="auto"/>
          </w:tcPr>
          <w:p w14:paraId="6AA8300B"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50:</w:t>
            </w:r>
            <w:proofErr w:type="gramEnd"/>
            <w:r>
              <w:rPr>
                <w:rFonts w:ascii="Rockwell" w:eastAsia="Times New Roman" w:hAnsi="Rockwell" w:cs="Calibri"/>
                <w:b/>
                <w:bCs/>
                <w:color w:val="000000"/>
                <w:sz w:val="15"/>
                <w:szCs w:val="15"/>
              </w:rPr>
              <w:t>41:03</w:t>
            </w:r>
          </w:p>
        </w:tc>
        <w:tc>
          <w:tcPr>
            <w:tcW w:w="286" w:type="pct"/>
            <w:shd w:val="clear" w:color="auto" w:fill="auto"/>
          </w:tcPr>
          <w:p w14:paraId="5147F3E1"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285" w:type="pct"/>
            <w:shd w:val="clear" w:color="auto" w:fill="auto"/>
          </w:tcPr>
          <w:p w14:paraId="5063EF6E"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15:</w:t>
            </w:r>
            <w:proofErr w:type="gramEnd"/>
            <w:r>
              <w:rPr>
                <w:rFonts w:ascii="Rockwell" w:eastAsia="Times New Roman" w:hAnsi="Rockwell" w:cs="Calibri"/>
                <w:b/>
                <w:bCs/>
                <w:color w:val="000000"/>
                <w:sz w:val="15"/>
                <w:szCs w:val="15"/>
              </w:rPr>
              <w:t>43:58</w:t>
            </w:r>
          </w:p>
        </w:tc>
        <w:tc>
          <w:tcPr>
            <w:tcW w:w="286" w:type="pct"/>
            <w:shd w:val="clear" w:color="auto" w:fill="auto"/>
          </w:tcPr>
          <w:p w14:paraId="24E52FFF"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316" w:type="pct"/>
            <w:shd w:val="clear" w:color="auto" w:fill="auto"/>
          </w:tcPr>
          <w:p w14:paraId="076F05BC"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264:</w:t>
            </w:r>
            <w:proofErr w:type="gramEnd"/>
            <w:r>
              <w:rPr>
                <w:rFonts w:ascii="Rockwell" w:eastAsia="Times New Roman" w:hAnsi="Rockwell" w:cs="Calibri"/>
                <w:b/>
                <w:bCs/>
                <w:color w:val="000000"/>
                <w:sz w:val="15"/>
                <w:szCs w:val="15"/>
              </w:rPr>
              <w:t>13:58</w:t>
            </w:r>
          </w:p>
        </w:tc>
        <w:tc>
          <w:tcPr>
            <w:tcW w:w="286" w:type="pct"/>
            <w:shd w:val="clear" w:color="auto" w:fill="auto"/>
          </w:tcPr>
          <w:p w14:paraId="493BA456"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c>
          <w:tcPr>
            <w:tcW w:w="285" w:type="pct"/>
            <w:shd w:val="clear" w:color="auto" w:fill="auto"/>
          </w:tcPr>
          <w:p w14:paraId="101C4313" w14:textId="77777777" w:rsidR="00733207" w:rsidRDefault="00912BAE">
            <w:pPr>
              <w:spacing w:before="120" w:after="120" w:line="360" w:lineRule="auto"/>
              <w:jc w:val="both"/>
              <w:rPr>
                <w:rFonts w:ascii="Rockwell" w:eastAsia="Times New Roman" w:hAnsi="Rockwell" w:cs="Calibri"/>
                <w:b/>
                <w:bCs/>
                <w:color w:val="000000"/>
                <w:sz w:val="15"/>
                <w:szCs w:val="15"/>
              </w:rPr>
            </w:pPr>
            <w:proofErr w:type="gramStart"/>
            <w:r>
              <w:rPr>
                <w:rFonts w:ascii="Rockwell" w:eastAsia="Times New Roman" w:hAnsi="Rockwell" w:cs="Calibri"/>
                <w:b/>
                <w:bCs/>
                <w:color w:val="000000"/>
                <w:sz w:val="15"/>
                <w:szCs w:val="15"/>
              </w:rPr>
              <w:t>95:</w:t>
            </w:r>
            <w:proofErr w:type="gramEnd"/>
            <w:r>
              <w:rPr>
                <w:rFonts w:ascii="Rockwell" w:eastAsia="Times New Roman" w:hAnsi="Rockwell" w:cs="Calibri"/>
                <w:b/>
                <w:bCs/>
                <w:color w:val="000000"/>
                <w:sz w:val="15"/>
                <w:szCs w:val="15"/>
              </w:rPr>
              <w:t>23:02</w:t>
            </w:r>
          </w:p>
        </w:tc>
        <w:tc>
          <w:tcPr>
            <w:tcW w:w="286" w:type="pct"/>
            <w:shd w:val="clear" w:color="auto" w:fill="auto"/>
          </w:tcPr>
          <w:p w14:paraId="2745DC7D" w14:textId="77777777" w:rsidR="00733207" w:rsidRDefault="00912BAE">
            <w:pPr>
              <w:spacing w:before="120" w:after="120" w:line="360" w:lineRule="auto"/>
              <w:jc w:val="both"/>
              <w:rPr>
                <w:rFonts w:ascii="Rockwell" w:eastAsia="Times New Roman" w:hAnsi="Rockwell" w:cs="Calibri"/>
                <w:b/>
                <w:bCs/>
                <w:color w:val="000000"/>
                <w:sz w:val="15"/>
                <w:szCs w:val="15"/>
              </w:rPr>
            </w:pPr>
            <w:r>
              <w:rPr>
                <w:rFonts w:ascii="Rockwell" w:eastAsia="Times New Roman" w:hAnsi="Rockwell" w:cs="Calibri"/>
                <w:b/>
                <w:bCs/>
                <w:color w:val="000000"/>
                <w:sz w:val="15"/>
                <w:szCs w:val="15"/>
              </w:rPr>
              <w:t>100,00%</w:t>
            </w:r>
          </w:p>
        </w:tc>
      </w:tr>
    </w:tbl>
    <w:p w14:paraId="2DA3A318" w14:textId="77777777" w:rsidR="00733207" w:rsidRDefault="00912BAE">
      <w:pPr>
        <w:spacing w:before="120" w:after="120" w:line="360" w:lineRule="auto"/>
        <w:ind w:left="142"/>
        <w:jc w:val="both"/>
        <w:rPr>
          <w:rFonts w:ascii="Rockwell" w:eastAsia="Times New Roman" w:hAnsi="Rockwell"/>
          <w:u w:val="single"/>
        </w:rPr>
      </w:pPr>
      <w:r>
        <w:rPr>
          <w:rFonts w:ascii="Rockwell" w:hAnsi="Rockwell"/>
          <w:b/>
          <w:i/>
          <w:u w:val="single"/>
        </w:rPr>
        <w:t>Source </w:t>
      </w:r>
      <w:r>
        <w:rPr>
          <w:rFonts w:ascii="Rockwell" w:hAnsi="Rockwell"/>
          <w:b/>
          <w:i/>
        </w:rPr>
        <w:t xml:space="preserve">: </w:t>
      </w:r>
      <w:r>
        <w:rPr>
          <w:rFonts w:ascii="Rockwell" w:hAnsi="Rockwell"/>
          <w:i/>
        </w:rPr>
        <w:t>CSC</w:t>
      </w:r>
    </w:p>
    <w:p w14:paraId="41E58EAF" w14:textId="77777777" w:rsidR="00733207" w:rsidRDefault="00733207">
      <w:pPr>
        <w:spacing w:before="120" w:after="120" w:line="360" w:lineRule="auto"/>
        <w:jc w:val="both"/>
        <w:rPr>
          <w:rFonts w:ascii="Rockwell" w:eastAsia="Times New Roman" w:hAnsi="Rockwell"/>
          <w:sz w:val="26"/>
          <w:szCs w:val="26"/>
        </w:rPr>
        <w:sectPr w:rsidR="00733207">
          <w:pgSz w:w="16838" w:h="11906" w:orient="landscape"/>
          <w:pgMar w:top="992" w:right="1418" w:bottom="1418" w:left="851" w:header="709" w:footer="23" w:gutter="0"/>
          <w:cols w:space="708"/>
          <w:docGrid w:linePitch="360"/>
        </w:sectPr>
      </w:pPr>
    </w:p>
    <w:p w14:paraId="21B191F2" w14:textId="77777777" w:rsidR="00733207" w:rsidRDefault="00912BAE">
      <w:pPr>
        <w:pStyle w:val="Titre5"/>
        <w:numPr>
          <w:ilvl w:val="1"/>
          <w:numId w:val="27"/>
        </w:numPr>
        <w:spacing w:before="120" w:after="120" w:line="360" w:lineRule="auto"/>
        <w:jc w:val="center"/>
        <w:rPr>
          <w:rFonts w:ascii="Rockwell" w:hAnsi="Rockwell"/>
          <w:i w:val="0"/>
          <w:color w:val="auto"/>
          <w:sz w:val="26"/>
          <w:szCs w:val="26"/>
        </w:rPr>
      </w:pPr>
      <w:bookmarkStart w:id="305" w:name="_Toc161320254"/>
      <w:bookmarkStart w:id="306" w:name="_Toc175128514"/>
      <w:bookmarkStart w:id="307" w:name="_Toc169855146"/>
      <w:r>
        <w:rPr>
          <w:rFonts w:ascii="Rockwell" w:hAnsi="Rockwell"/>
          <w:i w:val="0"/>
          <w:color w:val="auto"/>
          <w:sz w:val="26"/>
          <w:szCs w:val="26"/>
        </w:rPr>
        <w:lastRenderedPageBreak/>
        <w:t xml:space="preserve">Appréciation </w:t>
      </w:r>
      <w:bookmarkStart w:id="308" w:name="_Toc161320255"/>
      <w:bookmarkEnd w:id="305"/>
      <w:r>
        <w:rPr>
          <w:rFonts w:ascii="Rockwell" w:hAnsi="Rockwell"/>
          <w:i w:val="0"/>
          <w:color w:val="auto"/>
          <w:sz w:val="26"/>
          <w:szCs w:val="26"/>
        </w:rPr>
        <w:t>du pluralisme et de l’équilibre de l’information</w:t>
      </w:r>
      <w:bookmarkEnd w:id="306"/>
      <w:bookmarkEnd w:id="307"/>
    </w:p>
    <w:p w14:paraId="3438A67D" w14:textId="77777777" w:rsidR="00733207" w:rsidRDefault="00733207">
      <w:pPr>
        <w:pStyle w:val="Paragraphedeliste"/>
        <w:spacing w:before="120" w:after="120" w:line="360" w:lineRule="auto"/>
        <w:ind w:left="525"/>
        <w:jc w:val="both"/>
        <w:rPr>
          <w:rFonts w:ascii="Rockwell" w:hAnsi="Rockwell"/>
          <w:sz w:val="10"/>
          <w:szCs w:val="10"/>
        </w:rPr>
      </w:pPr>
    </w:p>
    <w:p w14:paraId="7C57DE60" w14:textId="77777777" w:rsidR="00733207" w:rsidRDefault="00912BAE">
      <w:pPr>
        <w:pStyle w:val="Titre6"/>
        <w:numPr>
          <w:ilvl w:val="2"/>
          <w:numId w:val="27"/>
        </w:numPr>
        <w:spacing w:before="120" w:after="120" w:line="360" w:lineRule="auto"/>
        <w:ind w:hanging="654"/>
        <w:jc w:val="center"/>
        <w:rPr>
          <w:rFonts w:ascii="Rockwell" w:hAnsi="Rockwell"/>
          <w:b/>
          <w:i/>
          <w:color w:val="auto"/>
          <w:sz w:val="26"/>
          <w:szCs w:val="26"/>
        </w:rPr>
      </w:pPr>
      <w:bookmarkStart w:id="309" w:name="_Toc169855147"/>
      <w:bookmarkStart w:id="310" w:name="_Toc175128515"/>
      <w:r>
        <w:rPr>
          <w:rFonts w:ascii="Rockwell" w:hAnsi="Rockwell"/>
          <w:b/>
          <w:i/>
          <w:color w:val="auto"/>
          <w:sz w:val="26"/>
          <w:szCs w:val="26"/>
        </w:rPr>
        <w:t xml:space="preserve">Classement </w:t>
      </w:r>
      <w:bookmarkEnd w:id="308"/>
      <w:r>
        <w:rPr>
          <w:rFonts w:ascii="Rockwell" w:hAnsi="Rockwell"/>
          <w:b/>
          <w:i/>
          <w:color w:val="auto"/>
          <w:sz w:val="26"/>
          <w:szCs w:val="26"/>
        </w:rPr>
        <w:t>des acteurs sociopolitiques</w:t>
      </w:r>
      <w:bookmarkEnd w:id="309"/>
      <w:r>
        <w:rPr>
          <w:rFonts w:ascii="Rockwell" w:eastAsiaTheme="minorHAnsi" w:hAnsi="Rockwell" w:cstheme="minorBidi"/>
          <w:bCs/>
          <w:i/>
          <w:color w:val="auto"/>
          <w:sz w:val="18"/>
          <w:szCs w:val="18"/>
        </w:rPr>
        <w:t xml:space="preserve"> </w:t>
      </w:r>
      <w:r>
        <w:rPr>
          <w:rFonts w:ascii="Rockwell" w:hAnsi="Rockwell"/>
          <w:b/>
          <w:bCs/>
          <w:i/>
          <w:color w:val="auto"/>
          <w:sz w:val="26"/>
          <w:szCs w:val="26"/>
        </w:rPr>
        <w:t>selon les TA et TP dans les médias audiovisuels</w:t>
      </w:r>
      <w:bookmarkEnd w:id="310"/>
    </w:p>
    <w:p w14:paraId="51FB0854" w14:textId="77777777" w:rsidR="00733207" w:rsidRDefault="00733207">
      <w:pPr>
        <w:pStyle w:val="Paragraphedeliste"/>
        <w:ind w:left="1080"/>
        <w:jc w:val="both"/>
        <w:rPr>
          <w:rFonts w:ascii="Rockwell" w:hAnsi="Rockwell"/>
          <w:sz w:val="10"/>
          <w:szCs w:val="10"/>
        </w:rPr>
      </w:pPr>
    </w:p>
    <w:p w14:paraId="267B574F" w14:textId="77777777" w:rsidR="00733207" w:rsidRDefault="00912BAE">
      <w:pPr>
        <w:spacing w:before="120" w:after="120" w:line="360" w:lineRule="auto"/>
        <w:jc w:val="center"/>
        <w:rPr>
          <w:rFonts w:ascii="Rockwell" w:hAnsi="Rockwell"/>
          <w:bCs/>
          <w:i/>
        </w:rPr>
      </w:pPr>
      <w:r>
        <w:rPr>
          <w:rFonts w:ascii="Rockwell" w:hAnsi="Rockwell"/>
          <w:b/>
          <w:bCs/>
          <w:i/>
          <w:u w:val="single"/>
        </w:rPr>
        <w:t>Tableau n°15 :</w:t>
      </w:r>
      <w:r>
        <w:rPr>
          <w:rFonts w:ascii="Rockwell" w:hAnsi="Rockwell"/>
          <w:bCs/>
          <w:i/>
          <w:u w:val="single"/>
        </w:rPr>
        <w:t xml:space="preserve"> </w:t>
      </w:r>
      <w:r>
        <w:rPr>
          <w:rFonts w:ascii="Rockwell" w:hAnsi="Rockwell"/>
          <w:bCs/>
          <w:i/>
        </w:rPr>
        <w:t xml:space="preserve"> Classement général des acteurs sociopolitiques selon les TA et TP dans les médias audiovisuels</w:t>
      </w:r>
    </w:p>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1"/>
        <w:gridCol w:w="1471"/>
        <w:gridCol w:w="1472"/>
        <w:gridCol w:w="1766"/>
        <w:gridCol w:w="1769"/>
      </w:tblGrid>
      <w:tr w:rsidR="00733207" w14:paraId="47F350DB" w14:textId="77777777">
        <w:trPr>
          <w:trHeight w:val="598"/>
          <w:jc w:val="center"/>
        </w:trPr>
        <w:tc>
          <w:tcPr>
            <w:tcW w:w="10449" w:type="dxa"/>
            <w:gridSpan w:val="5"/>
            <w:shd w:val="clear" w:color="auto" w:fill="auto"/>
          </w:tcPr>
          <w:p w14:paraId="64D12E8A"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MEDIAS AUDIOVISUELS</w:t>
            </w:r>
          </w:p>
        </w:tc>
      </w:tr>
      <w:tr w:rsidR="00733207" w14:paraId="1BB88C7D" w14:textId="77777777">
        <w:trPr>
          <w:trHeight w:val="70"/>
          <w:jc w:val="center"/>
        </w:trPr>
        <w:tc>
          <w:tcPr>
            <w:tcW w:w="3971" w:type="dxa"/>
            <w:shd w:val="clear" w:color="auto" w:fill="auto"/>
          </w:tcPr>
          <w:p w14:paraId="5C71AA8A"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ACTEURS SOCIOPOLITIQUES</w:t>
            </w:r>
          </w:p>
        </w:tc>
        <w:tc>
          <w:tcPr>
            <w:tcW w:w="1471" w:type="dxa"/>
            <w:shd w:val="clear" w:color="auto" w:fill="auto"/>
          </w:tcPr>
          <w:p w14:paraId="0FA846D4"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TA</w:t>
            </w:r>
          </w:p>
        </w:tc>
        <w:tc>
          <w:tcPr>
            <w:tcW w:w="1472" w:type="dxa"/>
            <w:shd w:val="clear" w:color="auto" w:fill="auto"/>
          </w:tcPr>
          <w:p w14:paraId="45B1EC8F"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TA</w:t>
            </w:r>
          </w:p>
        </w:tc>
        <w:tc>
          <w:tcPr>
            <w:tcW w:w="1766" w:type="dxa"/>
            <w:shd w:val="clear" w:color="auto" w:fill="auto"/>
          </w:tcPr>
          <w:p w14:paraId="55CD16F8"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TP</w:t>
            </w:r>
          </w:p>
        </w:tc>
        <w:tc>
          <w:tcPr>
            <w:tcW w:w="1766" w:type="dxa"/>
            <w:shd w:val="clear" w:color="auto" w:fill="auto"/>
          </w:tcPr>
          <w:p w14:paraId="37F70CF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TP</w:t>
            </w:r>
          </w:p>
        </w:tc>
      </w:tr>
      <w:tr w:rsidR="00733207" w14:paraId="034C62B6" w14:textId="77777777">
        <w:trPr>
          <w:trHeight w:val="70"/>
          <w:jc w:val="center"/>
        </w:trPr>
        <w:tc>
          <w:tcPr>
            <w:tcW w:w="3971" w:type="dxa"/>
            <w:shd w:val="clear" w:color="auto" w:fill="auto"/>
          </w:tcPr>
          <w:p w14:paraId="11F25275"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GOUVERNEMENT</w:t>
            </w:r>
          </w:p>
        </w:tc>
        <w:tc>
          <w:tcPr>
            <w:tcW w:w="1471" w:type="dxa"/>
            <w:shd w:val="clear" w:color="auto" w:fill="auto"/>
          </w:tcPr>
          <w:p w14:paraId="18520B14"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82:</w:t>
            </w:r>
            <w:proofErr w:type="gramEnd"/>
            <w:r>
              <w:rPr>
                <w:rFonts w:ascii="Rockwell" w:eastAsia="Times New Roman" w:hAnsi="Rockwell" w:cs="Calibri"/>
                <w:color w:val="000000"/>
                <w:sz w:val="24"/>
                <w:szCs w:val="24"/>
              </w:rPr>
              <w:t>15:55</w:t>
            </w:r>
          </w:p>
        </w:tc>
        <w:tc>
          <w:tcPr>
            <w:tcW w:w="1472" w:type="dxa"/>
            <w:shd w:val="clear" w:color="auto" w:fill="auto"/>
          </w:tcPr>
          <w:p w14:paraId="1E7FB710"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58,05%</w:t>
            </w:r>
          </w:p>
        </w:tc>
        <w:tc>
          <w:tcPr>
            <w:tcW w:w="1766" w:type="dxa"/>
            <w:shd w:val="clear" w:color="auto" w:fill="auto"/>
          </w:tcPr>
          <w:p w14:paraId="249EAE84"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35:</w:t>
            </w:r>
            <w:proofErr w:type="gramEnd"/>
            <w:r>
              <w:rPr>
                <w:rFonts w:ascii="Rockwell" w:eastAsia="Times New Roman" w:hAnsi="Rockwell" w:cs="Calibri"/>
                <w:color w:val="000000"/>
                <w:sz w:val="24"/>
                <w:szCs w:val="24"/>
              </w:rPr>
              <w:t>41:08</w:t>
            </w:r>
          </w:p>
        </w:tc>
        <w:tc>
          <w:tcPr>
            <w:tcW w:w="1766" w:type="dxa"/>
            <w:shd w:val="clear" w:color="auto" w:fill="auto"/>
          </w:tcPr>
          <w:p w14:paraId="7699BF4A"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60,97%</w:t>
            </w:r>
          </w:p>
        </w:tc>
      </w:tr>
      <w:tr w:rsidR="00733207" w14:paraId="5442E192" w14:textId="77777777">
        <w:trPr>
          <w:trHeight w:val="70"/>
          <w:jc w:val="center"/>
        </w:trPr>
        <w:tc>
          <w:tcPr>
            <w:tcW w:w="3971" w:type="dxa"/>
            <w:shd w:val="clear" w:color="auto" w:fill="auto"/>
          </w:tcPr>
          <w:p w14:paraId="24739817"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SOCIETE CIVILE</w:t>
            </w:r>
          </w:p>
        </w:tc>
        <w:tc>
          <w:tcPr>
            <w:tcW w:w="1471" w:type="dxa"/>
            <w:shd w:val="clear" w:color="auto" w:fill="auto"/>
          </w:tcPr>
          <w:p w14:paraId="019E7823"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30:</w:t>
            </w:r>
            <w:proofErr w:type="gramEnd"/>
            <w:r>
              <w:rPr>
                <w:rFonts w:ascii="Rockwell" w:eastAsia="Times New Roman" w:hAnsi="Rockwell" w:cs="Calibri"/>
                <w:color w:val="000000"/>
                <w:sz w:val="24"/>
                <w:szCs w:val="24"/>
              </w:rPr>
              <w:t>11:02</w:t>
            </w:r>
          </w:p>
        </w:tc>
        <w:tc>
          <w:tcPr>
            <w:tcW w:w="1472" w:type="dxa"/>
            <w:shd w:val="clear" w:color="auto" w:fill="auto"/>
          </w:tcPr>
          <w:p w14:paraId="37738FA9"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21,30%</w:t>
            </w:r>
          </w:p>
        </w:tc>
        <w:tc>
          <w:tcPr>
            <w:tcW w:w="1766" w:type="dxa"/>
            <w:shd w:val="clear" w:color="auto" w:fill="auto"/>
          </w:tcPr>
          <w:p w14:paraId="675B2208"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10:</w:t>
            </w:r>
            <w:proofErr w:type="gramEnd"/>
            <w:r>
              <w:rPr>
                <w:rFonts w:ascii="Rockwell" w:eastAsia="Times New Roman" w:hAnsi="Rockwell" w:cs="Calibri"/>
                <w:color w:val="000000"/>
                <w:sz w:val="24"/>
                <w:szCs w:val="24"/>
              </w:rPr>
              <w:t>58:13</w:t>
            </w:r>
          </w:p>
        </w:tc>
        <w:tc>
          <w:tcPr>
            <w:tcW w:w="1766" w:type="dxa"/>
            <w:shd w:val="clear" w:color="auto" w:fill="auto"/>
          </w:tcPr>
          <w:p w14:paraId="2E3577D5"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18,74%</w:t>
            </w:r>
          </w:p>
        </w:tc>
      </w:tr>
      <w:tr w:rsidR="00733207" w14:paraId="6F7C8E8A" w14:textId="77777777">
        <w:trPr>
          <w:trHeight w:val="70"/>
          <w:jc w:val="center"/>
        </w:trPr>
        <w:tc>
          <w:tcPr>
            <w:tcW w:w="3971" w:type="dxa"/>
            <w:shd w:val="clear" w:color="auto" w:fill="auto"/>
          </w:tcPr>
          <w:p w14:paraId="24D48AE9"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LES AUTRES INSTITUTIONS</w:t>
            </w:r>
          </w:p>
        </w:tc>
        <w:tc>
          <w:tcPr>
            <w:tcW w:w="1471" w:type="dxa"/>
            <w:shd w:val="clear" w:color="auto" w:fill="auto"/>
          </w:tcPr>
          <w:p w14:paraId="08E1E391"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14:</w:t>
            </w:r>
            <w:proofErr w:type="gramEnd"/>
            <w:r>
              <w:rPr>
                <w:rFonts w:ascii="Rockwell" w:eastAsia="Times New Roman" w:hAnsi="Rockwell" w:cs="Calibri"/>
                <w:color w:val="000000"/>
                <w:sz w:val="24"/>
                <w:szCs w:val="24"/>
              </w:rPr>
              <w:t>06:27</w:t>
            </w:r>
          </w:p>
        </w:tc>
        <w:tc>
          <w:tcPr>
            <w:tcW w:w="1472" w:type="dxa"/>
            <w:shd w:val="clear" w:color="auto" w:fill="auto"/>
          </w:tcPr>
          <w:p w14:paraId="5CE3D9C3"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9,95%</w:t>
            </w:r>
          </w:p>
        </w:tc>
        <w:tc>
          <w:tcPr>
            <w:tcW w:w="1766" w:type="dxa"/>
            <w:shd w:val="clear" w:color="auto" w:fill="auto"/>
          </w:tcPr>
          <w:p w14:paraId="2C25EE80"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05:</w:t>
            </w:r>
            <w:proofErr w:type="gramEnd"/>
            <w:r>
              <w:rPr>
                <w:rFonts w:ascii="Rockwell" w:eastAsia="Times New Roman" w:hAnsi="Rockwell" w:cs="Calibri"/>
                <w:color w:val="000000"/>
                <w:sz w:val="24"/>
                <w:szCs w:val="24"/>
              </w:rPr>
              <w:t>20:10</w:t>
            </w:r>
          </w:p>
        </w:tc>
        <w:tc>
          <w:tcPr>
            <w:tcW w:w="1766" w:type="dxa"/>
            <w:shd w:val="clear" w:color="auto" w:fill="auto"/>
          </w:tcPr>
          <w:p w14:paraId="463B641D"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9,12%</w:t>
            </w:r>
          </w:p>
        </w:tc>
      </w:tr>
      <w:tr w:rsidR="00733207" w14:paraId="7A83AFC5" w14:textId="77777777">
        <w:trPr>
          <w:trHeight w:val="70"/>
          <w:jc w:val="center"/>
        </w:trPr>
        <w:tc>
          <w:tcPr>
            <w:tcW w:w="3971" w:type="dxa"/>
            <w:shd w:val="clear" w:color="auto" w:fill="auto"/>
          </w:tcPr>
          <w:p w14:paraId="18753474"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PRESIDENCE DU FASO</w:t>
            </w:r>
          </w:p>
        </w:tc>
        <w:tc>
          <w:tcPr>
            <w:tcW w:w="1471" w:type="dxa"/>
            <w:shd w:val="clear" w:color="auto" w:fill="auto"/>
          </w:tcPr>
          <w:p w14:paraId="636A0467"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07:</w:t>
            </w:r>
            <w:proofErr w:type="gramEnd"/>
            <w:r>
              <w:rPr>
                <w:rFonts w:ascii="Rockwell" w:eastAsia="Times New Roman" w:hAnsi="Rockwell" w:cs="Calibri"/>
                <w:color w:val="000000"/>
                <w:sz w:val="24"/>
                <w:szCs w:val="24"/>
              </w:rPr>
              <w:t>02:55</w:t>
            </w:r>
          </w:p>
        </w:tc>
        <w:tc>
          <w:tcPr>
            <w:tcW w:w="1472" w:type="dxa"/>
            <w:shd w:val="clear" w:color="auto" w:fill="auto"/>
          </w:tcPr>
          <w:p w14:paraId="7537E172"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4,97%</w:t>
            </w:r>
          </w:p>
        </w:tc>
        <w:tc>
          <w:tcPr>
            <w:tcW w:w="1766" w:type="dxa"/>
            <w:shd w:val="clear" w:color="auto" w:fill="auto"/>
          </w:tcPr>
          <w:p w14:paraId="7BD0C02E"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04:</w:t>
            </w:r>
            <w:proofErr w:type="gramEnd"/>
            <w:r>
              <w:rPr>
                <w:rFonts w:ascii="Rockwell" w:eastAsia="Times New Roman" w:hAnsi="Rockwell" w:cs="Calibri"/>
                <w:color w:val="000000"/>
                <w:sz w:val="24"/>
                <w:szCs w:val="24"/>
              </w:rPr>
              <w:t>03:40</w:t>
            </w:r>
          </w:p>
        </w:tc>
        <w:tc>
          <w:tcPr>
            <w:tcW w:w="1766" w:type="dxa"/>
            <w:shd w:val="clear" w:color="auto" w:fill="auto"/>
          </w:tcPr>
          <w:p w14:paraId="1269A8F6"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6,94%</w:t>
            </w:r>
          </w:p>
        </w:tc>
      </w:tr>
      <w:tr w:rsidR="00733207" w14:paraId="35E2249B" w14:textId="77777777">
        <w:trPr>
          <w:trHeight w:val="70"/>
          <w:jc w:val="center"/>
        </w:trPr>
        <w:tc>
          <w:tcPr>
            <w:tcW w:w="3971" w:type="dxa"/>
            <w:shd w:val="clear" w:color="auto" w:fill="auto"/>
          </w:tcPr>
          <w:p w14:paraId="28FB0092"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PARTIS POLITIQUES</w:t>
            </w:r>
          </w:p>
        </w:tc>
        <w:tc>
          <w:tcPr>
            <w:tcW w:w="1471" w:type="dxa"/>
            <w:shd w:val="clear" w:color="auto" w:fill="auto"/>
          </w:tcPr>
          <w:p w14:paraId="40519903"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05:</w:t>
            </w:r>
            <w:proofErr w:type="gramEnd"/>
            <w:r>
              <w:rPr>
                <w:rFonts w:ascii="Rockwell" w:eastAsia="Times New Roman" w:hAnsi="Rockwell" w:cs="Calibri"/>
                <w:color w:val="000000"/>
                <w:sz w:val="24"/>
                <w:szCs w:val="24"/>
              </w:rPr>
              <w:t>31:32</w:t>
            </w:r>
          </w:p>
        </w:tc>
        <w:tc>
          <w:tcPr>
            <w:tcW w:w="1472" w:type="dxa"/>
            <w:shd w:val="clear" w:color="auto" w:fill="auto"/>
          </w:tcPr>
          <w:p w14:paraId="1567D5DE"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3,90%</w:t>
            </w:r>
          </w:p>
        </w:tc>
        <w:tc>
          <w:tcPr>
            <w:tcW w:w="1766" w:type="dxa"/>
            <w:shd w:val="clear" w:color="auto" w:fill="auto"/>
          </w:tcPr>
          <w:p w14:paraId="4B846DF4"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01:</w:t>
            </w:r>
            <w:proofErr w:type="gramEnd"/>
            <w:r>
              <w:rPr>
                <w:rFonts w:ascii="Rockwell" w:eastAsia="Times New Roman" w:hAnsi="Rockwell" w:cs="Calibri"/>
                <w:color w:val="000000"/>
                <w:sz w:val="24"/>
                <w:szCs w:val="24"/>
              </w:rPr>
              <w:t>48:42</w:t>
            </w:r>
          </w:p>
        </w:tc>
        <w:tc>
          <w:tcPr>
            <w:tcW w:w="1766" w:type="dxa"/>
            <w:shd w:val="clear" w:color="auto" w:fill="auto"/>
          </w:tcPr>
          <w:p w14:paraId="327B0E58"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3,10%</w:t>
            </w:r>
          </w:p>
        </w:tc>
      </w:tr>
      <w:tr w:rsidR="00733207" w14:paraId="687B5D58" w14:textId="77777777">
        <w:trPr>
          <w:trHeight w:val="70"/>
          <w:jc w:val="center"/>
        </w:trPr>
        <w:tc>
          <w:tcPr>
            <w:tcW w:w="3971" w:type="dxa"/>
            <w:shd w:val="clear" w:color="auto" w:fill="auto"/>
          </w:tcPr>
          <w:p w14:paraId="3FA31198"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ALT</w:t>
            </w:r>
          </w:p>
        </w:tc>
        <w:tc>
          <w:tcPr>
            <w:tcW w:w="1471" w:type="dxa"/>
            <w:shd w:val="clear" w:color="auto" w:fill="auto"/>
          </w:tcPr>
          <w:p w14:paraId="6DE6D267"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02:</w:t>
            </w:r>
            <w:proofErr w:type="gramEnd"/>
            <w:r>
              <w:rPr>
                <w:rFonts w:ascii="Rockwell" w:eastAsia="Times New Roman" w:hAnsi="Rockwell" w:cs="Calibri"/>
                <w:color w:val="000000"/>
                <w:sz w:val="24"/>
                <w:szCs w:val="24"/>
              </w:rPr>
              <w:t>34:55</w:t>
            </w:r>
          </w:p>
        </w:tc>
        <w:tc>
          <w:tcPr>
            <w:tcW w:w="1472" w:type="dxa"/>
            <w:shd w:val="clear" w:color="auto" w:fill="auto"/>
          </w:tcPr>
          <w:p w14:paraId="4B229F9F"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1,82%</w:t>
            </w:r>
          </w:p>
        </w:tc>
        <w:tc>
          <w:tcPr>
            <w:tcW w:w="1766" w:type="dxa"/>
            <w:shd w:val="clear" w:color="auto" w:fill="auto"/>
          </w:tcPr>
          <w:p w14:paraId="0A526750"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proofErr w:type="gramStart"/>
            <w:r>
              <w:rPr>
                <w:rFonts w:ascii="Rockwell" w:eastAsia="Times New Roman" w:hAnsi="Rockwell" w:cs="Calibri"/>
                <w:color w:val="000000"/>
                <w:sz w:val="24"/>
                <w:szCs w:val="24"/>
              </w:rPr>
              <w:t>00:</w:t>
            </w:r>
            <w:proofErr w:type="gramEnd"/>
            <w:r>
              <w:rPr>
                <w:rFonts w:ascii="Rockwell" w:eastAsia="Times New Roman" w:hAnsi="Rockwell" w:cs="Calibri"/>
                <w:color w:val="000000"/>
                <w:sz w:val="24"/>
                <w:szCs w:val="24"/>
              </w:rPr>
              <w:t>39:51</w:t>
            </w:r>
          </w:p>
        </w:tc>
        <w:tc>
          <w:tcPr>
            <w:tcW w:w="1766" w:type="dxa"/>
            <w:shd w:val="clear" w:color="auto" w:fill="auto"/>
          </w:tcPr>
          <w:p w14:paraId="165225A8" w14:textId="77777777" w:rsidR="00733207" w:rsidRDefault="00912BAE">
            <w:pPr>
              <w:spacing w:before="120" w:after="120" w:line="360" w:lineRule="auto"/>
              <w:jc w:val="both"/>
              <w:rPr>
                <w:rFonts w:ascii="Rockwell" w:eastAsia="Times New Roman" w:hAnsi="Rockwell" w:cs="Calibri"/>
                <w:color w:val="000000"/>
                <w:sz w:val="24"/>
                <w:szCs w:val="24"/>
                <w:highlight w:val="yellow"/>
              </w:rPr>
            </w:pPr>
            <w:r>
              <w:rPr>
                <w:rFonts w:ascii="Rockwell" w:eastAsia="Times New Roman" w:hAnsi="Rockwell" w:cs="Calibri"/>
                <w:color w:val="000000"/>
                <w:sz w:val="24"/>
                <w:szCs w:val="24"/>
              </w:rPr>
              <w:t>1,13%</w:t>
            </w:r>
          </w:p>
        </w:tc>
      </w:tr>
      <w:tr w:rsidR="00733207" w14:paraId="79703658" w14:textId="77777777">
        <w:trPr>
          <w:trHeight w:val="70"/>
          <w:jc w:val="center"/>
        </w:trPr>
        <w:tc>
          <w:tcPr>
            <w:tcW w:w="3971" w:type="dxa"/>
            <w:shd w:val="clear" w:color="auto" w:fill="auto"/>
          </w:tcPr>
          <w:p w14:paraId="5FB8E577"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TOTAL</w:t>
            </w:r>
          </w:p>
        </w:tc>
        <w:tc>
          <w:tcPr>
            <w:tcW w:w="1471" w:type="dxa"/>
            <w:shd w:val="clear" w:color="auto" w:fill="auto"/>
          </w:tcPr>
          <w:p w14:paraId="5347E0AB"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proofErr w:type="gramStart"/>
            <w:r>
              <w:rPr>
                <w:rFonts w:ascii="Rockwell" w:eastAsia="Times New Roman" w:hAnsi="Rockwell" w:cs="Calibri"/>
                <w:b/>
                <w:bCs/>
                <w:color w:val="000000"/>
                <w:sz w:val="24"/>
                <w:szCs w:val="24"/>
              </w:rPr>
              <w:t>141:</w:t>
            </w:r>
            <w:proofErr w:type="gramEnd"/>
            <w:r>
              <w:rPr>
                <w:rFonts w:ascii="Rockwell" w:eastAsia="Times New Roman" w:hAnsi="Rockwell" w:cs="Calibri"/>
                <w:b/>
                <w:bCs/>
                <w:color w:val="000000"/>
                <w:sz w:val="24"/>
                <w:szCs w:val="24"/>
              </w:rPr>
              <w:t>42:46</w:t>
            </w:r>
          </w:p>
        </w:tc>
        <w:tc>
          <w:tcPr>
            <w:tcW w:w="1472" w:type="dxa"/>
            <w:shd w:val="clear" w:color="auto" w:fill="auto"/>
          </w:tcPr>
          <w:p w14:paraId="0782E32E"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r>
              <w:rPr>
                <w:rFonts w:ascii="Rockwell" w:eastAsia="Times New Roman" w:hAnsi="Rockwell" w:cs="Calibri"/>
                <w:b/>
                <w:bCs/>
                <w:color w:val="000000"/>
                <w:sz w:val="24"/>
                <w:szCs w:val="24"/>
              </w:rPr>
              <w:t>100,00%</w:t>
            </w:r>
          </w:p>
        </w:tc>
        <w:tc>
          <w:tcPr>
            <w:tcW w:w="1766" w:type="dxa"/>
            <w:shd w:val="clear" w:color="auto" w:fill="auto"/>
          </w:tcPr>
          <w:p w14:paraId="43521422" w14:textId="77777777" w:rsidR="00733207" w:rsidRDefault="00912BAE">
            <w:pPr>
              <w:spacing w:before="120" w:after="120" w:line="360" w:lineRule="auto"/>
              <w:jc w:val="both"/>
              <w:rPr>
                <w:rFonts w:ascii="Rockwell" w:eastAsia="Times New Roman" w:hAnsi="Rockwell" w:cs="Calibri"/>
                <w:b/>
                <w:bCs/>
                <w:color w:val="000000"/>
                <w:sz w:val="24"/>
                <w:szCs w:val="24"/>
                <w:highlight w:val="yellow"/>
              </w:rPr>
            </w:pPr>
            <w:proofErr w:type="gramStart"/>
            <w:r>
              <w:rPr>
                <w:rFonts w:ascii="Rockwell" w:eastAsia="Times New Roman" w:hAnsi="Rockwell" w:cs="Calibri"/>
                <w:b/>
                <w:bCs/>
                <w:color w:val="000000"/>
                <w:sz w:val="24"/>
                <w:szCs w:val="24"/>
              </w:rPr>
              <w:t>58:</w:t>
            </w:r>
            <w:proofErr w:type="gramEnd"/>
            <w:r>
              <w:rPr>
                <w:rFonts w:ascii="Rockwell" w:eastAsia="Times New Roman" w:hAnsi="Rockwell" w:cs="Calibri"/>
                <w:b/>
                <w:bCs/>
                <w:color w:val="000000"/>
                <w:sz w:val="24"/>
                <w:szCs w:val="24"/>
              </w:rPr>
              <w:t>31:44</w:t>
            </w:r>
          </w:p>
        </w:tc>
        <w:tc>
          <w:tcPr>
            <w:tcW w:w="1766" w:type="dxa"/>
            <w:shd w:val="clear" w:color="auto" w:fill="auto"/>
          </w:tcPr>
          <w:p w14:paraId="3EDB2D9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p w14:paraId="60E1B4EB" w14:textId="77777777" w:rsidR="00733207" w:rsidRDefault="00912BAE">
      <w:pPr>
        <w:spacing w:before="120" w:after="120" w:line="360" w:lineRule="auto"/>
        <w:ind w:left="-284"/>
        <w:jc w:val="both"/>
        <w:rPr>
          <w:rFonts w:ascii="Rockwell" w:hAnsi="Rockwell"/>
          <w:i/>
          <w:u w:val="single"/>
        </w:rPr>
      </w:pPr>
      <w:r>
        <w:rPr>
          <w:rFonts w:ascii="Rockwell" w:hAnsi="Rockwell"/>
          <w:b/>
          <w:i/>
          <w:u w:val="single"/>
        </w:rPr>
        <w:t>Source</w:t>
      </w:r>
      <w:r>
        <w:rPr>
          <w:rFonts w:ascii="Rockwell" w:hAnsi="Rockwell"/>
          <w:i/>
          <w:u w:val="single"/>
        </w:rPr>
        <w:t> </w:t>
      </w:r>
      <w:r>
        <w:rPr>
          <w:rFonts w:ascii="Rockwell" w:hAnsi="Rockwell"/>
          <w:i/>
        </w:rPr>
        <w:t>: CSC</w:t>
      </w:r>
    </w:p>
    <w:p w14:paraId="7E2B6BBC" w14:textId="77777777" w:rsidR="00733207" w:rsidRDefault="00733207">
      <w:pPr>
        <w:spacing w:before="120" w:after="120" w:line="360" w:lineRule="auto"/>
        <w:jc w:val="both"/>
        <w:rPr>
          <w:rFonts w:ascii="Rockwell" w:hAnsi="Rockwell"/>
          <w:b/>
          <w:bCs/>
          <w:sz w:val="10"/>
          <w:szCs w:val="10"/>
        </w:rPr>
        <w:sectPr w:rsidR="00733207">
          <w:footerReference w:type="default" r:id="rId46"/>
          <w:pgSz w:w="11906" w:h="16838"/>
          <w:pgMar w:top="1418" w:right="1418" w:bottom="1418" w:left="1134" w:header="709" w:footer="709" w:gutter="0"/>
          <w:cols w:space="708"/>
          <w:docGrid w:linePitch="360"/>
        </w:sectPr>
      </w:pPr>
    </w:p>
    <w:p w14:paraId="207E4403" w14:textId="77777777" w:rsidR="00733207" w:rsidRDefault="00912BAE">
      <w:pPr>
        <w:spacing w:before="120" w:after="120" w:line="360" w:lineRule="auto"/>
        <w:jc w:val="center"/>
        <w:rPr>
          <w:rFonts w:ascii="Rockwell" w:hAnsi="Rockwell"/>
          <w:bCs/>
          <w:i/>
        </w:rPr>
      </w:pPr>
      <w:r>
        <w:rPr>
          <w:rFonts w:ascii="Rockwell" w:hAnsi="Rockwell"/>
          <w:b/>
          <w:bCs/>
          <w:i/>
          <w:u w:val="single"/>
        </w:rPr>
        <w:lastRenderedPageBreak/>
        <w:t>Graphique n°13 :</w:t>
      </w:r>
      <w:r>
        <w:rPr>
          <w:rFonts w:ascii="Rockwell" w:hAnsi="Rockwell"/>
          <w:bCs/>
          <w:i/>
        </w:rPr>
        <w:t xml:space="preserve"> Représentation générale des acteurs sociopolitiques selon les TA et TP dans les médias audiovisuels</w:t>
      </w:r>
    </w:p>
    <w:p w14:paraId="2703E1E9" w14:textId="77777777" w:rsidR="00733207" w:rsidRDefault="00912BAE">
      <w:pPr>
        <w:spacing w:before="120" w:after="120" w:line="360" w:lineRule="auto"/>
        <w:jc w:val="center"/>
        <w:rPr>
          <w:rFonts w:ascii="Rockwell" w:hAnsi="Rockwell"/>
          <w:bCs/>
          <w:sz w:val="26"/>
          <w:szCs w:val="26"/>
        </w:rPr>
      </w:pPr>
      <w:r>
        <w:rPr>
          <w:rFonts w:ascii="Rockwell" w:hAnsi="Rockwell"/>
          <w:noProof/>
          <w:sz w:val="26"/>
          <w:szCs w:val="26"/>
          <w:lang w:eastAsia="fr-FR"/>
        </w:rPr>
        <w:drawing>
          <wp:inline distT="0" distB="0" distL="0" distR="0" wp14:anchorId="69065573" wp14:editId="330914E3">
            <wp:extent cx="5153025" cy="3267075"/>
            <wp:effectExtent l="0" t="0" r="9525" b="9525"/>
            <wp:docPr id="28" name="Graphique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AFE71AC" w14:textId="77777777" w:rsidR="00733207" w:rsidRDefault="00733207">
      <w:pPr>
        <w:spacing w:before="120" w:after="120" w:line="240" w:lineRule="auto"/>
        <w:ind w:left="567"/>
        <w:jc w:val="both"/>
        <w:rPr>
          <w:rFonts w:ascii="Rockwell" w:hAnsi="Rockwell"/>
          <w:b/>
          <w:bCs/>
          <w:i/>
          <w:sz w:val="18"/>
          <w:szCs w:val="18"/>
          <w:u w:val="single"/>
        </w:rPr>
      </w:pPr>
    </w:p>
    <w:p w14:paraId="6E5BBF01" w14:textId="77777777" w:rsidR="00733207" w:rsidRDefault="00912BAE">
      <w:pPr>
        <w:spacing w:before="120" w:after="120" w:line="240" w:lineRule="auto"/>
        <w:ind w:left="567"/>
        <w:jc w:val="center"/>
        <w:rPr>
          <w:rFonts w:ascii="Rockwell" w:hAnsi="Rockwell"/>
          <w:bCs/>
          <w:i/>
        </w:rPr>
      </w:pPr>
      <w:r>
        <w:rPr>
          <w:rFonts w:ascii="Rockwell" w:hAnsi="Rockwell"/>
          <w:b/>
          <w:bCs/>
          <w:i/>
          <w:u w:val="single"/>
        </w:rPr>
        <w:t>Tableau</w:t>
      </w:r>
      <w:r>
        <w:rPr>
          <w:rFonts w:ascii="Rockwell" w:hAnsi="Rockwell"/>
          <w:b/>
          <w:bCs/>
          <w:i/>
        </w:rPr>
        <w:t xml:space="preserve"> n°16</w:t>
      </w:r>
      <w:r>
        <w:rPr>
          <w:rFonts w:ascii="Rockwell" w:hAnsi="Rockwell"/>
          <w:bCs/>
          <w:i/>
        </w:rPr>
        <w:t xml:space="preserve"> : Classement des acteurs sociopolitiques selon les TA et TP dans les radios (publiques et privées)</w:t>
      </w:r>
    </w:p>
    <w:p w14:paraId="50BB7C4D" w14:textId="77777777" w:rsidR="00733207" w:rsidRDefault="00733207">
      <w:pPr>
        <w:spacing w:before="120" w:after="120" w:line="240" w:lineRule="auto"/>
        <w:ind w:left="567"/>
        <w:jc w:val="both"/>
        <w:rPr>
          <w:rFonts w:ascii="Rockwell" w:hAnsi="Rockwell"/>
          <w:bCs/>
          <w:i/>
          <w:sz w:val="10"/>
          <w:szCs w:val="10"/>
        </w:rPr>
      </w:pP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1559"/>
        <w:gridCol w:w="1560"/>
        <w:gridCol w:w="1559"/>
        <w:gridCol w:w="1375"/>
      </w:tblGrid>
      <w:tr w:rsidR="00733207" w14:paraId="672925D0" w14:textId="77777777">
        <w:trPr>
          <w:trHeight w:val="388"/>
          <w:jc w:val="center"/>
        </w:trPr>
        <w:tc>
          <w:tcPr>
            <w:tcW w:w="10159" w:type="dxa"/>
            <w:gridSpan w:val="5"/>
            <w:shd w:val="clear" w:color="auto" w:fill="auto"/>
          </w:tcPr>
          <w:p w14:paraId="439C886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RADIOS</w:t>
            </w:r>
          </w:p>
        </w:tc>
      </w:tr>
      <w:tr w:rsidR="00733207" w14:paraId="13CE908C" w14:textId="77777777">
        <w:trPr>
          <w:trHeight w:val="60"/>
          <w:jc w:val="center"/>
        </w:trPr>
        <w:tc>
          <w:tcPr>
            <w:tcW w:w="4106" w:type="dxa"/>
            <w:shd w:val="clear" w:color="auto" w:fill="auto"/>
          </w:tcPr>
          <w:p w14:paraId="309C935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ACTEURS SOCIOPOLITIQUES</w:t>
            </w:r>
          </w:p>
        </w:tc>
        <w:tc>
          <w:tcPr>
            <w:tcW w:w="1559" w:type="dxa"/>
            <w:shd w:val="clear" w:color="auto" w:fill="auto"/>
          </w:tcPr>
          <w:p w14:paraId="01CCAD2D"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TA</w:t>
            </w:r>
          </w:p>
        </w:tc>
        <w:tc>
          <w:tcPr>
            <w:tcW w:w="1560" w:type="dxa"/>
            <w:shd w:val="clear" w:color="auto" w:fill="auto"/>
          </w:tcPr>
          <w:p w14:paraId="241C388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TA</w:t>
            </w:r>
          </w:p>
        </w:tc>
        <w:tc>
          <w:tcPr>
            <w:tcW w:w="1559" w:type="dxa"/>
            <w:shd w:val="clear" w:color="auto" w:fill="auto"/>
          </w:tcPr>
          <w:p w14:paraId="69B1F1E1"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TP</w:t>
            </w:r>
          </w:p>
        </w:tc>
        <w:tc>
          <w:tcPr>
            <w:tcW w:w="1375" w:type="dxa"/>
            <w:shd w:val="clear" w:color="auto" w:fill="auto"/>
          </w:tcPr>
          <w:p w14:paraId="6A993D38"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TP</w:t>
            </w:r>
          </w:p>
        </w:tc>
      </w:tr>
      <w:tr w:rsidR="00733207" w14:paraId="348D5B31" w14:textId="77777777">
        <w:trPr>
          <w:trHeight w:val="60"/>
          <w:jc w:val="center"/>
        </w:trPr>
        <w:tc>
          <w:tcPr>
            <w:tcW w:w="4106" w:type="dxa"/>
            <w:shd w:val="clear" w:color="auto" w:fill="auto"/>
          </w:tcPr>
          <w:p w14:paraId="768C005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GOUVERNEMENT</w:t>
            </w:r>
          </w:p>
        </w:tc>
        <w:tc>
          <w:tcPr>
            <w:tcW w:w="1559" w:type="dxa"/>
            <w:shd w:val="clear" w:color="auto" w:fill="auto"/>
          </w:tcPr>
          <w:p w14:paraId="73F6976B"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38:</w:t>
            </w:r>
            <w:proofErr w:type="gramEnd"/>
            <w:r>
              <w:rPr>
                <w:rFonts w:ascii="Rockwell" w:eastAsia="Times New Roman" w:hAnsi="Rockwell" w:cs="Calibri"/>
                <w:color w:val="000000"/>
                <w:sz w:val="24"/>
                <w:szCs w:val="24"/>
              </w:rPr>
              <w:t>25:14</w:t>
            </w:r>
          </w:p>
        </w:tc>
        <w:tc>
          <w:tcPr>
            <w:tcW w:w="1560" w:type="dxa"/>
            <w:shd w:val="clear" w:color="auto" w:fill="auto"/>
          </w:tcPr>
          <w:p w14:paraId="561BE785"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60,56%</w:t>
            </w:r>
          </w:p>
        </w:tc>
        <w:tc>
          <w:tcPr>
            <w:tcW w:w="1559" w:type="dxa"/>
            <w:shd w:val="clear" w:color="auto" w:fill="auto"/>
          </w:tcPr>
          <w:p w14:paraId="078DB8B4"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14:</w:t>
            </w:r>
            <w:proofErr w:type="gramEnd"/>
            <w:r>
              <w:rPr>
                <w:rFonts w:ascii="Rockwell" w:eastAsia="Times New Roman" w:hAnsi="Rockwell" w:cs="Calibri"/>
                <w:color w:val="000000"/>
                <w:sz w:val="24"/>
                <w:szCs w:val="24"/>
              </w:rPr>
              <w:t>42:50</w:t>
            </w:r>
          </w:p>
        </w:tc>
        <w:tc>
          <w:tcPr>
            <w:tcW w:w="1375" w:type="dxa"/>
            <w:shd w:val="clear" w:color="auto" w:fill="auto"/>
          </w:tcPr>
          <w:p w14:paraId="62F38DA2"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56,07%</w:t>
            </w:r>
          </w:p>
        </w:tc>
      </w:tr>
      <w:tr w:rsidR="00733207" w14:paraId="69149D9E" w14:textId="77777777">
        <w:trPr>
          <w:trHeight w:val="60"/>
          <w:jc w:val="center"/>
        </w:trPr>
        <w:tc>
          <w:tcPr>
            <w:tcW w:w="4106" w:type="dxa"/>
            <w:shd w:val="clear" w:color="auto" w:fill="auto"/>
          </w:tcPr>
          <w:p w14:paraId="2DF02A6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SOCIETE CIVILE</w:t>
            </w:r>
          </w:p>
        </w:tc>
        <w:tc>
          <w:tcPr>
            <w:tcW w:w="1559" w:type="dxa"/>
            <w:shd w:val="clear" w:color="auto" w:fill="auto"/>
          </w:tcPr>
          <w:p w14:paraId="7196EBA8"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13:</w:t>
            </w:r>
            <w:proofErr w:type="gramEnd"/>
            <w:r>
              <w:rPr>
                <w:rFonts w:ascii="Rockwell" w:eastAsia="Times New Roman" w:hAnsi="Rockwell" w:cs="Calibri"/>
                <w:color w:val="000000"/>
                <w:sz w:val="24"/>
                <w:szCs w:val="24"/>
              </w:rPr>
              <w:t>13:01</w:t>
            </w:r>
          </w:p>
        </w:tc>
        <w:tc>
          <w:tcPr>
            <w:tcW w:w="1560" w:type="dxa"/>
            <w:shd w:val="clear" w:color="auto" w:fill="auto"/>
          </w:tcPr>
          <w:p w14:paraId="45DB881D"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20,83%</w:t>
            </w:r>
          </w:p>
        </w:tc>
        <w:tc>
          <w:tcPr>
            <w:tcW w:w="1559" w:type="dxa"/>
            <w:shd w:val="clear" w:color="auto" w:fill="auto"/>
          </w:tcPr>
          <w:p w14:paraId="12019296"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w:t>
            </w:r>
            <w:proofErr w:type="gramEnd"/>
            <w:r>
              <w:rPr>
                <w:rFonts w:ascii="Rockwell" w:eastAsia="Times New Roman" w:hAnsi="Rockwell" w:cs="Calibri"/>
                <w:color w:val="000000"/>
                <w:sz w:val="24"/>
                <w:szCs w:val="24"/>
              </w:rPr>
              <w:t>45:41</w:t>
            </w:r>
          </w:p>
        </w:tc>
        <w:tc>
          <w:tcPr>
            <w:tcW w:w="1375" w:type="dxa"/>
            <w:shd w:val="clear" w:color="auto" w:fill="auto"/>
          </w:tcPr>
          <w:p w14:paraId="616133FF"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21,95%</w:t>
            </w:r>
          </w:p>
        </w:tc>
      </w:tr>
      <w:tr w:rsidR="00733207" w14:paraId="00F07FD4" w14:textId="77777777">
        <w:trPr>
          <w:trHeight w:val="60"/>
          <w:jc w:val="center"/>
        </w:trPr>
        <w:tc>
          <w:tcPr>
            <w:tcW w:w="4106" w:type="dxa"/>
            <w:shd w:val="clear" w:color="auto" w:fill="auto"/>
          </w:tcPr>
          <w:p w14:paraId="56EFAA6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LES AUTRES INSTITUTIONS</w:t>
            </w:r>
          </w:p>
        </w:tc>
        <w:tc>
          <w:tcPr>
            <w:tcW w:w="1559" w:type="dxa"/>
            <w:shd w:val="clear" w:color="auto" w:fill="auto"/>
          </w:tcPr>
          <w:p w14:paraId="436878B3"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6:</w:t>
            </w:r>
            <w:proofErr w:type="gramEnd"/>
            <w:r>
              <w:rPr>
                <w:rFonts w:ascii="Rockwell" w:eastAsia="Times New Roman" w:hAnsi="Rockwell" w:cs="Calibri"/>
                <w:color w:val="000000"/>
                <w:sz w:val="24"/>
                <w:szCs w:val="24"/>
              </w:rPr>
              <w:t>39:51</w:t>
            </w:r>
          </w:p>
        </w:tc>
        <w:tc>
          <w:tcPr>
            <w:tcW w:w="1560" w:type="dxa"/>
            <w:shd w:val="clear" w:color="auto" w:fill="auto"/>
          </w:tcPr>
          <w:p w14:paraId="19EB319D"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10,50%</w:t>
            </w:r>
          </w:p>
        </w:tc>
        <w:tc>
          <w:tcPr>
            <w:tcW w:w="1559" w:type="dxa"/>
            <w:shd w:val="clear" w:color="auto" w:fill="auto"/>
          </w:tcPr>
          <w:p w14:paraId="6EDB0B8E"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w:t>
            </w:r>
            <w:proofErr w:type="gramEnd"/>
            <w:r>
              <w:rPr>
                <w:rFonts w:ascii="Rockwell" w:eastAsia="Times New Roman" w:hAnsi="Rockwell" w:cs="Calibri"/>
                <w:color w:val="000000"/>
                <w:sz w:val="24"/>
                <w:szCs w:val="24"/>
              </w:rPr>
              <w:t>57:09</w:t>
            </w:r>
          </w:p>
        </w:tc>
        <w:tc>
          <w:tcPr>
            <w:tcW w:w="1375" w:type="dxa"/>
            <w:shd w:val="clear" w:color="auto" w:fill="auto"/>
          </w:tcPr>
          <w:p w14:paraId="64573747"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11,25%</w:t>
            </w:r>
          </w:p>
        </w:tc>
      </w:tr>
      <w:tr w:rsidR="00733207" w14:paraId="4B8AE5D3" w14:textId="77777777">
        <w:trPr>
          <w:trHeight w:val="60"/>
          <w:jc w:val="center"/>
        </w:trPr>
        <w:tc>
          <w:tcPr>
            <w:tcW w:w="4106" w:type="dxa"/>
            <w:shd w:val="clear" w:color="auto" w:fill="auto"/>
          </w:tcPr>
          <w:p w14:paraId="2564A41C"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PRESIDENCE DU FASO</w:t>
            </w:r>
          </w:p>
        </w:tc>
        <w:tc>
          <w:tcPr>
            <w:tcW w:w="1559" w:type="dxa"/>
            <w:shd w:val="clear" w:color="auto" w:fill="auto"/>
          </w:tcPr>
          <w:p w14:paraId="20F89394"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w:t>
            </w:r>
            <w:proofErr w:type="gramEnd"/>
            <w:r>
              <w:rPr>
                <w:rFonts w:ascii="Rockwell" w:eastAsia="Times New Roman" w:hAnsi="Rockwell" w:cs="Calibri"/>
                <w:color w:val="000000"/>
                <w:sz w:val="24"/>
                <w:szCs w:val="24"/>
              </w:rPr>
              <w:t>26:09</w:t>
            </w:r>
          </w:p>
        </w:tc>
        <w:tc>
          <w:tcPr>
            <w:tcW w:w="1560" w:type="dxa"/>
            <w:shd w:val="clear" w:color="auto" w:fill="auto"/>
          </w:tcPr>
          <w:p w14:paraId="7B4245BA"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5,42%</w:t>
            </w:r>
          </w:p>
        </w:tc>
        <w:tc>
          <w:tcPr>
            <w:tcW w:w="1559" w:type="dxa"/>
            <w:shd w:val="clear" w:color="auto" w:fill="auto"/>
          </w:tcPr>
          <w:p w14:paraId="3879F887"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w:t>
            </w:r>
            <w:proofErr w:type="gramEnd"/>
            <w:r>
              <w:rPr>
                <w:rFonts w:ascii="Rockwell" w:eastAsia="Times New Roman" w:hAnsi="Rockwell" w:cs="Calibri"/>
                <w:color w:val="000000"/>
                <w:sz w:val="24"/>
                <w:szCs w:val="24"/>
              </w:rPr>
              <w:t>06:30</w:t>
            </w:r>
          </w:p>
        </w:tc>
        <w:tc>
          <w:tcPr>
            <w:tcW w:w="1375" w:type="dxa"/>
            <w:shd w:val="clear" w:color="auto" w:fill="auto"/>
          </w:tcPr>
          <w:p w14:paraId="3A403054"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8,03%</w:t>
            </w:r>
          </w:p>
        </w:tc>
      </w:tr>
      <w:tr w:rsidR="00733207" w14:paraId="0EDEAC69" w14:textId="77777777">
        <w:trPr>
          <w:trHeight w:val="60"/>
          <w:jc w:val="center"/>
        </w:trPr>
        <w:tc>
          <w:tcPr>
            <w:tcW w:w="4106" w:type="dxa"/>
            <w:shd w:val="clear" w:color="auto" w:fill="auto"/>
          </w:tcPr>
          <w:p w14:paraId="2A9FAB4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ALT</w:t>
            </w:r>
          </w:p>
        </w:tc>
        <w:tc>
          <w:tcPr>
            <w:tcW w:w="1559" w:type="dxa"/>
            <w:shd w:val="clear" w:color="auto" w:fill="auto"/>
          </w:tcPr>
          <w:p w14:paraId="4A7B1557"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55:23</w:t>
            </w:r>
          </w:p>
        </w:tc>
        <w:tc>
          <w:tcPr>
            <w:tcW w:w="1560" w:type="dxa"/>
            <w:shd w:val="clear" w:color="auto" w:fill="auto"/>
          </w:tcPr>
          <w:p w14:paraId="6EEE942D"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1,45%</w:t>
            </w:r>
          </w:p>
        </w:tc>
        <w:tc>
          <w:tcPr>
            <w:tcW w:w="1559" w:type="dxa"/>
            <w:shd w:val="clear" w:color="auto" w:fill="auto"/>
          </w:tcPr>
          <w:p w14:paraId="51B77FED"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17:27</w:t>
            </w:r>
          </w:p>
        </w:tc>
        <w:tc>
          <w:tcPr>
            <w:tcW w:w="1375" w:type="dxa"/>
            <w:shd w:val="clear" w:color="auto" w:fill="auto"/>
          </w:tcPr>
          <w:p w14:paraId="07B3916D"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1,11%</w:t>
            </w:r>
          </w:p>
        </w:tc>
      </w:tr>
      <w:tr w:rsidR="00733207" w14:paraId="49F22BEB" w14:textId="77777777">
        <w:trPr>
          <w:trHeight w:val="60"/>
          <w:jc w:val="center"/>
        </w:trPr>
        <w:tc>
          <w:tcPr>
            <w:tcW w:w="4106" w:type="dxa"/>
            <w:shd w:val="clear" w:color="auto" w:fill="auto"/>
          </w:tcPr>
          <w:p w14:paraId="0F88F943"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PARTIS POLITIQUES</w:t>
            </w:r>
          </w:p>
        </w:tc>
        <w:tc>
          <w:tcPr>
            <w:tcW w:w="1559" w:type="dxa"/>
            <w:shd w:val="clear" w:color="auto" w:fill="auto"/>
          </w:tcPr>
          <w:p w14:paraId="14CF2CE6"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46:49</w:t>
            </w:r>
          </w:p>
        </w:tc>
        <w:tc>
          <w:tcPr>
            <w:tcW w:w="1560" w:type="dxa"/>
            <w:shd w:val="clear" w:color="auto" w:fill="auto"/>
          </w:tcPr>
          <w:p w14:paraId="6AFA37D0"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1,23%</w:t>
            </w:r>
          </w:p>
        </w:tc>
        <w:tc>
          <w:tcPr>
            <w:tcW w:w="1559" w:type="dxa"/>
            <w:shd w:val="clear" w:color="auto" w:fill="auto"/>
          </w:tcPr>
          <w:p w14:paraId="1C3C129D"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25:00</w:t>
            </w:r>
          </w:p>
        </w:tc>
        <w:tc>
          <w:tcPr>
            <w:tcW w:w="1375" w:type="dxa"/>
            <w:shd w:val="clear" w:color="auto" w:fill="auto"/>
          </w:tcPr>
          <w:p w14:paraId="47A2C1D0"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1,59%</w:t>
            </w:r>
          </w:p>
        </w:tc>
      </w:tr>
      <w:tr w:rsidR="00733207" w14:paraId="233A67EC" w14:textId="77777777">
        <w:trPr>
          <w:trHeight w:val="60"/>
          <w:jc w:val="center"/>
        </w:trPr>
        <w:tc>
          <w:tcPr>
            <w:tcW w:w="4106" w:type="dxa"/>
            <w:shd w:val="clear" w:color="auto" w:fill="auto"/>
          </w:tcPr>
          <w:p w14:paraId="6A8BAAAA"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559" w:type="dxa"/>
            <w:shd w:val="clear" w:color="auto" w:fill="auto"/>
          </w:tcPr>
          <w:p w14:paraId="0B1F22DD" w14:textId="77777777" w:rsidR="00733207" w:rsidRDefault="00912BAE">
            <w:pPr>
              <w:spacing w:before="120" w:after="12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63:</w:t>
            </w:r>
            <w:proofErr w:type="gramEnd"/>
            <w:r>
              <w:rPr>
                <w:rFonts w:ascii="Rockwell" w:eastAsia="Times New Roman" w:hAnsi="Rockwell" w:cs="Calibri"/>
                <w:b/>
                <w:bCs/>
                <w:color w:val="000000"/>
                <w:sz w:val="24"/>
                <w:szCs w:val="24"/>
              </w:rPr>
              <w:t>26:27</w:t>
            </w:r>
          </w:p>
        </w:tc>
        <w:tc>
          <w:tcPr>
            <w:tcW w:w="1560" w:type="dxa"/>
            <w:shd w:val="clear" w:color="auto" w:fill="auto"/>
          </w:tcPr>
          <w:p w14:paraId="4489295D"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559" w:type="dxa"/>
            <w:shd w:val="clear" w:color="auto" w:fill="auto"/>
          </w:tcPr>
          <w:p w14:paraId="5D04ADA6" w14:textId="77777777" w:rsidR="00733207" w:rsidRDefault="00912BAE">
            <w:pPr>
              <w:spacing w:before="120" w:after="12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26:</w:t>
            </w:r>
            <w:proofErr w:type="gramEnd"/>
            <w:r>
              <w:rPr>
                <w:rFonts w:ascii="Rockwell" w:eastAsia="Times New Roman" w:hAnsi="Rockwell" w:cs="Calibri"/>
                <w:b/>
                <w:bCs/>
                <w:color w:val="000000"/>
                <w:sz w:val="24"/>
                <w:szCs w:val="24"/>
              </w:rPr>
              <w:t>14:37</w:t>
            </w:r>
          </w:p>
        </w:tc>
        <w:tc>
          <w:tcPr>
            <w:tcW w:w="1375" w:type="dxa"/>
            <w:shd w:val="clear" w:color="auto" w:fill="auto"/>
          </w:tcPr>
          <w:p w14:paraId="1786A37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p w14:paraId="12B19218" w14:textId="77777777" w:rsidR="00733207" w:rsidRDefault="00912BAE">
      <w:pPr>
        <w:spacing w:before="120" w:after="120" w:line="360" w:lineRule="auto"/>
        <w:ind w:left="142"/>
        <w:jc w:val="both"/>
        <w:rPr>
          <w:rFonts w:ascii="Rockwell" w:hAnsi="Rockwell"/>
          <w:i/>
          <w:u w:val="single"/>
        </w:rPr>
      </w:pPr>
      <w:r>
        <w:rPr>
          <w:rFonts w:ascii="Rockwell" w:hAnsi="Rockwell"/>
          <w:b/>
          <w:i/>
          <w:u w:val="single"/>
        </w:rPr>
        <w:t>Source </w:t>
      </w:r>
      <w:r>
        <w:rPr>
          <w:rFonts w:ascii="Rockwell" w:hAnsi="Rockwell"/>
          <w:i/>
        </w:rPr>
        <w:t>: CSC</w:t>
      </w:r>
    </w:p>
    <w:p w14:paraId="413E4F87" w14:textId="77777777" w:rsidR="00733207" w:rsidRDefault="00912BAE">
      <w:pPr>
        <w:spacing w:before="120" w:after="120" w:line="360" w:lineRule="auto"/>
        <w:ind w:firstLine="993"/>
        <w:jc w:val="center"/>
        <w:rPr>
          <w:rFonts w:ascii="Rockwell" w:hAnsi="Rockwell"/>
          <w:bCs/>
          <w:i/>
        </w:rPr>
      </w:pPr>
      <w:r>
        <w:rPr>
          <w:rFonts w:ascii="Rockwell" w:hAnsi="Rockwell"/>
          <w:b/>
          <w:bCs/>
          <w:i/>
          <w:u w:val="single"/>
        </w:rPr>
        <w:lastRenderedPageBreak/>
        <w:t>Graphique n°14</w:t>
      </w:r>
      <w:r>
        <w:rPr>
          <w:rFonts w:ascii="Rockwell" w:hAnsi="Rockwell"/>
          <w:bCs/>
          <w:i/>
        </w:rPr>
        <w:t xml:space="preserve"> : représentation des acteurs sociopolitiques selon les TA et TP dans les radios</w:t>
      </w:r>
    </w:p>
    <w:p w14:paraId="0E7DB959" w14:textId="77777777" w:rsidR="00733207" w:rsidRDefault="00912BAE">
      <w:pPr>
        <w:spacing w:before="120" w:after="120" w:line="360" w:lineRule="auto"/>
        <w:ind w:left="720"/>
        <w:jc w:val="center"/>
        <w:rPr>
          <w:rFonts w:ascii="Rockwell" w:hAnsi="Rockwell"/>
          <w:bCs/>
          <w:sz w:val="26"/>
          <w:szCs w:val="26"/>
        </w:rPr>
      </w:pPr>
      <w:r>
        <w:rPr>
          <w:rFonts w:ascii="Rockwell" w:hAnsi="Rockwell"/>
          <w:noProof/>
          <w:sz w:val="26"/>
          <w:szCs w:val="26"/>
          <w:lang w:eastAsia="fr-FR"/>
        </w:rPr>
        <w:drawing>
          <wp:inline distT="0" distB="0" distL="0" distR="0" wp14:anchorId="7E7328D2" wp14:editId="22F1F0C2">
            <wp:extent cx="5711825" cy="4152900"/>
            <wp:effectExtent l="0" t="0" r="3175" b="0"/>
            <wp:docPr id="25" name="Graphique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83C53DE" w14:textId="77777777" w:rsidR="00733207" w:rsidRDefault="00733207">
      <w:pPr>
        <w:spacing w:before="120" w:after="120" w:line="360" w:lineRule="auto"/>
        <w:ind w:left="720"/>
        <w:jc w:val="both"/>
        <w:rPr>
          <w:rFonts w:ascii="Rockwell" w:hAnsi="Rockwell"/>
          <w:bCs/>
          <w:sz w:val="26"/>
          <w:szCs w:val="26"/>
        </w:rPr>
      </w:pPr>
    </w:p>
    <w:p w14:paraId="0D6A1889" w14:textId="77777777" w:rsidR="00733207" w:rsidRDefault="00733207">
      <w:pPr>
        <w:spacing w:before="120" w:after="120" w:line="360" w:lineRule="auto"/>
        <w:ind w:left="720"/>
        <w:jc w:val="both"/>
        <w:rPr>
          <w:rFonts w:ascii="Rockwell" w:hAnsi="Rockwell"/>
          <w:bCs/>
          <w:sz w:val="26"/>
          <w:szCs w:val="26"/>
        </w:rPr>
      </w:pPr>
    </w:p>
    <w:p w14:paraId="16095EA8" w14:textId="77777777" w:rsidR="00733207" w:rsidRDefault="00733207">
      <w:pPr>
        <w:spacing w:before="120" w:after="120" w:line="360" w:lineRule="auto"/>
        <w:ind w:left="720"/>
        <w:jc w:val="both"/>
        <w:rPr>
          <w:rFonts w:ascii="Rockwell" w:hAnsi="Rockwell"/>
          <w:bCs/>
          <w:sz w:val="26"/>
          <w:szCs w:val="26"/>
        </w:rPr>
        <w:sectPr w:rsidR="00733207">
          <w:pgSz w:w="11906" w:h="16838"/>
          <w:pgMar w:top="1418" w:right="1418" w:bottom="1418" w:left="1134" w:header="709" w:footer="709" w:gutter="0"/>
          <w:cols w:space="708"/>
          <w:docGrid w:linePitch="360"/>
        </w:sectPr>
      </w:pPr>
    </w:p>
    <w:p w14:paraId="27CD369F" w14:textId="77777777" w:rsidR="00733207" w:rsidRDefault="00912BAE">
      <w:pPr>
        <w:spacing w:before="120" w:after="120" w:line="240" w:lineRule="auto"/>
        <w:ind w:left="-284" w:right="-569"/>
        <w:jc w:val="center"/>
        <w:rPr>
          <w:rFonts w:ascii="Rockwell" w:hAnsi="Rockwell"/>
          <w:bCs/>
          <w:i/>
        </w:rPr>
      </w:pPr>
      <w:r>
        <w:rPr>
          <w:rFonts w:ascii="Rockwell" w:hAnsi="Rockwell"/>
          <w:b/>
          <w:bCs/>
          <w:i/>
          <w:u w:val="single"/>
        </w:rPr>
        <w:lastRenderedPageBreak/>
        <w:t>Tableau n°17</w:t>
      </w:r>
      <w:r>
        <w:rPr>
          <w:rFonts w:ascii="Rockwell" w:hAnsi="Rockwell"/>
          <w:bCs/>
          <w:i/>
          <w:u w:val="single"/>
        </w:rPr>
        <w:t> :</w:t>
      </w:r>
      <w:r>
        <w:rPr>
          <w:rFonts w:ascii="Rockwell" w:hAnsi="Rockwell"/>
          <w:bCs/>
          <w:i/>
        </w:rPr>
        <w:t xml:space="preserve"> Classement des acteurs sociopolitiques selon les TA et TP dans les télévisions (publiques et privées)</w:t>
      </w:r>
    </w:p>
    <w:p w14:paraId="06B54563" w14:textId="77777777" w:rsidR="00733207" w:rsidRDefault="00733207">
      <w:pPr>
        <w:spacing w:before="120" w:after="120" w:line="240" w:lineRule="auto"/>
        <w:ind w:left="1428" w:firstLine="696"/>
        <w:jc w:val="both"/>
        <w:rPr>
          <w:rFonts w:ascii="Rockwell" w:hAnsi="Rockwell"/>
          <w:bCs/>
          <w:i/>
          <w:sz w:val="10"/>
          <w:szCs w:val="10"/>
        </w:rPr>
      </w:pP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701"/>
        <w:gridCol w:w="1275"/>
        <w:gridCol w:w="1418"/>
        <w:gridCol w:w="1375"/>
      </w:tblGrid>
      <w:tr w:rsidR="00733207" w14:paraId="1C0F45DE" w14:textId="77777777">
        <w:trPr>
          <w:trHeight w:val="394"/>
          <w:jc w:val="center"/>
        </w:trPr>
        <w:tc>
          <w:tcPr>
            <w:tcW w:w="10159" w:type="dxa"/>
            <w:gridSpan w:val="5"/>
            <w:shd w:val="clear" w:color="auto" w:fill="auto"/>
          </w:tcPr>
          <w:p w14:paraId="73338F59" w14:textId="77777777" w:rsidR="00733207" w:rsidRDefault="00912BAE">
            <w:pPr>
              <w:spacing w:before="120" w:after="120" w:line="360" w:lineRule="auto"/>
              <w:jc w:val="center"/>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TELEVISIONS</w:t>
            </w:r>
          </w:p>
        </w:tc>
      </w:tr>
      <w:tr w:rsidR="00733207" w14:paraId="371144DF" w14:textId="77777777">
        <w:trPr>
          <w:trHeight w:val="417"/>
          <w:jc w:val="center"/>
        </w:trPr>
        <w:tc>
          <w:tcPr>
            <w:tcW w:w="4390" w:type="dxa"/>
            <w:shd w:val="clear" w:color="auto" w:fill="auto"/>
          </w:tcPr>
          <w:p w14:paraId="10F804EE"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ACTEURS SOCIOPOLITIQUES</w:t>
            </w:r>
          </w:p>
        </w:tc>
        <w:tc>
          <w:tcPr>
            <w:tcW w:w="1701" w:type="dxa"/>
            <w:shd w:val="clear" w:color="auto" w:fill="auto"/>
          </w:tcPr>
          <w:p w14:paraId="15E1E98B" w14:textId="77777777" w:rsidR="00733207" w:rsidRDefault="00912BAE">
            <w:pPr>
              <w:spacing w:before="120" w:after="120" w:line="360" w:lineRule="auto"/>
              <w:jc w:val="both"/>
              <w:rPr>
                <w:rFonts w:ascii="Rockwell" w:eastAsia="Times New Roman" w:hAnsi="Rockwell" w:cs="Calibri"/>
                <w:b/>
                <w:color w:val="000000"/>
                <w:sz w:val="24"/>
                <w:szCs w:val="24"/>
              </w:rPr>
            </w:pPr>
            <w:r>
              <w:rPr>
                <w:rFonts w:ascii="Rockwell" w:eastAsia="Times New Roman" w:hAnsi="Rockwell" w:cs="Calibri"/>
                <w:b/>
                <w:color w:val="000000"/>
                <w:sz w:val="24"/>
                <w:szCs w:val="24"/>
              </w:rPr>
              <w:t>TA</w:t>
            </w:r>
          </w:p>
        </w:tc>
        <w:tc>
          <w:tcPr>
            <w:tcW w:w="1275" w:type="dxa"/>
            <w:shd w:val="clear" w:color="auto" w:fill="auto"/>
          </w:tcPr>
          <w:p w14:paraId="16C92D20" w14:textId="77777777" w:rsidR="00733207" w:rsidRDefault="00912BAE">
            <w:pPr>
              <w:spacing w:before="120" w:after="120" w:line="360" w:lineRule="auto"/>
              <w:jc w:val="both"/>
              <w:rPr>
                <w:rFonts w:ascii="Rockwell" w:eastAsia="Times New Roman" w:hAnsi="Rockwell" w:cs="Calibri"/>
                <w:b/>
                <w:color w:val="000000"/>
                <w:sz w:val="24"/>
                <w:szCs w:val="24"/>
              </w:rPr>
            </w:pPr>
            <w:r>
              <w:rPr>
                <w:rFonts w:ascii="Rockwell" w:eastAsia="Times New Roman" w:hAnsi="Rockwell" w:cs="Calibri"/>
                <w:b/>
                <w:color w:val="000000"/>
                <w:sz w:val="24"/>
                <w:szCs w:val="24"/>
              </w:rPr>
              <w:t>% TA</w:t>
            </w:r>
          </w:p>
        </w:tc>
        <w:tc>
          <w:tcPr>
            <w:tcW w:w="1418" w:type="dxa"/>
            <w:shd w:val="clear" w:color="auto" w:fill="auto"/>
          </w:tcPr>
          <w:p w14:paraId="3ED4DDDF" w14:textId="77777777" w:rsidR="00733207" w:rsidRDefault="00912BAE">
            <w:pPr>
              <w:spacing w:before="120" w:after="120" w:line="360" w:lineRule="auto"/>
              <w:jc w:val="both"/>
              <w:rPr>
                <w:rFonts w:ascii="Rockwell" w:eastAsia="Times New Roman" w:hAnsi="Rockwell" w:cs="Calibri"/>
                <w:b/>
                <w:color w:val="000000"/>
                <w:sz w:val="24"/>
                <w:szCs w:val="24"/>
              </w:rPr>
            </w:pPr>
            <w:r>
              <w:rPr>
                <w:rFonts w:ascii="Rockwell" w:eastAsia="Times New Roman" w:hAnsi="Rockwell" w:cs="Calibri"/>
                <w:b/>
                <w:color w:val="000000"/>
                <w:sz w:val="24"/>
                <w:szCs w:val="24"/>
              </w:rPr>
              <w:t>TP</w:t>
            </w:r>
          </w:p>
        </w:tc>
        <w:tc>
          <w:tcPr>
            <w:tcW w:w="1375" w:type="dxa"/>
            <w:shd w:val="clear" w:color="auto" w:fill="auto"/>
          </w:tcPr>
          <w:p w14:paraId="0750852A" w14:textId="77777777" w:rsidR="00733207" w:rsidRDefault="00912BAE">
            <w:pPr>
              <w:spacing w:before="120" w:after="120" w:line="360" w:lineRule="auto"/>
              <w:jc w:val="both"/>
              <w:rPr>
                <w:rFonts w:ascii="Rockwell" w:eastAsia="Times New Roman" w:hAnsi="Rockwell" w:cs="Calibri"/>
                <w:b/>
                <w:color w:val="000000"/>
                <w:sz w:val="24"/>
                <w:szCs w:val="24"/>
              </w:rPr>
            </w:pPr>
            <w:r>
              <w:rPr>
                <w:rFonts w:ascii="Rockwell" w:eastAsia="Times New Roman" w:hAnsi="Rockwell" w:cs="Calibri"/>
                <w:b/>
                <w:color w:val="000000"/>
                <w:sz w:val="24"/>
                <w:szCs w:val="24"/>
              </w:rPr>
              <w:t>% TP</w:t>
            </w:r>
          </w:p>
        </w:tc>
      </w:tr>
      <w:tr w:rsidR="00733207" w14:paraId="2337BB36" w14:textId="77777777">
        <w:trPr>
          <w:trHeight w:val="60"/>
          <w:jc w:val="center"/>
        </w:trPr>
        <w:tc>
          <w:tcPr>
            <w:tcW w:w="4390" w:type="dxa"/>
            <w:shd w:val="clear" w:color="auto" w:fill="auto"/>
          </w:tcPr>
          <w:p w14:paraId="2C8BE3B9"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GOUVERNEMENT</w:t>
            </w:r>
          </w:p>
        </w:tc>
        <w:tc>
          <w:tcPr>
            <w:tcW w:w="1701" w:type="dxa"/>
            <w:shd w:val="clear" w:color="auto" w:fill="auto"/>
          </w:tcPr>
          <w:p w14:paraId="0DABF957"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43:</w:t>
            </w:r>
            <w:proofErr w:type="gramEnd"/>
            <w:r>
              <w:rPr>
                <w:rFonts w:ascii="Rockwell" w:eastAsia="Times New Roman" w:hAnsi="Rockwell" w:cs="Calibri"/>
                <w:color w:val="000000"/>
                <w:sz w:val="24"/>
                <w:szCs w:val="24"/>
              </w:rPr>
              <w:t>50:41</w:t>
            </w:r>
          </w:p>
        </w:tc>
        <w:tc>
          <w:tcPr>
            <w:tcW w:w="1275" w:type="dxa"/>
            <w:shd w:val="clear" w:color="auto" w:fill="auto"/>
          </w:tcPr>
          <w:p w14:paraId="19893CE0"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56,02%</w:t>
            </w:r>
          </w:p>
        </w:tc>
        <w:tc>
          <w:tcPr>
            <w:tcW w:w="1418" w:type="dxa"/>
            <w:shd w:val="clear" w:color="auto" w:fill="auto"/>
          </w:tcPr>
          <w:p w14:paraId="40F10EAE"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20:</w:t>
            </w:r>
            <w:proofErr w:type="gramEnd"/>
            <w:r>
              <w:rPr>
                <w:rFonts w:ascii="Rockwell" w:eastAsia="Times New Roman" w:hAnsi="Rockwell" w:cs="Calibri"/>
                <w:color w:val="000000"/>
                <w:sz w:val="24"/>
                <w:szCs w:val="24"/>
              </w:rPr>
              <w:t>58:18</w:t>
            </w:r>
          </w:p>
        </w:tc>
        <w:tc>
          <w:tcPr>
            <w:tcW w:w="1375" w:type="dxa"/>
            <w:shd w:val="clear" w:color="auto" w:fill="auto"/>
          </w:tcPr>
          <w:p w14:paraId="7ACCF09D"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64,96%</w:t>
            </w:r>
          </w:p>
        </w:tc>
      </w:tr>
      <w:tr w:rsidR="00733207" w14:paraId="2B224564" w14:textId="77777777">
        <w:trPr>
          <w:trHeight w:val="60"/>
          <w:jc w:val="center"/>
        </w:trPr>
        <w:tc>
          <w:tcPr>
            <w:tcW w:w="4390" w:type="dxa"/>
            <w:shd w:val="clear" w:color="auto" w:fill="auto"/>
          </w:tcPr>
          <w:p w14:paraId="2C15C9F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SOCIETE CIVILE</w:t>
            </w:r>
          </w:p>
        </w:tc>
        <w:tc>
          <w:tcPr>
            <w:tcW w:w="1701" w:type="dxa"/>
            <w:shd w:val="clear" w:color="auto" w:fill="auto"/>
          </w:tcPr>
          <w:p w14:paraId="5AF260F9"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16:</w:t>
            </w:r>
            <w:proofErr w:type="gramEnd"/>
            <w:r>
              <w:rPr>
                <w:rFonts w:ascii="Rockwell" w:eastAsia="Times New Roman" w:hAnsi="Rockwell" w:cs="Calibri"/>
                <w:color w:val="000000"/>
                <w:sz w:val="24"/>
                <w:szCs w:val="24"/>
              </w:rPr>
              <w:t>58:01</w:t>
            </w:r>
          </w:p>
        </w:tc>
        <w:tc>
          <w:tcPr>
            <w:tcW w:w="1275" w:type="dxa"/>
            <w:shd w:val="clear" w:color="auto" w:fill="auto"/>
          </w:tcPr>
          <w:p w14:paraId="1F7F128A"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21,68%</w:t>
            </w:r>
          </w:p>
        </w:tc>
        <w:tc>
          <w:tcPr>
            <w:tcW w:w="1418" w:type="dxa"/>
            <w:shd w:val="clear" w:color="auto" w:fill="auto"/>
          </w:tcPr>
          <w:p w14:paraId="68F7090E"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w:t>
            </w:r>
            <w:proofErr w:type="gramEnd"/>
            <w:r>
              <w:rPr>
                <w:rFonts w:ascii="Rockwell" w:eastAsia="Times New Roman" w:hAnsi="Rockwell" w:cs="Calibri"/>
                <w:color w:val="000000"/>
                <w:sz w:val="24"/>
                <w:szCs w:val="24"/>
              </w:rPr>
              <w:t>12:32</w:t>
            </w:r>
          </w:p>
        </w:tc>
        <w:tc>
          <w:tcPr>
            <w:tcW w:w="1375" w:type="dxa"/>
            <w:shd w:val="clear" w:color="auto" w:fill="auto"/>
          </w:tcPr>
          <w:p w14:paraId="68233E84"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16,13%</w:t>
            </w:r>
          </w:p>
        </w:tc>
      </w:tr>
      <w:tr w:rsidR="00733207" w14:paraId="7BF95814" w14:textId="77777777">
        <w:trPr>
          <w:trHeight w:val="60"/>
          <w:jc w:val="center"/>
        </w:trPr>
        <w:tc>
          <w:tcPr>
            <w:tcW w:w="4390" w:type="dxa"/>
            <w:shd w:val="clear" w:color="auto" w:fill="auto"/>
          </w:tcPr>
          <w:p w14:paraId="5CCCD555"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LES AUTRES INSTITUTIONS</w:t>
            </w:r>
          </w:p>
        </w:tc>
        <w:tc>
          <w:tcPr>
            <w:tcW w:w="1701" w:type="dxa"/>
            <w:shd w:val="clear" w:color="auto" w:fill="auto"/>
          </w:tcPr>
          <w:p w14:paraId="39210D13"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7:</w:t>
            </w:r>
            <w:proofErr w:type="gramEnd"/>
            <w:r>
              <w:rPr>
                <w:rFonts w:ascii="Rockwell" w:eastAsia="Times New Roman" w:hAnsi="Rockwell" w:cs="Calibri"/>
                <w:color w:val="000000"/>
                <w:sz w:val="24"/>
                <w:szCs w:val="24"/>
              </w:rPr>
              <w:t>26:36</w:t>
            </w:r>
          </w:p>
        </w:tc>
        <w:tc>
          <w:tcPr>
            <w:tcW w:w="1275" w:type="dxa"/>
            <w:shd w:val="clear" w:color="auto" w:fill="auto"/>
          </w:tcPr>
          <w:p w14:paraId="43FF5AA8"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9,51%</w:t>
            </w:r>
          </w:p>
        </w:tc>
        <w:tc>
          <w:tcPr>
            <w:tcW w:w="1418" w:type="dxa"/>
            <w:shd w:val="clear" w:color="auto" w:fill="auto"/>
          </w:tcPr>
          <w:p w14:paraId="3645C72F"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w:t>
            </w:r>
            <w:proofErr w:type="gramEnd"/>
            <w:r>
              <w:rPr>
                <w:rFonts w:ascii="Rockwell" w:eastAsia="Times New Roman" w:hAnsi="Rockwell" w:cs="Calibri"/>
                <w:color w:val="000000"/>
                <w:sz w:val="24"/>
                <w:szCs w:val="24"/>
              </w:rPr>
              <w:t>23:01</w:t>
            </w:r>
          </w:p>
        </w:tc>
        <w:tc>
          <w:tcPr>
            <w:tcW w:w="1375" w:type="dxa"/>
            <w:shd w:val="clear" w:color="auto" w:fill="auto"/>
          </w:tcPr>
          <w:p w14:paraId="2DF71BFC"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7,38%</w:t>
            </w:r>
          </w:p>
        </w:tc>
      </w:tr>
      <w:tr w:rsidR="00733207" w14:paraId="5E577B6C" w14:textId="77777777">
        <w:trPr>
          <w:trHeight w:val="60"/>
          <w:jc w:val="center"/>
        </w:trPr>
        <w:tc>
          <w:tcPr>
            <w:tcW w:w="4390" w:type="dxa"/>
            <w:shd w:val="clear" w:color="auto" w:fill="auto"/>
          </w:tcPr>
          <w:p w14:paraId="27B4E6B0"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PARTIS POLITIQUES</w:t>
            </w:r>
          </w:p>
        </w:tc>
        <w:tc>
          <w:tcPr>
            <w:tcW w:w="1701" w:type="dxa"/>
            <w:shd w:val="clear" w:color="auto" w:fill="auto"/>
          </w:tcPr>
          <w:p w14:paraId="6202A54F"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w:t>
            </w:r>
            <w:proofErr w:type="gramEnd"/>
            <w:r>
              <w:rPr>
                <w:rFonts w:ascii="Rockwell" w:eastAsia="Times New Roman" w:hAnsi="Rockwell" w:cs="Calibri"/>
                <w:color w:val="000000"/>
                <w:sz w:val="24"/>
                <w:szCs w:val="24"/>
              </w:rPr>
              <w:t>44:43</w:t>
            </w:r>
          </w:p>
        </w:tc>
        <w:tc>
          <w:tcPr>
            <w:tcW w:w="1275" w:type="dxa"/>
            <w:shd w:val="clear" w:color="auto" w:fill="auto"/>
          </w:tcPr>
          <w:p w14:paraId="1A8CAA75"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6,06%</w:t>
            </w:r>
          </w:p>
        </w:tc>
        <w:tc>
          <w:tcPr>
            <w:tcW w:w="1418" w:type="dxa"/>
            <w:shd w:val="clear" w:color="auto" w:fill="auto"/>
          </w:tcPr>
          <w:p w14:paraId="21740D6B"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w:t>
            </w:r>
            <w:proofErr w:type="gramEnd"/>
            <w:r>
              <w:rPr>
                <w:rFonts w:ascii="Rockwell" w:eastAsia="Times New Roman" w:hAnsi="Rockwell" w:cs="Calibri"/>
                <w:color w:val="000000"/>
                <w:sz w:val="24"/>
                <w:szCs w:val="24"/>
              </w:rPr>
              <w:t>23:42</w:t>
            </w:r>
          </w:p>
        </w:tc>
        <w:tc>
          <w:tcPr>
            <w:tcW w:w="1375" w:type="dxa"/>
            <w:shd w:val="clear" w:color="auto" w:fill="auto"/>
          </w:tcPr>
          <w:p w14:paraId="7C337D36"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4,32%</w:t>
            </w:r>
          </w:p>
        </w:tc>
      </w:tr>
      <w:tr w:rsidR="00733207" w14:paraId="6AB37489" w14:textId="77777777">
        <w:trPr>
          <w:trHeight w:val="60"/>
          <w:jc w:val="center"/>
        </w:trPr>
        <w:tc>
          <w:tcPr>
            <w:tcW w:w="4390" w:type="dxa"/>
            <w:shd w:val="clear" w:color="auto" w:fill="auto"/>
          </w:tcPr>
          <w:p w14:paraId="5D26D359"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PRESIDENCE DU FASO</w:t>
            </w:r>
          </w:p>
        </w:tc>
        <w:tc>
          <w:tcPr>
            <w:tcW w:w="1701" w:type="dxa"/>
            <w:shd w:val="clear" w:color="auto" w:fill="auto"/>
          </w:tcPr>
          <w:p w14:paraId="3586D380"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w:t>
            </w:r>
            <w:proofErr w:type="gramEnd"/>
            <w:r>
              <w:rPr>
                <w:rFonts w:ascii="Rockwell" w:eastAsia="Times New Roman" w:hAnsi="Rockwell" w:cs="Calibri"/>
                <w:color w:val="000000"/>
                <w:sz w:val="24"/>
                <w:szCs w:val="24"/>
              </w:rPr>
              <w:t>36:46</w:t>
            </w:r>
          </w:p>
        </w:tc>
        <w:tc>
          <w:tcPr>
            <w:tcW w:w="1275" w:type="dxa"/>
            <w:shd w:val="clear" w:color="auto" w:fill="auto"/>
          </w:tcPr>
          <w:p w14:paraId="106CAAFF"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4,62%</w:t>
            </w:r>
          </w:p>
        </w:tc>
        <w:tc>
          <w:tcPr>
            <w:tcW w:w="1418" w:type="dxa"/>
            <w:shd w:val="clear" w:color="auto" w:fill="auto"/>
          </w:tcPr>
          <w:p w14:paraId="33E8B5C7"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w:t>
            </w:r>
            <w:proofErr w:type="gramEnd"/>
            <w:r>
              <w:rPr>
                <w:rFonts w:ascii="Rockwell" w:eastAsia="Times New Roman" w:hAnsi="Rockwell" w:cs="Calibri"/>
                <w:color w:val="000000"/>
                <w:sz w:val="24"/>
                <w:szCs w:val="24"/>
              </w:rPr>
              <w:t>57:10</w:t>
            </w:r>
          </w:p>
        </w:tc>
        <w:tc>
          <w:tcPr>
            <w:tcW w:w="1375" w:type="dxa"/>
            <w:shd w:val="clear" w:color="auto" w:fill="auto"/>
          </w:tcPr>
          <w:p w14:paraId="01927587"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6,05%</w:t>
            </w:r>
          </w:p>
        </w:tc>
      </w:tr>
      <w:tr w:rsidR="00733207" w14:paraId="62B2474F" w14:textId="77777777">
        <w:trPr>
          <w:trHeight w:val="60"/>
          <w:jc w:val="center"/>
        </w:trPr>
        <w:tc>
          <w:tcPr>
            <w:tcW w:w="4390" w:type="dxa"/>
            <w:shd w:val="clear" w:color="auto" w:fill="auto"/>
          </w:tcPr>
          <w:p w14:paraId="018AAA54"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ALT</w:t>
            </w:r>
          </w:p>
        </w:tc>
        <w:tc>
          <w:tcPr>
            <w:tcW w:w="1701" w:type="dxa"/>
            <w:shd w:val="clear" w:color="auto" w:fill="auto"/>
          </w:tcPr>
          <w:p w14:paraId="3FB50F70"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w:t>
            </w:r>
            <w:proofErr w:type="gramEnd"/>
            <w:r>
              <w:rPr>
                <w:rFonts w:ascii="Rockwell" w:eastAsia="Times New Roman" w:hAnsi="Rockwell" w:cs="Calibri"/>
                <w:color w:val="000000"/>
                <w:sz w:val="24"/>
                <w:szCs w:val="24"/>
              </w:rPr>
              <w:t>39:32</w:t>
            </w:r>
          </w:p>
        </w:tc>
        <w:tc>
          <w:tcPr>
            <w:tcW w:w="1275" w:type="dxa"/>
            <w:shd w:val="clear" w:color="auto" w:fill="auto"/>
          </w:tcPr>
          <w:p w14:paraId="201E1B00"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2,12%</w:t>
            </w:r>
          </w:p>
        </w:tc>
        <w:tc>
          <w:tcPr>
            <w:tcW w:w="1418" w:type="dxa"/>
            <w:shd w:val="clear" w:color="auto" w:fill="auto"/>
          </w:tcPr>
          <w:p w14:paraId="3DFE8FBD"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22:24</w:t>
            </w:r>
          </w:p>
        </w:tc>
        <w:tc>
          <w:tcPr>
            <w:tcW w:w="1375" w:type="dxa"/>
            <w:shd w:val="clear" w:color="auto" w:fill="auto"/>
          </w:tcPr>
          <w:p w14:paraId="69DD1D19"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1,16%</w:t>
            </w:r>
          </w:p>
        </w:tc>
      </w:tr>
      <w:tr w:rsidR="00733207" w14:paraId="23D6A55E" w14:textId="77777777">
        <w:trPr>
          <w:trHeight w:val="60"/>
          <w:jc w:val="center"/>
        </w:trPr>
        <w:tc>
          <w:tcPr>
            <w:tcW w:w="4390" w:type="dxa"/>
            <w:shd w:val="clear" w:color="auto" w:fill="auto"/>
          </w:tcPr>
          <w:p w14:paraId="6C668BDF"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701" w:type="dxa"/>
            <w:shd w:val="clear" w:color="auto" w:fill="auto"/>
          </w:tcPr>
          <w:p w14:paraId="3510D29D" w14:textId="77777777" w:rsidR="00733207" w:rsidRDefault="00912BAE">
            <w:pPr>
              <w:spacing w:before="120" w:after="12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78:</w:t>
            </w:r>
            <w:proofErr w:type="gramEnd"/>
            <w:r>
              <w:rPr>
                <w:rFonts w:ascii="Rockwell" w:eastAsia="Times New Roman" w:hAnsi="Rockwell" w:cs="Calibri"/>
                <w:b/>
                <w:bCs/>
                <w:color w:val="000000"/>
                <w:sz w:val="24"/>
                <w:szCs w:val="24"/>
              </w:rPr>
              <w:t>16:19</w:t>
            </w:r>
          </w:p>
        </w:tc>
        <w:tc>
          <w:tcPr>
            <w:tcW w:w="1275" w:type="dxa"/>
            <w:shd w:val="clear" w:color="auto" w:fill="auto"/>
          </w:tcPr>
          <w:p w14:paraId="616C9A63"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b/>
                <w:bCs/>
                <w:color w:val="000000"/>
                <w:sz w:val="24"/>
                <w:szCs w:val="24"/>
              </w:rPr>
              <w:t>100,00%</w:t>
            </w:r>
          </w:p>
        </w:tc>
        <w:tc>
          <w:tcPr>
            <w:tcW w:w="1418" w:type="dxa"/>
            <w:shd w:val="clear" w:color="auto" w:fill="auto"/>
          </w:tcPr>
          <w:p w14:paraId="1E6BC180" w14:textId="77777777" w:rsidR="00733207" w:rsidRDefault="00912BAE">
            <w:pPr>
              <w:spacing w:before="120" w:after="12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32:</w:t>
            </w:r>
            <w:proofErr w:type="gramEnd"/>
            <w:r>
              <w:rPr>
                <w:rFonts w:ascii="Rockwell" w:eastAsia="Times New Roman" w:hAnsi="Rockwell" w:cs="Calibri"/>
                <w:b/>
                <w:bCs/>
                <w:color w:val="000000"/>
                <w:sz w:val="24"/>
                <w:szCs w:val="24"/>
              </w:rPr>
              <w:t>17:07</w:t>
            </w:r>
          </w:p>
        </w:tc>
        <w:tc>
          <w:tcPr>
            <w:tcW w:w="1375" w:type="dxa"/>
            <w:shd w:val="clear" w:color="auto" w:fill="auto"/>
          </w:tcPr>
          <w:p w14:paraId="26EB16CE"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b/>
                <w:bCs/>
                <w:color w:val="000000"/>
                <w:sz w:val="24"/>
                <w:szCs w:val="24"/>
              </w:rPr>
              <w:t>100,00%</w:t>
            </w:r>
          </w:p>
        </w:tc>
      </w:tr>
    </w:tbl>
    <w:p w14:paraId="7C92DA64" w14:textId="77777777" w:rsidR="00733207" w:rsidRDefault="00912BAE">
      <w:pPr>
        <w:spacing w:before="120" w:after="120" w:line="360" w:lineRule="auto"/>
        <w:ind w:hanging="284"/>
        <w:jc w:val="both"/>
        <w:rPr>
          <w:rFonts w:ascii="Rockwell" w:hAnsi="Rockwell"/>
          <w:i/>
          <w:u w:val="single"/>
        </w:rPr>
      </w:pPr>
      <w:r>
        <w:rPr>
          <w:rFonts w:ascii="Rockwell" w:hAnsi="Rockwell"/>
          <w:b/>
          <w:i/>
          <w:u w:val="single"/>
        </w:rPr>
        <w:t>Source</w:t>
      </w:r>
      <w:r>
        <w:rPr>
          <w:rFonts w:ascii="Rockwell" w:hAnsi="Rockwell"/>
          <w:i/>
          <w:u w:val="single"/>
        </w:rPr>
        <w:t> </w:t>
      </w:r>
      <w:r>
        <w:rPr>
          <w:rFonts w:ascii="Rockwell" w:hAnsi="Rockwell"/>
          <w:i/>
        </w:rPr>
        <w:t>: CSC</w:t>
      </w:r>
    </w:p>
    <w:p w14:paraId="28D126F7" w14:textId="77777777" w:rsidR="00733207" w:rsidRDefault="00733207">
      <w:pPr>
        <w:spacing w:before="120" w:after="120" w:line="360" w:lineRule="auto"/>
        <w:ind w:left="720"/>
        <w:jc w:val="both"/>
        <w:rPr>
          <w:rFonts w:ascii="Rockwell" w:hAnsi="Rockwell"/>
          <w:bCs/>
          <w:sz w:val="10"/>
          <w:szCs w:val="10"/>
        </w:rPr>
      </w:pPr>
    </w:p>
    <w:p w14:paraId="7AD09649" w14:textId="77777777" w:rsidR="00733207" w:rsidRDefault="00912BAE">
      <w:pPr>
        <w:spacing w:before="120" w:after="120" w:line="240" w:lineRule="auto"/>
        <w:ind w:left="1276" w:hanging="567"/>
        <w:jc w:val="center"/>
        <w:rPr>
          <w:rFonts w:ascii="Rockwell" w:hAnsi="Rockwell"/>
          <w:bCs/>
          <w:i/>
        </w:rPr>
      </w:pPr>
      <w:r>
        <w:rPr>
          <w:rFonts w:ascii="Rockwell" w:hAnsi="Rockwell"/>
          <w:b/>
          <w:bCs/>
          <w:i/>
          <w:u w:val="single"/>
        </w:rPr>
        <w:t>Graphique n°15</w:t>
      </w:r>
      <w:r>
        <w:rPr>
          <w:rFonts w:ascii="Rockwell" w:hAnsi="Rockwell"/>
          <w:bCs/>
          <w:i/>
        </w:rPr>
        <w:t> : représentation des acteurs sociopolitiques selon les TA et TP dans les télévisions (publiques et privées)</w:t>
      </w:r>
    </w:p>
    <w:p w14:paraId="0DE39411" w14:textId="77777777" w:rsidR="00733207" w:rsidRDefault="00912BAE">
      <w:pPr>
        <w:spacing w:before="120" w:after="120" w:line="360" w:lineRule="auto"/>
        <w:jc w:val="center"/>
        <w:rPr>
          <w:rFonts w:ascii="Rockwell" w:hAnsi="Rockwell"/>
          <w:bCs/>
          <w:sz w:val="26"/>
          <w:szCs w:val="26"/>
        </w:rPr>
        <w:sectPr w:rsidR="00733207">
          <w:pgSz w:w="11906" w:h="16838"/>
          <w:pgMar w:top="1418" w:right="1418" w:bottom="1418" w:left="1134" w:header="709" w:footer="709" w:gutter="0"/>
          <w:cols w:space="708"/>
          <w:docGrid w:linePitch="360"/>
        </w:sectPr>
      </w:pPr>
      <w:r>
        <w:rPr>
          <w:rFonts w:ascii="Rockwell" w:hAnsi="Rockwell"/>
          <w:noProof/>
          <w:sz w:val="26"/>
          <w:szCs w:val="26"/>
          <w:lang w:eastAsia="fr-FR"/>
        </w:rPr>
        <w:drawing>
          <wp:inline distT="0" distB="0" distL="0" distR="0" wp14:anchorId="36AE0EAE" wp14:editId="4E75F8A2">
            <wp:extent cx="5136515" cy="3451225"/>
            <wp:effectExtent l="0" t="0" r="6985" b="15875"/>
            <wp:docPr id="24" name="Graphique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82693B5" w14:textId="77777777" w:rsidR="00733207" w:rsidRDefault="00912BAE">
      <w:pPr>
        <w:pStyle w:val="Titre6"/>
        <w:numPr>
          <w:ilvl w:val="2"/>
          <w:numId w:val="27"/>
        </w:numPr>
        <w:jc w:val="both"/>
        <w:rPr>
          <w:rFonts w:ascii="Rockwell" w:hAnsi="Rockwell"/>
          <w:b/>
          <w:i/>
          <w:color w:val="auto"/>
          <w:sz w:val="26"/>
          <w:szCs w:val="26"/>
        </w:rPr>
      </w:pPr>
      <w:bookmarkStart w:id="311" w:name="_Toc161320257"/>
      <w:bookmarkStart w:id="312" w:name="_Toc175128516"/>
      <w:bookmarkStart w:id="313" w:name="_Toc169855148"/>
      <w:r>
        <w:rPr>
          <w:rFonts w:ascii="Rockwell" w:hAnsi="Rockwell"/>
          <w:b/>
          <w:i/>
          <w:color w:val="auto"/>
          <w:sz w:val="26"/>
          <w:szCs w:val="26"/>
        </w:rPr>
        <w:lastRenderedPageBreak/>
        <w:t>Classement des informations thématiques</w:t>
      </w:r>
      <w:bookmarkEnd w:id="311"/>
      <w:bookmarkEnd w:id="312"/>
      <w:bookmarkEnd w:id="313"/>
    </w:p>
    <w:p w14:paraId="5AFD6B9B" w14:textId="77777777" w:rsidR="00733207" w:rsidRDefault="00733207">
      <w:pPr>
        <w:jc w:val="both"/>
        <w:rPr>
          <w:rFonts w:ascii="Rockwell" w:hAnsi="Rockwell"/>
        </w:rPr>
      </w:pPr>
    </w:p>
    <w:p w14:paraId="471605E1" w14:textId="77777777" w:rsidR="00733207" w:rsidRDefault="00733207">
      <w:pPr>
        <w:pStyle w:val="Paragraphedeliste"/>
        <w:ind w:left="1080"/>
        <w:jc w:val="both"/>
        <w:rPr>
          <w:rFonts w:ascii="Rockwell" w:hAnsi="Rockwell"/>
          <w:sz w:val="10"/>
          <w:szCs w:val="10"/>
        </w:rPr>
      </w:pPr>
    </w:p>
    <w:p w14:paraId="32EC6A25" w14:textId="77777777" w:rsidR="00733207" w:rsidRDefault="00912BAE">
      <w:pPr>
        <w:spacing w:before="120" w:after="120" w:line="360" w:lineRule="auto"/>
        <w:ind w:left="360"/>
        <w:jc w:val="center"/>
        <w:rPr>
          <w:rFonts w:ascii="Rockwell" w:hAnsi="Rockwell"/>
          <w:bCs/>
          <w:i/>
        </w:rPr>
      </w:pPr>
      <w:r>
        <w:rPr>
          <w:rFonts w:ascii="Rockwell" w:hAnsi="Rockwell"/>
          <w:b/>
          <w:bCs/>
          <w:i/>
          <w:u w:val="single"/>
        </w:rPr>
        <w:t>Tableau n°18 :</w:t>
      </w:r>
      <w:r>
        <w:rPr>
          <w:rFonts w:ascii="Rockwell" w:hAnsi="Rockwell"/>
          <w:bCs/>
          <w:i/>
        </w:rPr>
        <w:t xml:space="preserve"> Classement général des informations thématiques dans les médias audiovisuels</w:t>
      </w:r>
    </w:p>
    <w:tbl>
      <w:tblPr>
        <w:tblpPr w:leftFromText="141" w:rightFromText="141" w:vertAnchor="text" w:horzAnchor="margin" w:tblpXSpec="center" w:tblpY="-36"/>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9"/>
        <w:gridCol w:w="2126"/>
        <w:gridCol w:w="1637"/>
        <w:gridCol w:w="1799"/>
        <w:gridCol w:w="1970"/>
      </w:tblGrid>
      <w:tr w:rsidR="00733207" w14:paraId="4868FE09" w14:textId="77777777">
        <w:trPr>
          <w:trHeight w:val="88"/>
        </w:trPr>
        <w:tc>
          <w:tcPr>
            <w:tcW w:w="9981" w:type="dxa"/>
            <w:gridSpan w:val="5"/>
            <w:shd w:val="clear" w:color="auto" w:fill="auto"/>
          </w:tcPr>
          <w:p w14:paraId="32B0EC60" w14:textId="77777777" w:rsidR="00733207" w:rsidRDefault="00912BAE">
            <w:pPr>
              <w:spacing w:before="120" w:after="120" w:line="360" w:lineRule="auto"/>
              <w:jc w:val="both"/>
              <w:rPr>
                <w:rFonts w:ascii="Rockwell" w:eastAsia="Times New Roman" w:hAnsi="Rockwell" w:cs="Calibri"/>
                <w:b/>
                <w:bCs/>
                <w:color w:val="000000"/>
                <w:sz w:val="24"/>
                <w:szCs w:val="24"/>
              </w:rPr>
            </w:pPr>
            <w:bookmarkStart w:id="314" w:name="_Hlk161040593"/>
            <w:r>
              <w:rPr>
                <w:rFonts w:ascii="Rockwell" w:eastAsia="Times New Roman" w:hAnsi="Rockwell" w:cs="Calibri"/>
                <w:b/>
                <w:bCs/>
                <w:color w:val="000000"/>
                <w:sz w:val="24"/>
                <w:szCs w:val="24"/>
              </w:rPr>
              <w:t>MEDIAS AUDIOVISUELS</w:t>
            </w:r>
          </w:p>
        </w:tc>
      </w:tr>
      <w:tr w:rsidR="00733207" w14:paraId="35FC4D29" w14:textId="77777777">
        <w:trPr>
          <w:trHeight w:val="88"/>
        </w:trPr>
        <w:tc>
          <w:tcPr>
            <w:tcW w:w="2449" w:type="dxa"/>
            <w:shd w:val="clear" w:color="auto" w:fill="auto"/>
          </w:tcPr>
          <w:p w14:paraId="7EE66CF7"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THEMES</w:t>
            </w:r>
          </w:p>
        </w:tc>
        <w:tc>
          <w:tcPr>
            <w:tcW w:w="2126" w:type="dxa"/>
            <w:shd w:val="clear" w:color="auto" w:fill="auto"/>
          </w:tcPr>
          <w:p w14:paraId="68EF4DCB"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TA</w:t>
            </w:r>
          </w:p>
        </w:tc>
        <w:tc>
          <w:tcPr>
            <w:tcW w:w="1637" w:type="dxa"/>
            <w:shd w:val="clear" w:color="auto" w:fill="auto"/>
          </w:tcPr>
          <w:p w14:paraId="3F884D92"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TA</w:t>
            </w:r>
          </w:p>
        </w:tc>
        <w:tc>
          <w:tcPr>
            <w:tcW w:w="1799" w:type="dxa"/>
            <w:shd w:val="clear" w:color="auto" w:fill="auto"/>
          </w:tcPr>
          <w:p w14:paraId="6B14B84C"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TP</w:t>
            </w:r>
          </w:p>
        </w:tc>
        <w:tc>
          <w:tcPr>
            <w:tcW w:w="1968" w:type="dxa"/>
            <w:shd w:val="clear" w:color="auto" w:fill="auto"/>
          </w:tcPr>
          <w:p w14:paraId="14EF28C8"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TP</w:t>
            </w:r>
          </w:p>
        </w:tc>
      </w:tr>
      <w:tr w:rsidR="00733207" w14:paraId="1E8C7328" w14:textId="77777777">
        <w:trPr>
          <w:trHeight w:val="88"/>
        </w:trPr>
        <w:tc>
          <w:tcPr>
            <w:tcW w:w="2449" w:type="dxa"/>
            <w:shd w:val="clear" w:color="auto" w:fill="auto"/>
          </w:tcPr>
          <w:p w14:paraId="2B28E2D5"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POLITIQUE</w:t>
            </w:r>
          </w:p>
        </w:tc>
        <w:tc>
          <w:tcPr>
            <w:tcW w:w="2126" w:type="dxa"/>
            <w:shd w:val="clear" w:color="auto" w:fill="auto"/>
          </w:tcPr>
          <w:p w14:paraId="5A92BD0D"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75:</w:t>
            </w:r>
            <w:proofErr w:type="gramEnd"/>
            <w:r>
              <w:rPr>
                <w:rFonts w:ascii="Rockwell" w:eastAsia="Times New Roman" w:hAnsi="Rockwell" w:cs="Calibri"/>
                <w:color w:val="000000"/>
                <w:sz w:val="24"/>
                <w:szCs w:val="24"/>
              </w:rPr>
              <w:t>40:02</w:t>
            </w:r>
          </w:p>
        </w:tc>
        <w:tc>
          <w:tcPr>
            <w:tcW w:w="1637" w:type="dxa"/>
            <w:shd w:val="clear" w:color="auto" w:fill="auto"/>
          </w:tcPr>
          <w:p w14:paraId="4A6B73FD"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28,64%</w:t>
            </w:r>
          </w:p>
        </w:tc>
        <w:tc>
          <w:tcPr>
            <w:tcW w:w="1799" w:type="dxa"/>
            <w:shd w:val="clear" w:color="auto" w:fill="auto"/>
          </w:tcPr>
          <w:p w14:paraId="174D89B4"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31:</w:t>
            </w:r>
            <w:proofErr w:type="gramEnd"/>
            <w:r>
              <w:rPr>
                <w:rFonts w:ascii="Rockwell" w:eastAsia="Times New Roman" w:hAnsi="Rockwell" w:cs="Calibri"/>
                <w:color w:val="000000"/>
                <w:sz w:val="24"/>
                <w:szCs w:val="24"/>
              </w:rPr>
              <w:t>44:56</w:t>
            </w:r>
          </w:p>
        </w:tc>
        <w:tc>
          <w:tcPr>
            <w:tcW w:w="1968" w:type="dxa"/>
            <w:shd w:val="clear" w:color="auto" w:fill="auto"/>
          </w:tcPr>
          <w:p w14:paraId="14A87B3C"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33,29%</w:t>
            </w:r>
          </w:p>
        </w:tc>
      </w:tr>
      <w:tr w:rsidR="00733207" w14:paraId="2A8F55E1" w14:textId="77777777">
        <w:trPr>
          <w:trHeight w:val="88"/>
        </w:trPr>
        <w:tc>
          <w:tcPr>
            <w:tcW w:w="2449" w:type="dxa"/>
            <w:shd w:val="clear" w:color="auto" w:fill="auto"/>
          </w:tcPr>
          <w:p w14:paraId="0D2A8E84"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SOCIETE</w:t>
            </w:r>
          </w:p>
        </w:tc>
        <w:tc>
          <w:tcPr>
            <w:tcW w:w="2126" w:type="dxa"/>
            <w:shd w:val="clear" w:color="auto" w:fill="auto"/>
          </w:tcPr>
          <w:p w14:paraId="34AA0E48"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74:</w:t>
            </w:r>
            <w:proofErr w:type="gramEnd"/>
            <w:r>
              <w:rPr>
                <w:rFonts w:ascii="Rockwell" w:eastAsia="Times New Roman" w:hAnsi="Rockwell" w:cs="Calibri"/>
                <w:color w:val="000000"/>
                <w:sz w:val="24"/>
                <w:szCs w:val="24"/>
              </w:rPr>
              <w:t>38:31</w:t>
            </w:r>
          </w:p>
        </w:tc>
        <w:tc>
          <w:tcPr>
            <w:tcW w:w="1637" w:type="dxa"/>
            <w:shd w:val="clear" w:color="auto" w:fill="auto"/>
          </w:tcPr>
          <w:p w14:paraId="7AF2C010"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28,25%</w:t>
            </w:r>
          </w:p>
        </w:tc>
        <w:tc>
          <w:tcPr>
            <w:tcW w:w="1799" w:type="dxa"/>
            <w:shd w:val="clear" w:color="auto" w:fill="auto"/>
          </w:tcPr>
          <w:p w14:paraId="4DBF12D5"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27:</w:t>
            </w:r>
            <w:proofErr w:type="gramEnd"/>
            <w:r>
              <w:rPr>
                <w:rFonts w:ascii="Rockwell" w:eastAsia="Times New Roman" w:hAnsi="Rockwell" w:cs="Calibri"/>
                <w:color w:val="000000"/>
                <w:sz w:val="24"/>
                <w:szCs w:val="24"/>
              </w:rPr>
              <w:t>27:39</w:t>
            </w:r>
          </w:p>
        </w:tc>
        <w:tc>
          <w:tcPr>
            <w:tcW w:w="1968" w:type="dxa"/>
            <w:shd w:val="clear" w:color="auto" w:fill="auto"/>
          </w:tcPr>
          <w:p w14:paraId="36425A4F"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28,79%</w:t>
            </w:r>
          </w:p>
        </w:tc>
      </w:tr>
      <w:tr w:rsidR="00733207" w14:paraId="3CE2ED9F" w14:textId="77777777">
        <w:trPr>
          <w:trHeight w:val="88"/>
        </w:trPr>
        <w:tc>
          <w:tcPr>
            <w:tcW w:w="2449" w:type="dxa"/>
            <w:shd w:val="clear" w:color="auto" w:fill="auto"/>
          </w:tcPr>
          <w:p w14:paraId="57DE4FA9"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SANTE</w:t>
            </w:r>
          </w:p>
        </w:tc>
        <w:tc>
          <w:tcPr>
            <w:tcW w:w="2126" w:type="dxa"/>
            <w:shd w:val="clear" w:color="auto" w:fill="auto"/>
          </w:tcPr>
          <w:p w14:paraId="06A2E5B5"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30:</w:t>
            </w:r>
            <w:proofErr w:type="gramEnd"/>
            <w:r>
              <w:rPr>
                <w:rFonts w:ascii="Rockwell" w:eastAsia="Times New Roman" w:hAnsi="Rockwell" w:cs="Calibri"/>
                <w:color w:val="000000"/>
                <w:sz w:val="24"/>
                <w:szCs w:val="24"/>
              </w:rPr>
              <w:t>58:12</w:t>
            </w:r>
          </w:p>
        </w:tc>
        <w:tc>
          <w:tcPr>
            <w:tcW w:w="1637" w:type="dxa"/>
            <w:shd w:val="clear" w:color="auto" w:fill="auto"/>
          </w:tcPr>
          <w:p w14:paraId="32530607"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11,72%</w:t>
            </w:r>
          </w:p>
        </w:tc>
        <w:tc>
          <w:tcPr>
            <w:tcW w:w="1799" w:type="dxa"/>
            <w:shd w:val="clear" w:color="auto" w:fill="auto"/>
          </w:tcPr>
          <w:p w14:paraId="361B1A01"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10:</w:t>
            </w:r>
            <w:proofErr w:type="gramEnd"/>
            <w:r>
              <w:rPr>
                <w:rFonts w:ascii="Rockwell" w:eastAsia="Times New Roman" w:hAnsi="Rockwell" w:cs="Calibri"/>
                <w:color w:val="000000"/>
                <w:sz w:val="24"/>
                <w:szCs w:val="24"/>
              </w:rPr>
              <w:t>25:14</w:t>
            </w:r>
          </w:p>
        </w:tc>
        <w:tc>
          <w:tcPr>
            <w:tcW w:w="1968" w:type="dxa"/>
            <w:shd w:val="clear" w:color="auto" w:fill="auto"/>
          </w:tcPr>
          <w:p w14:paraId="48C15B93"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10,92%</w:t>
            </w:r>
          </w:p>
        </w:tc>
      </w:tr>
      <w:tr w:rsidR="00733207" w14:paraId="658E98E4" w14:textId="77777777">
        <w:trPr>
          <w:trHeight w:val="88"/>
        </w:trPr>
        <w:tc>
          <w:tcPr>
            <w:tcW w:w="2449" w:type="dxa"/>
            <w:shd w:val="clear" w:color="auto" w:fill="auto"/>
          </w:tcPr>
          <w:p w14:paraId="68C2B0B8"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SECURITE</w:t>
            </w:r>
          </w:p>
        </w:tc>
        <w:tc>
          <w:tcPr>
            <w:tcW w:w="2126" w:type="dxa"/>
            <w:shd w:val="clear" w:color="auto" w:fill="auto"/>
          </w:tcPr>
          <w:p w14:paraId="10027962"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27:</w:t>
            </w:r>
            <w:proofErr w:type="gramEnd"/>
            <w:r>
              <w:rPr>
                <w:rFonts w:ascii="Rockwell" w:eastAsia="Times New Roman" w:hAnsi="Rockwell" w:cs="Calibri"/>
                <w:color w:val="000000"/>
                <w:sz w:val="24"/>
                <w:szCs w:val="24"/>
              </w:rPr>
              <w:t>43:58</w:t>
            </w:r>
          </w:p>
        </w:tc>
        <w:tc>
          <w:tcPr>
            <w:tcW w:w="1637" w:type="dxa"/>
            <w:shd w:val="clear" w:color="auto" w:fill="auto"/>
          </w:tcPr>
          <w:p w14:paraId="49F765B7"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10,50%</w:t>
            </w:r>
          </w:p>
        </w:tc>
        <w:tc>
          <w:tcPr>
            <w:tcW w:w="1799" w:type="dxa"/>
            <w:shd w:val="clear" w:color="auto" w:fill="auto"/>
          </w:tcPr>
          <w:p w14:paraId="3305F167"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10:</w:t>
            </w:r>
            <w:proofErr w:type="gramEnd"/>
            <w:r>
              <w:rPr>
                <w:rFonts w:ascii="Rockwell" w:eastAsia="Times New Roman" w:hAnsi="Rockwell" w:cs="Calibri"/>
                <w:color w:val="000000"/>
                <w:sz w:val="24"/>
                <w:szCs w:val="24"/>
              </w:rPr>
              <w:t>05:12</w:t>
            </w:r>
          </w:p>
        </w:tc>
        <w:tc>
          <w:tcPr>
            <w:tcW w:w="1968" w:type="dxa"/>
            <w:shd w:val="clear" w:color="auto" w:fill="auto"/>
          </w:tcPr>
          <w:p w14:paraId="060AC0AE"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10,57%</w:t>
            </w:r>
          </w:p>
        </w:tc>
      </w:tr>
      <w:tr w:rsidR="00733207" w14:paraId="724F94F7" w14:textId="77777777">
        <w:trPr>
          <w:trHeight w:val="88"/>
        </w:trPr>
        <w:tc>
          <w:tcPr>
            <w:tcW w:w="2449" w:type="dxa"/>
            <w:shd w:val="clear" w:color="auto" w:fill="auto"/>
          </w:tcPr>
          <w:p w14:paraId="2A8C602F"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ECONOMIE</w:t>
            </w:r>
          </w:p>
        </w:tc>
        <w:tc>
          <w:tcPr>
            <w:tcW w:w="2126" w:type="dxa"/>
            <w:shd w:val="clear" w:color="auto" w:fill="auto"/>
          </w:tcPr>
          <w:p w14:paraId="6652C07E"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27:</w:t>
            </w:r>
            <w:proofErr w:type="gramEnd"/>
            <w:r>
              <w:rPr>
                <w:rFonts w:ascii="Rockwell" w:eastAsia="Times New Roman" w:hAnsi="Rockwell" w:cs="Calibri"/>
                <w:color w:val="000000"/>
                <w:sz w:val="24"/>
                <w:szCs w:val="24"/>
              </w:rPr>
              <w:t>31:52</w:t>
            </w:r>
          </w:p>
        </w:tc>
        <w:tc>
          <w:tcPr>
            <w:tcW w:w="1637" w:type="dxa"/>
            <w:shd w:val="clear" w:color="auto" w:fill="auto"/>
          </w:tcPr>
          <w:p w14:paraId="0FAF7E50"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10,42%</w:t>
            </w:r>
          </w:p>
        </w:tc>
        <w:tc>
          <w:tcPr>
            <w:tcW w:w="1799" w:type="dxa"/>
            <w:shd w:val="clear" w:color="auto" w:fill="auto"/>
          </w:tcPr>
          <w:p w14:paraId="5A8D830D"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8:</w:t>
            </w:r>
            <w:proofErr w:type="gramEnd"/>
            <w:r>
              <w:rPr>
                <w:rFonts w:ascii="Rockwell" w:eastAsia="Times New Roman" w:hAnsi="Rockwell" w:cs="Calibri"/>
                <w:color w:val="000000"/>
                <w:sz w:val="24"/>
                <w:szCs w:val="24"/>
              </w:rPr>
              <w:t>49:52</w:t>
            </w:r>
          </w:p>
        </w:tc>
        <w:tc>
          <w:tcPr>
            <w:tcW w:w="1968" w:type="dxa"/>
            <w:shd w:val="clear" w:color="auto" w:fill="auto"/>
          </w:tcPr>
          <w:p w14:paraId="01E96836"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9,26%</w:t>
            </w:r>
          </w:p>
        </w:tc>
      </w:tr>
      <w:tr w:rsidR="00733207" w14:paraId="03C93FF0" w14:textId="77777777">
        <w:trPr>
          <w:trHeight w:val="88"/>
        </w:trPr>
        <w:tc>
          <w:tcPr>
            <w:tcW w:w="2449" w:type="dxa"/>
            <w:shd w:val="clear" w:color="auto" w:fill="auto"/>
          </w:tcPr>
          <w:p w14:paraId="7212AE28"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CULTURE</w:t>
            </w:r>
          </w:p>
        </w:tc>
        <w:tc>
          <w:tcPr>
            <w:tcW w:w="2126" w:type="dxa"/>
            <w:shd w:val="clear" w:color="auto" w:fill="auto"/>
          </w:tcPr>
          <w:p w14:paraId="51B030FD"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19:</w:t>
            </w:r>
            <w:proofErr w:type="gramEnd"/>
            <w:r>
              <w:rPr>
                <w:rFonts w:ascii="Rockwell" w:eastAsia="Times New Roman" w:hAnsi="Rockwell" w:cs="Calibri"/>
                <w:color w:val="000000"/>
                <w:sz w:val="24"/>
                <w:szCs w:val="24"/>
              </w:rPr>
              <w:t>35:20</w:t>
            </w:r>
          </w:p>
        </w:tc>
        <w:tc>
          <w:tcPr>
            <w:tcW w:w="1637" w:type="dxa"/>
            <w:shd w:val="clear" w:color="auto" w:fill="auto"/>
          </w:tcPr>
          <w:p w14:paraId="6F542882"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7,41%</w:t>
            </w:r>
          </w:p>
        </w:tc>
        <w:tc>
          <w:tcPr>
            <w:tcW w:w="1799" w:type="dxa"/>
            <w:shd w:val="clear" w:color="auto" w:fill="auto"/>
          </w:tcPr>
          <w:p w14:paraId="0AA2F1D3"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w:t>
            </w:r>
            <w:proofErr w:type="gramEnd"/>
            <w:r>
              <w:rPr>
                <w:rFonts w:ascii="Rockwell" w:eastAsia="Times New Roman" w:hAnsi="Rockwell" w:cs="Calibri"/>
                <w:color w:val="000000"/>
                <w:sz w:val="24"/>
                <w:szCs w:val="24"/>
              </w:rPr>
              <w:t>02:13</w:t>
            </w:r>
          </w:p>
        </w:tc>
        <w:tc>
          <w:tcPr>
            <w:tcW w:w="1968" w:type="dxa"/>
            <w:shd w:val="clear" w:color="auto" w:fill="auto"/>
          </w:tcPr>
          <w:p w14:paraId="2823E307"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5,28%</w:t>
            </w:r>
          </w:p>
        </w:tc>
      </w:tr>
      <w:tr w:rsidR="00733207" w14:paraId="4F6BCA1D" w14:textId="77777777">
        <w:trPr>
          <w:trHeight w:val="88"/>
        </w:trPr>
        <w:tc>
          <w:tcPr>
            <w:tcW w:w="2449" w:type="dxa"/>
            <w:shd w:val="clear" w:color="auto" w:fill="auto"/>
          </w:tcPr>
          <w:p w14:paraId="5AA69D19"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RELIGION</w:t>
            </w:r>
          </w:p>
        </w:tc>
        <w:tc>
          <w:tcPr>
            <w:tcW w:w="2126" w:type="dxa"/>
            <w:shd w:val="clear" w:color="auto" w:fill="auto"/>
          </w:tcPr>
          <w:p w14:paraId="44E5A9CA"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8:</w:t>
            </w:r>
            <w:proofErr w:type="gramEnd"/>
            <w:r>
              <w:rPr>
                <w:rFonts w:ascii="Rockwell" w:eastAsia="Times New Roman" w:hAnsi="Rockwell" w:cs="Calibri"/>
                <w:color w:val="000000"/>
                <w:sz w:val="24"/>
                <w:szCs w:val="24"/>
              </w:rPr>
              <w:t>06:03</w:t>
            </w:r>
          </w:p>
        </w:tc>
        <w:tc>
          <w:tcPr>
            <w:tcW w:w="1637" w:type="dxa"/>
            <w:shd w:val="clear" w:color="auto" w:fill="auto"/>
          </w:tcPr>
          <w:p w14:paraId="39AF7ED4"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3,07%</w:t>
            </w:r>
          </w:p>
        </w:tc>
        <w:tc>
          <w:tcPr>
            <w:tcW w:w="1799" w:type="dxa"/>
            <w:shd w:val="clear" w:color="auto" w:fill="auto"/>
          </w:tcPr>
          <w:p w14:paraId="1CA159B1"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w:t>
            </w:r>
            <w:proofErr w:type="gramEnd"/>
            <w:r>
              <w:rPr>
                <w:rFonts w:ascii="Rockwell" w:eastAsia="Times New Roman" w:hAnsi="Rockwell" w:cs="Calibri"/>
                <w:color w:val="000000"/>
                <w:sz w:val="24"/>
                <w:szCs w:val="24"/>
              </w:rPr>
              <w:t>47:56</w:t>
            </w:r>
          </w:p>
        </w:tc>
        <w:tc>
          <w:tcPr>
            <w:tcW w:w="1968" w:type="dxa"/>
            <w:shd w:val="clear" w:color="auto" w:fill="auto"/>
          </w:tcPr>
          <w:p w14:paraId="74FAAA7F"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1,89%</w:t>
            </w:r>
          </w:p>
        </w:tc>
      </w:tr>
      <w:tr w:rsidR="00733207" w14:paraId="0A4DDAB0" w14:textId="77777777">
        <w:trPr>
          <w:trHeight w:val="88"/>
        </w:trPr>
        <w:tc>
          <w:tcPr>
            <w:tcW w:w="2449" w:type="dxa"/>
            <w:shd w:val="clear" w:color="auto" w:fill="auto"/>
          </w:tcPr>
          <w:p w14:paraId="75359DAA"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GENRE</w:t>
            </w:r>
          </w:p>
        </w:tc>
        <w:tc>
          <w:tcPr>
            <w:tcW w:w="2126" w:type="dxa"/>
            <w:shd w:val="clear" w:color="auto" w:fill="auto"/>
          </w:tcPr>
          <w:p w14:paraId="24EE6883"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00:00</w:t>
            </w:r>
          </w:p>
        </w:tc>
        <w:tc>
          <w:tcPr>
            <w:tcW w:w="1637" w:type="dxa"/>
            <w:shd w:val="clear" w:color="auto" w:fill="auto"/>
          </w:tcPr>
          <w:p w14:paraId="692C36D7"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0,00%</w:t>
            </w:r>
          </w:p>
        </w:tc>
        <w:tc>
          <w:tcPr>
            <w:tcW w:w="1799" w:type="dxa"/>
            <w:shd w:val="clear" w:color="auto" w:fill="auto"/>
          </w:tcPr>
          <w:p w14:paraId="6040BA5C" w14:textId="77777777" w:rsidR="00733207" w:rsidRDefault="00912BAE">
            <w:pPr>
              <w:spacing w:before="120" w:after="12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00:00</w:t>
            </w:r>
          </w:p>
        </w:tc>
        <w:tc>
          <w:tcPr>
            <w:tcW w:w="1968" w:type="dxa"/>
            <w:shd w:val="clear" w:color="auto" w:fill="auto"/>
          </w:tcPr>
          <w:p w14:paraId="2E3A369C" w14:textId="77777777" w:rsidR="00733207" w:rsidRDefault="00912BAE">
            <w:pPr>
              <w:spacing w:before="120" w:after="12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0,00%</w:t>
            </w:r>
          </w:p>
        </w:tc>
      </w:tr>
      <w:tr w:rsidR="00733207" w14:paraId="2D06CB69" w14:textId="77777777">
        <w:trPr>
          <w:trHeight w:val="88"/>
        </w:trPr>
        <w:tc>
          <w:tcPr>
            <w:tcW w:w="2449" w:type="dxa"/>
            <w:shd w:val="clear" w:color="auto" w:fill="auto"/>
          </w:tcPr>
          <w:p w14:paraId="67CB4782"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2126" w:type="dxa"/>
            <w:shd w:val="clear" w:color="auto" w:fill="auto"/>
          </w:tcPr>
          <w:p w14:paraId="7C83418E" w14:textId="77777777" w:rsidR="00733207" w:rsidRDefault="00912BAE">
            <w:pPr>
              <w:spacing w:before="120" w:after="12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264:</w:t>
            </w:r>
            <w:proofErr w:type="gramEnd"/>
            <w:r>
              <w:rPr>
                <w:rFonts w:ascii="Rockwell" w:eastAsia="Times New Roman" w:hAnsi="Rockwell" w:cs="Calibri"/>
                <w:b/>
                <w:bCs/>
                <w:color w:val="000000"/>
                <w:sz w:val="24"/>
                <w:szCs w:val="24"/>
              </w:rPr>
              <w:t>13:58</w:t>
            </w:r>
          </w:p>
        </w:tc>
        <w:tc>
          <w:tcPr>
            <w:tcW w:w="1637" w:type="dxa"/>
            <w:shd w:val="clear" w:color="auto" w:fill="auto"/>
          </w:tcPr>
          <w:p w14:paraId="5276E40A"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799" w:type="dxa"/>
            <w:shd w:val="clear" w:color="auto" w:fill="auto"/>
          </w:tcPr>
          <w:p w14:paraId="36172C6C" w14:textId="77777777" w:rsidR="00733207" w:rsidRDefault="00912BAE">
            <w:pPr>
              <w:spacing w:before="120" w:after="12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95:</w:t>
            </w:r>
            <w:proofErr w:type="gramEnd"/>
            <w:r>
              <w:rPr>
                <w:rFonts w:ascii="Rockwell" w:eastAsia="Times New Roman" w:hAnsi="Rockwell" w:cs="Calibri"/>
                <w:b/>
                <w:bCs/>
                <w:color w:val="000000"/>
                <w:sz w:val="24"/>
                <w:szCs w:val="24"/>
              </w:rPr>
              <w:t>23:02</w:t>
            </w:r>
          </w:p>
        </w:tc>
        <w:tc>
          <w:tcPr>
            <w:tcW w:w="1968" w:type="dxa"/>
            <w:shd w:val="clear" w:color="auto" w:fill="auto"/>
          </w:tcPr>
          <w:p w14:paraId="32100E71" w14:textId="77777777" w:rsidR="00733207" w:rsidRDefault="00912BAE">
            <w:pPr>
              <w:spacing w:before="120" w:after="12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bookmarkEnd w:id="314"/>
    <w:p w14:paraId="78B6441F" w14:textId="77777777" w:rsidR="00733207" w:rsidRDefault="00912BAE">
      <w:pPr>
        <w:spacing w:before="120" w:after="120" w:line="360" w:lineRule="auto"/>
        <w:ind w:hanging="141"/>
        <w:jc w:val="both"/>
        <w:rPr>
          <w:rFonts w:ascii="Rockwell" w:hAnsi="Rockwell"/>
          <w:i/>
          <w:u w:val="single"/>
        </w:rPr>
      </w:pPr>
      <w:r>
        <w:rPr>
          <w:rFonts w:ascii="Rockwell" w:hAnsi="Rockwell"/>
          <w:b/>
          <w:i/>
          <w:u w:val="single"/>
        </w:rPr>
        <w:t>Source</w:t>
      </w:r>
      <w:r>
        <w:rPr>
          <w:rFonts w:ascii="Rockwell" w:hAnsi="Rockwell"/>
          <w:i/>
          <w:u w:val="single"/>
        </w:rPr>
        <w:t> </w:t>
      </w:r>
      <w:r>
        <w:rPr>
          <w:rFonts w:ascii="Rockwell" w:hAnsi="Rockwell"/>
          <w:i/>
        </w:rPr>
        <w:t>: CSC</w:t>
      </w:r>
    </w:p>
    <w:p w14:paraId="52206D29" w14:textId="77777777" w:rsidR="00733207" w:rsidRDefault="00733207">
      <w:pPr>
        <w:spacing w:before="120" w:after="120" w:line="360" w:lineRule="auto"/>
        <w:jc w:val="both"/>
        <w:rPr>
          <w:rFonts w:ascii="Rockwell" w:hAnsi="Rockwell"/>
          <w:b/>
          <w:sz w:val="10"/>
          <w:szCs w:val="10"/>
          <w:u w:val="single"/>
        </w:rPr>
        <w:sectPr w:rsidR="00733207">
          <w:pgSz w:w="11906" w:h="16838"/>
          <w:pgMar w:top="1418" w:right="851" w:bottom="1560" w:left="1560" w:header="426" w:footer="567" w:gutter="0"/>
          <w:cols w:space="708"/>
          <w:docGrid w:linePitch="360"/>
        </w:sectPr>
      </w:pPr>
    </w:p>
    <w:p w14:paraId="21DC4169" w14:textId="77777777" w:rsidR="00733207" w:rsidRDefault="00912BAE">
      <w:pPr>
        <w:spacing w:before="120" w:after="120" w:line="360" w:lineRule="auto"/>
        <w:ind w:left="426" w:hanging="294"/>
        <w:jc w:val="center"/>
        <w:rPr>
          <w:rFonts w:ascii="Rockwell" w:hAnsi="Rockwell"/>
          <w:bCs/>
          <w:i/>
        </w:rPr>
      </w:pPr>
      <w:r>
        <w:rPr>
          <w:rFonts w:ascii="Rockwell" w:hAnsi="Rockwell"/>
          <w:b/>
          <w:bCs/>
          <w:i/>
          <w:u w:val="single"/>
        </w:rPr>
        <w:lastRenderedPageBreak/>
        <w:t>Graphique n°16</w:t>
      </w:r>
      <w:r>
        <w:rPr>
          <w:rFonts w:ascii="Rockwell" w:hAnsi="Rockwell"/>
          <w:bCs/>
          <w:i/>
        </w:rPr>
        <w:t> : Représentation des informations thématiques dans les médias audiovisuels</w:t>
      </w:r>
    </w:p>
    <w:p w14:paraId="19C626C6" w14:textId="77777777" w:rsidR="00733207" w:rsidRDefault="00733207">
      <w:pPr>
        <w:spacing w:before="120" w:after="120" w:line="360" w:lineRule="auto"/>
        <w:ind w:left="720"/>
        <w:jc w:val="both"/>
        <w:rPr>
          <w:rFonts w:ascii="Rockwell" w:hAnsi="Rockwell"/>
          <w:b/>
          <w:bCs/>
          <w:sz w:val="10"/>
          <w:szCs w:val="10"/>
        </w:rPr>
      </w:pPr>
    </w:p>
    <w:p w14:paraId="61CA344C" w14:textId="77777777" w:rsidR="00733207" w:rsidRDefault="00912BAE">
      <w:pPr>
        <w:spacing w:before="120" w:after="120" w:line="360" w:lineRule="auto"/>
        <w:jc w:val="center"/>
        <w:rPr>
          <w:rFonts w:ascii="Rockwell" w:hAnsi="Rockwell"/>
          <w:bCs/>
          <w:sz w:val="26"/>
          <w:szCs w:val="26"/>
        </w:rPr>
      </w:pPr>
      <w:r>
        <w:rPr>
          <w:rFonts w:ascii="Rockwell" w:hAnsi="Rockwell"/>
          <w:noProof/>
          <w:sz w:val="26"/>
          <w:szCs w:val="26"/>
          <w:lang w:eastAsia="fr-FR"/>
        </w:rPr>
        <w:drawing>
          <wp:inline distT="0" distB="0" distL="0" distR="0" wp14:anchorId="1ED04D60" wp14:editId="38350C48">
            <wp:extent cx="5426075" cy="3095625"/>
            <wp:effectExtent l="0" t="0" r="3175" b="9525"/>
            <wp:docPr id="23" name="Graphique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2545348F" w14:textId="77777777" w:rsidR="00733207" w:rsidRDefault="00733207">
      <w:pPr>
        <w:spacing w:after="0" w:line="240" w:lineRule="auto"/>
        <w:ind w:left="993"/>
        <w:jc w:val="both"/>
        <w:rPr>
          <w:rFonts w:ascii="Rockwell" w:hAnsi="Rockwell"/>
          <w:b/>
          <w:bCs/>
          <w:i/>
          <w:sz w:val="18"/>
          <w:szCs w:val="18"/>
          <w:u w:val="single"/>
        </w:rPr>
      </w:pPr>
    </w:p>
    <w:p w14:paraId="6AFE0978" w14:textId="77777777" w:rsidR="00733207" w:rsidRDefault="00733207">
      <w:pPr>
        <w:spacing w:after="0" w:line="240" w:lineRule="auto"/>
        <w:ind w:left="993"/>
        <w:jc w:val="both"/>
        <w:rPr>
          <w:rFonts w:ascii="Rockwell" w:hAnsi="Rockwell"/>
          <w:b/>
          <w:bCs/>
          <w:i/>
          <w:sz w:val="18"/>
          <w:szCs w:val="18"/>
          <w:u w:val="single"/>
        </w:rPr>
      </w:pPr>
    </w:p>
    <w:p w14:paraId="2EBE314A" w14:textId="77777777" w:rsidR="00733207" w:rsidRDefault="00912BAE">
      <w:pPr>
        <w:spacing w:after="0" w:line="240" w:lineRule="auto"/>
        <w:ind w:left="709"/>
        <w:jc w:val="center"/>
        <w:rPr>
          <w:rFonts w:ascii="Rockwell" w:hAnsi="Rockwell"/>
          <w:bCs/>
          <w:i/>
        </w:rPr>
      </w:pPr>
      <w:r>
        <w:rPr>
          <w:rFonts w:ascii="Rockwell" w:hAnsi="Rockwell"/>
          <w:b/>
          <w:bCs/>
          <w:i/>
          <w:u w:val="single"/>
        </w:rPr>
        <w:t>Tableau n°19</w:t>
      </w:r>
      <w:r>
        <w:rPr>
          <w:rFonts w:ascii="Rockwell" w:hAnsi="Rockwell"/>
          <w:bCs/>
          <w:i/>
        </w:rPr>
        <w:t xml:space="preserve"> : Classement des informations thématiques selon les TA et TP dans les radios (publiques et privées)</w:t>
      </w:r>
    </w:p>
    <w:p w14:paraId="51759E8D" w14:textId="77777777" w:rsidR="00733207" w:rsidRDefault="00733207">
      <w:pPr>
        <w:spacing w:after="0" w:line="240" w:lineRule="auto"/>
        <w:ind w:left="993"/>
        <w:jc w:val="both"/>
        <w:rPr>
          <w:rFonts w:ascii="Rockwell" w:hAnsi="Rockwell"/>
          <w:bCs/>
          <w:i/>
        </w:rPr>
      </w:pP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1694"/>
        <w:gridCol w:w="1701"/>
        <w:gridCol w:w="1694"/>
        <w:gridCol w:w="1708"/>
      </w:tblGrid>
      <w:tr w:rsidR="00733207" w14:paraId="2FF3059D" w14:textId="77777777">
        <w:trPr>
          <w:trHeight w:val="504"/>
          <w:jc w:val="center"/>
        </w:trPr>
        <w:tc>
          <w:tcPr>
            <w:tcW w:w="9204" w:type="dxa"/>
            <w:gridSpan w:val="5"/>
            <w:shd w:val="clear" w:color="auto" w:fill="auto"/>
          </w:tcPr>
          <w:p w14:paraId="285069AE" w14:textId="77777777" w:rsidR="00733207" w:rsidRDefault="00912BAE">
            <w:pPr>
              <w:spacing w:after="0" w:line="240" w:lineRule="auto"/>
              <w:jc w:val="both"/>
              <w:rPr>
                <w:rFonts w:ascii="Rockwell" w:eastAsia="Times New Roman" w:hAnsi="Rockwell" w:cs="Calibri"/>
                <w:b/>
                <w:bCs/>
                <w:color w:val="000000"/>
                <w:sz w:val="24"/>
                <w:szCs w:val="24"/>
              </w:rPr>
            </w:pPr>
            <w:bookmarkStart w:id="315" w:name="_Hlk161040700"/>
            <w:r>
              <w:rPr>
                <w:rFonts w:ascii="Rockwell" w:eastAsia="Times New Roman" w:hAnsi="Rockwell" w:cs="Calibri"/>
                <w:b/>
                <w:bCs/>
                <w:color w:val="000000"/>
                <w:sz w:val="24"/>
                <w:szCs w:val="24"/>
              </w:rPr>
              <w:t>RADIOS</w:t>
            </w:r>
          </w:p>
        </w:tc>
      </w:tr>
      <w:tr w:rsidR="00733207" w14:paraId="4686C1E0" w14:textId="77777777">
        <w:trPr>
          <w:trHeight w:val="439"/>
          <w:jc w:val="center"/>
        </w:trPr>
        <w:tc>
          <w:tcPr>
            <w:tcW w:w="2407" w:type="dxa"/>
            <w:shd w:val="clear" w:color="auto" w:fill="auto"/>
          </w:tcPr>
          <w:p w14:paraId="192B23DE"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THEMES</w:t>
            </w:r>
          </w:p>
        </w:tc>
        <w:tc>
          <w:tcPr>
            <w:tcW w:w="1694" w:type="dxa"/>
            <w:shd w:val="clear" w:color="auto" w:fill="auto"/>
          </w:tcPr>
          <w:p w14:paraId="270BA83C"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b/>
                <w:bCs/>
                <w:color w:val="000000"/>
                <w:sz w:val="24"/>
                <w:szCs w:val="24"/>
              </w:rPr>
              <w:t>TA</w:t>
            </w:r>
          </w:p>
        </w:tc>
        <w:tc>
          <w:tcPr>
            <w:tcW w:w="1701" w:type="dxa"/>
            <w:shd w:val="clear" w:color="auto" w:fill="auto"/>
          </w:tcPr>
          <w:p w14:paraId="0541BC33"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b/>
                <w:bCs/>
                <w:color w:val="000000"/>
                <w:sz w:val="24"/>
                <w:szCs w:val="24"/>
              </w:rPr>
              <w:t>% TA</w:t>
            </w:r>
          </w:p>
        </w:tc>
        <w:tc>
          <w:tcPr>
            <w:tcW w:w="1694" w:type="dxa"/>
            <w:shd w:val="clear" w:color="auto" w:fill="auto"/>
          </w:tcPr>
          <w:p w14:paraId="45DD9F0F"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b/>
                <w:bCs/>
                <w:color w:val="000000"/>
                <w:sz w:val="24"/>
                <w:szCs w:val="24"/>
              </w:rPr>
              <w:t>TP</w:t>
            </w:r>
          </w:p>
        </w:tc>
        <w:tc>
          <w:tcPr>
            <w:tcW w:w="1708" w:type="dxa"/>
            <w:shd w:val="clear" w:color="auto" w:fill="auto"/>
          </w:tcPr>
          <w:p w14:paraId="622BD492"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b/>
                <w:bCs/>
                <w:color w:val="000000"/>
                <w:sz w:val="24"/>
                <w:szCs w:val="24"/>
              </w:rPr>
              <w:t>% TP</w:t>
            </w:r>
          </w:p>
        </w:tc>
      </w:tr>
      <w:tr w:rsidR="00733207" w14:paraId="3C358266" w14:textId="77777777">
        <w:trPr>
          <w:trHeight w:val="403"/>
          <w:jc w:val="center"/>
        </w:trPr>
        <w:tc>
          <w:tcPr>
            <w:tcW w:w="2407" w:type="dxa"/>
            <w:shd w:val="clear" w:color="auto" w:fill="auto"/>
          </w:tcPr>
          <w:p w14:paraId="3AC88A3D"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SOCIETE</w:t>
            </w:r>
          </w:p>
        </w:tc>
        <w:tc>
          <w:tcPr>
            <w:tcW w:w="1694" w:type="dxa"/>
            <w:shd w:val="clear" w:color="auto" w:fill="auto"/>
          </w:tcPr>
          <w:p w14:paraId="3A6C1429"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34:</w:t>
            </w:r>
            <w:proofErr w:type="gramEnd"/>
            <w:r>
              <w:rPr>
                <w:rFonts w:ascii="Rockwell" w:eastAsia="Times New Roman" w:hAnsi="Rockwell" w:cs="Calibri"/>
                <w:color w:val="000000"/>
                <w:sz w:val="24"/>
                <w:szCs w:val="24"/>
              </w:rPr>
              <w:t>25:04</w:t>
            </w:r>
          </w:p>
        </w:tc>
        <w:tc>
          <w:tcPr>
            <w:tcW w:w="1701" w:type="dxa"/>
            <w:shd w:val="clear" w:color="auto" w:fill="auto"/>
          </w:tcPr>
          <w:p w14:paraId="5F4E461B"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35,30%</w:t>
            </w:r>
          </w:p>
        </w:tc>
        <w:tc>
          <w:tcPr>
            <w:tcW w:w="1694" w:type="dxa"/>
            <w:shd w:val="clear" w:color="auto" w:fill="auto"/>
          </w:tcPr>
          <w:p w14:paraId="58E45226"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14:</w:t>
            </w:r>
            <w:proofErr w:type="gramEnd"/>
            <w:r>
              <w:rPr>
                <w:rFonts w:ascii="Rockwell" w:eastAsia="Times New Roman" w:hAnsi="Rockwell" w:cs="Calibri"/>
                <w:color w:val="000000"/>
                <w:sz w:val="24"/>
                <w:szCs w:val="24"/>
              </w:rPr>
              <w:t>36:40</w:t>
            </w:r>
          </w:p>
        </w:tc>
        <w:tc>
          <w:tcPr>
            <w:tcW w:w="1708" w:type="dxa"/>
            <w:shd w:val="clear" w:color="auto" w:fill="auto"/>
          </w:tcPr>
          <w:p w14:paraId="4A305B90"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35,30%</w:t>
            </w:r>
          </w:p>
        </w:tc>
      </w:tr>
      <w:tr w:rsidR="00733207" w14:paraId="46F7CC25" w14:textId="77777777">
        <w:trPr>
          <w:trHeight w:val="559"/>
          <w:jc w:val="center"/>
        </w:trPr>
        <w:tc>
          <w:tcPr>
            <w:tcW w:w="2407" w:type="dxa"/>
            <w:shd w:val="clear" w:color="auto" w:fill="auto"/>
          </w:tcPr>
          <w:p w14:paraId="6BD849C9"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POLITIQUE</w:t>
            </w:r>
          </w:p>
        </w:tc>
        <w:tc>
          <w:tcPr>
            <w:tcW w:w="1694" w:type="dxa"/>
            <w:shd w:val="clear" w:color="auto" w:fill="auto"/>
          </w:tcPr>
          <w:p w14:paraId="63938FD7"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24:</w:t>
            </w:r>
            <w:proofErr w:type="gramEnd"/>
            <w:r>
              <w:rPr>
                <w:rFonts w:ascii="Rockwell" w:eastAsia="Times New Roman" w:hAnsi="Rockwell" w:cs="Calibri"/>
                <w:color w:val="000000"/>
                <w:sz w:val="24"/>
                <w:szCs w:val="24"/>
              </w:rPr>
              <w:t>25:02</w:t>
            </w:r>
          </w:p>
        </w:tc>
        <w:tc>
          <w:tcPr>
            <w:tcW w:w="1701" w:type="dxa"/>
            <w:shd w:val="clear" w:color="auto" w:fill="auto"/>
          </w:tcPr>
          <w:p w14:paraId="2F0213A2"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25,04%</w:t>
            </w:r>
          </w:p>
        </w:tc>
        <w:tc>
          <w:tcPr>
            <w:tcW w:w="1694" w:type="dxa"/>
            <w:shd w:val="clear" w:color="auto" w:fill="auto"/>
          </w:tcPr>
          <w:p w14:paraId="7DB7F03C"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12:</w:t>
            </w:r>
            <w:proofErr w:type="gramEnd"/>
            <w:r>
              <w:rPr>
                <w:rFonts w:ascii="Rockwell" w:eastAsia="Times New Roman" w:hAnsi="Rockwell" w:cs="Calibri"/>
                <w:color w:val="000000"/>
                <w:sz w:val="24"/>
                <w:szCs w:val="24"/>
              </w:rPr>
              <w:t>10:05</w:t>
            </w:r>
          </w:p>
        </w:tc>
        <w:tc>
          <w:tcPr>
            <w:tcW w:w="1708" w:type="dxa"/>
            <w:shd w:val="clear" w:color="auto" w:fill="auto"/>
          </w:tcPr>
          <w:p w14:paraId="14882B74"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29,39%</w:t>
            </w:r>
          </w:p>
        </w:tc>
      </w:tr>
      <w:tr w:rsidR="00733207" w14:paraId="124DBC2E" w14:textId="77777777">
        <w:trPr>
          <w:trHeight w:val="417"/>
          <w:jc w:val="center"/>
        </w:trPr>
        <w:tc>
          <w:tcPr>
            <w:tcW w:w="2407" w:type="dxa"/>
            <w:shd w:val="clear" w:color="auto" w:fill="auto"/>
          </w:tcPr>
          <w:p w14:paraId="2B5F7A77"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SANTE</w:t>
            </w:r>
          </w:p>
        </w:tc>
        <w:tc>
          <w:tcPr>
            <w:tcW w:w="1694" w:type="dxa"/>
            <w:shd w:val="clear" w:color="auto" w:fill="auto"/>
          </w:tcPr>
          <w:p w14:paraId="08E9E49A"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11:</w:t>
            </w:r>
            <w:proofErr w:type="gramEnd"/>
            <w:r>
              <w:rPr>
                <w:rFonts w:ascii="Rockwell" w:eastAsia="Times New Roman" w:hAnsi="Rockwell" w:cs="Calibri"/>
                <w:color w:val="000000"/>
                <w:sz w:val="24"/>
                <w:szCs w:val="24"/>
              </w:rPr>
              <w:t>19:56</w:t>
            </w:r>
          </w:p>
        </w:tc>
        <w:tc>
          <w:tcPr>
            <w:tcW w:w="1701" w:type="dxa"/>
            <w:shd w:val="clear" w:color="auto" w:fill="auto"/>
          </w:tcPr>
          <w:p w14:paraId="0FF3925C"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11,62%</w:t>
            </w:r>
          </w:p>
        </w:tc>
        <w:tc>
          <w:tcPr>
            <w:tcW w:w="1694" w:type="dxa"/>
            <w:shd w:val="clear" w:color="auto" w:fill="auto"/>
          </w:tcPr>
          <w:p w14:paraId="0E427F8F"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w:t>
            </w:r>
            <w:proofErr w:type="gramEnd"/>
            <w:r>
              <w:rPr>
                <w:rFonts w:ascii="Rockwell" w:eastAsia="Times New Roman" w:hAnsi="Rockwell" w:cs="Calibri"/>
                <w:color w:val="000000"/>
                <w:sz w:val="24"/>
                <w:szCs w:val="24"/>
              </w:rPr>
              <w:t>15:47</w:t>
            </w:r>
          </w:p>
        </w:tc>
        <w:tc>
          <w:tcPr>
            <w:tcW w:w="1708" w:type="dxa"/>
            <w:shd w:val="clear" w:color="auto" w:fill="auto"/>
          </w:tcPr>
          <w:p w14:paraId="282443E7"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10,30%</w:t>
            </w:r>
          </w:p>
        </w:tc>
      </w:tr>
      <w:tr w:rsidR="00733207" w14:paraId="7419B2E2" w14:textId="77777777">
        <w:trPr>
          <w:trHeight w:val="559"/>
          <w:jc w:val="center"/>
        </w:trPr>
        <w:tc>
          <w:tcPr>
            <w:tcW w:w="2407" w:type="dxa"/>
            <w:shd w:val="clear" w:color="auto" w:fill="auto"/>
          </w:tcPr>
          <w:p w14:paraId="4B38DA39"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SECURITE</w:t>
            </w:r>
          </w:p>
        </w:tc>
        <w:tc>
          <w:tcPr>
            <w:tcW w:w="1694" w:type="dxa"/>
            <w:shd w:val="clear" w:color="auto" w:fill="auto"/>
          </w:tcPr>
          <w:p w14:paraId="5F18884F"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9:</w:t>
            </w:r>
            <w:proofErr w:type="gramEnd"/>
            <w:r>
              <w:rPr>
                <w:rFonts w:ascii="Rockwell" w:eastAsia="Times New Roman" w:hAnsi="Rockwell" w:cs="Calibri"/>
                <w:color w:val="000000"/>
                <w:sz w:val="24"/>
                <w:szCs w:val="24"/>
              </w:rPr>
              <w:t>48:58</w:t>
            </w:r>
          </w:p>
        </w:tc>
        <w:tc>
          <w:tcPr>
            <w:tcW w:w="1701" w:type="dxa"/>
            <w:shd w:val="clear" w:color="auto" w:fill="auto"/>
          </w:tcPr>
          <w:p w14:paraId="4B32231A"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10,07%</w:t>
            </w:r>
          </w:p>
        </w:tc>
        <w:tc>
          <w:tcPr>
            <w:tcW w:w="1694" w:type="dxa"/>
            <w:shd w:val="clear" w:color="auto" w:fill="auto"/>
          </w:tcPr>
          <w:p w14:paraId="5D798591"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w:t>
            </w:r>
            <w:proofErr w:type="gramEnd"/>
            <w:r>
              <w:rPr>
                <w:rFonts w:ascii="Rockwell" w:eastAsia="Times New Roman" w:hAnsi="Rockwell" w:cs="Calibri"/>
                <w:color w:val="000000"/>
                <w:sz w:val="24"/>
                <w:szCs w:val="24"/>
              </w:rPr>
              <w:t>26:41</w:t>
            </w:r>
          </w:p>
        </w:tc>
        <w:tc>
          <w:tcPr>
            <w:tcW w:w="1708" w:type="dxa"/>
            <w:shd w:val="clear" w:color="auto" w:fill="auto"/>
          </w:tcPr>
          <w:p w14:paraId="1A0605D0"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10,74%</w:t>
            </w:r>
          </w:p>
        </w:tc>
      </w:tr>
      <w:tr w:rsidR="00733207" w14:paraId="13A3DF18" w14:textId="77777777">
        <w:trPr>
          <w:trHeight w:val="559"/>
          <w:jc w:val="center"/>
        </w:trPr>
        <w:tc>
          <w:tcPr>
            <w:tcW w:w="2407" w:type="dxa"/>
            <w:shd w:val="clear" w:color="auto" w:fill="auto"/>
          </w:tcPr>
          <w:p w14:paraId="18F07C65"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ECONOMIE</w:t>
            </w:r>
          </w:p>
        </w:tc>
        <w:tc>
          <w:tcPr>
            <w:tcW w:w="1694" w:type="dxa"/>
            <w:shd w:val="clear" w:color="auto" w:fill="auto"/>
          </w:tcPr>
          <w:p w14:paraId="5CE0DE92"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8:</w:t>
            </w:r>
            <w:proofErr w:type="gramEnd"/>
            <w:r>
              <w:rPr>
                <w:rFonts w:ascii="Rockwell" w:eastAsia="Times New Roman" w:hAnsi="Rockwell" w:cs="Calibri"/>
                <w:color w:val="000000"/>
                <w:sz w:val="24"/>
                <w:szCs w:val="24"/>
              </w:rPr>
              <w:t>31:32</w:t>
            </w:r>
          </w:p>
        </w:tc>
        <w:tc>
          <w:tcPr>
            <w:tcW w:w="1701" w:type="dxa"/>
            <w:shd w:val="clear" w:color="auto" w:fill="auto"/>
          </w:tcPr>
          <w:p w14:paraId="39C76380"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8,74%</w:t>
            </w:r>
          </w:p>
        </w:tc>
        <w:tc>
          <w:tcPr>
            <w:tcW w:w="1694" w:type="dxa"/>
            <w:shd w:val="clear" w:color="auto" w:fill="auto"/>
          </w:tcPr>
          <w:p w14:paraId="314104E3"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w:t>
            </w:r>
            <w:proofErr w:type="gramEnd"/>
            <w:r>
              <w:rPr>
                <w:rFonts w:ascii="Rockwell" w:eastAsia="Times New Roman" w:hAnsi="Rockwell" w:cs="Calibri"/>
                <w:color w:val="000000"/>
                <w:sz w:val="24"/>
                <w:szCs w:val="24"/>
              </w:rPr>
              <w:t>10:36</w:t>
            </w:r>
          </w:p>
        </w:tc>
        <w:tc>
          <w:tcPr>
            <w:tcW w:w="1708" w:type="dxa"/>
            <w:shd w:val="clear" w:color="auto" w:fill="auto"/>
          </w:tcPr>
          <w:p w14:paraId="266534B6"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7,67%</w:t>
            </w:r>
          </w:p>
        </w:tc>
      </w:tr>
      <w:tr w:rsidR="00733207" w14:paraId="18762F2E" w14:textId="77777777">
        <w:trPr>
          <w:trHeight w:val="559"/>
          <w:jc w:val="center"/>
        </w:trPr>
        <w:tc>
          <w:tcPr>
            <w:tcW w:w="2407" w:type="dxa"/>
            <w:shd w:val="clear" w:color="auto" w:fill="auto"/>
          </w:tcPr>
          <w:p w14:paraId="10B25F4F"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CULTURE</w:t>
            </w:r>
          </w:p>
        </w:tc>
        <w:tc>
          <w:tcPr>
            <w:tcW w:w="1694" w:type="dxa"/>
            <w:shd w:val="clear" w:color="auto" w:fill="auto"/>
          </w:tcPr>
          <w:p w14:paraId="25FF0708"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w:t>
            </w:r>
            <w:proofErr w:type="gramEnd"/>
            <w:r>
              <w:rPr>
                <w:rFonts w:ascii="Rockwell" w:eastAsia="Times New Roman" w:hAnsi="Rockwell" w:cs="Calibri"/>
                <w:color w:val="000000"/>
                <w:sz w:val="24"/>
                <w:szCs w:val="24"/>
              </w:rPr>
              <w:t>36:45</w:t>
            </w:r>
          </w:p>
        </w:tc>
        <w:tc>
          <w:tcPr>
            <w:tcW w:w="1701" w:type="dxa"/>
            <w:shd w:val="clear" w:color="auto" w:fill="auto"/>
          </w:tcPr>
          <w:p w14:paraId="43BD93A0"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5,76%</w:t>
            </w:r>
          </w:p>
        </w:tc>
        <w:tc>
          <w:tcPr>
            <w:tcW w:w="1694" w:type="dxa"/>
            <w:shd w:val="clear" w:color="auto" w:fill="auto"/>
          </w:tcPr>
          <w:p w14:paraId="5AD5332C"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w:t>
            </w:r>
            <w:proofErr w:type="gramEnd"/>
            <w:r>
              <w:rPr>
                <w:rFonts w:ascii="Rockwell" w:eastAsia="Times New Roman" w:hAnsi="Rockwell" w:cs="Calibri"/>
                <w:color w:val="000000"/>
                <w:sz w:val="24"/>
                <w:szCs w:val="24"/>
              </w:rPr>
              <w:t>51:38</w:t>
            </w:r>
          </w:p>
        </w:tc>
        <w:tc>
          <w:tcPr>
            <w:tcW w:w="1708" w:type="dxa"/>
            <w:shd w:val="clear" w:color="auto" w:fill="auto"/>
          </w:tcPr>
          <w:p w14:paraId="4018F4DA"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4,49%</w:t>
            </w:r>
          </w:p>
        </w:tc>
      </w:tr>
      <w:tr w:rsidR="00733207" w14:paraId="7B09C6A8" w14:textId="77777777">
        <w:trPr>
          <w:trHeight w:val="559"/>
          <w:jc w:val="center"/>
        </w:trPr>
        <w:tc>
          <w:tcPr>
            <w:tcW w:w="2407" w:type="dxa"/>
            <w:shd w:val="clear" w:color="auto" w:fill="auto"/>
          </w:tcPr>
          <w:p w14:paraId="08FCC557"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RELIGION</w:t>
            </w:r>
          </w:p>
        </w:tc>
        <w:tc>
          <w:tcPr>
            <w:tcW w:w="1694" w:type="dxa"/>
            <w:shd w:val="clear" w:color="auto" w:fill="auto"/>
          </w:tcPr>
          <w:p w14:paraId="642B54F9"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w:t>
            </w:r>
            <w:proofErr w:type="gramEnd"/>
            <w:r>
              <w:rPr>
                <w:rFonts w:ascii="Rockwell" w:eastAsia="Times New Roman" w:hAnsi="Rockwell" w:cs="Calibri"/>
                <w:color w:val="000000"/>
                <w:sz w:val="24"/>
                <w:szCs w:val="24"/>
              </w:rPr>
              <w:t>23:17</w:t>
            </w:r>
          </w:p>
        </w:tc>
        <w:tc>
          <w:tcPr>
            <w:tcW w:w="1701" w:type="dxa"/>
            <w:shd w:val="clear" w:color="auto" w:fill="auto"/>
          </w:tcPr>
          <w:p w14:paraId="6D67C166"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3,47%</w:t>
            </w:r>
          </w:p>
        </w:tc>
        <w:tc>
          <w:tcPr>
            <w:tcW w:w="1694" w:type="dxa"/>
            <w:shd w:val="clear" w:color="auto" w:fill="auto"/>
          </w:tcPr>
          <w:p w14:paraId="40736A4E"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52:17</w:t>
            </w:r>
          </w:p>
        </w:tc>
        <w:tc>
          <w:tcPr>
            <w:tcW w:w="1708" w:type="dxa"/>
            <w:shd w:val="clear" w:color="auto" w:fill="auto"/>
          </w:tcPr>
          <w:p w14:paraId="26C1FCBE"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2,11%</w:t>
            </w:r>
          </w:p>
        </w:tc>
      </w:tr>
      <w:tr w:rsidR="00733207" w14:paraId="5520C14E" w14:textId="77777777">
        <w:trPr>
          <w:trHeight w:val="559"/>
          <w:jc w:val="center"/>
        </w:trPr>
        <w:tc>
          <w:tcPr>
            <w:tcW w:w="2407" w:type="dxa"/>
            <w:shd w:val="clear" w:color="auto" w:fill="auto"/>
          </w:tcPr>
          <w:p w14:paraId="41171FBB"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GENRE</w:t>
            </w:r>
          </w:p>
        </w:tc>
        <w:tc>
          <w:tcPr>
            <w:tcW w:w="1694" w:type="dxa"/>
            <w:shd w:val="clear" w:color="auto" w:fill="auto"/>
          </w:tcPr>
          <w:p w14:paraId="2F2916C9"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00:00</w:t>
            </w:r>
          </w:p>
        </w:tc>
        <w:tc>
          <w:tcPr>
            <w:tcW w:w="1701" w:type="dxa"/>
            <w:shd w:val="clear" w:color="auto" w:fill="auto"/>
          </w:tcPr>
          <w:p w14:paraId="565BEC4B"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0,00%</w:t>
            </w:r>
          </w:p>
        </w:tc>
        <w:tc>
          <w:tcPr>
            <w:tcW w:w="1694" w:type="dxa"/>
            <w:shd w:val="clear" w:color="auto" w:fill="auto"/>
          </w:tcPr>
          <w:p w14:paraId="1F84D9D5" w14:textId="77777777" w:rsidR="00733207" w:rsidRDefault="00912BAE">
            <w:pPr>
              <w:spacing w:after="0" w:line="24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00:00</w:t>
            </w:r>
          </w:p>
        </w:tc>
        <w:tc>
          <w:tcPr>
            <w:tcW w:w="1708" w:type="dxa"/>
            <w:shd w:val="clear" w:color="auto" w:fill="auto"/>
          </w:tcPr>
          <w:p w14:paraId="46A57906" w14:textId="77777777" w:rsidR="00733207" w:rsidRDefault="00912BAE">
            <w:pPr>
              <w:spacing w:after="0" w:line="24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0,00%</w:t>
            </w:r>
          </w:p>
        </w:tc>
      </w:tr>
      <w:tr w:rsidR="00733207" w14:paraId="6FFCDF10" w14:textId="77777777">
        <w:trPr>
          <w:trHeight w:val="559"/>
          <w:jc w:val="center"/>
        </w:trPr>
        <w:tc>
          <w:tcPr>
            <w:tcW w:w="2407" w:type="dxa"/>
            <w:shd w:val="clear" w:color="auto" w:fill="auto"/>
          </w:tcPr>
          <w:p w14:paraId="64A4BD47"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694" w:type="dxa"/>
            <w:shd w:val="clear" w:color="auto" w:fill="auto"/>
          </w:tcPr>
          <w:p w14:paraId="1EFE34DF" w14:textId="77777777" w:rsidR="00733207" w:rsidRDefault="00912BAE">
            <w:pPr>
              <w:spacing w:after="0" w:line="24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97:</w:t>
            </w:r>
            <w:proofErr w:type="gramEnd"/>
            <w:r>
              <w:rPr>
                <w:rFonts w:ascii="Rockwell" w:eastAsia="Times New Roman" w:hAnsi="Rockwell" w:cs="Calibri"/>
                <w:b/>
                <w:bCs/>
                <w:color w:val="000000"/>
                <w:sz w:val="24"/>
                <w:szCs w:val="24"/>
              </w:rPr>
              <w:t>30:34</w:t>
            </w:r>
          </w:p>
        </w:tc>
        <w:tc>
          <w:tcPr>
            <w:tcW w:w="1701" w:type="dxa"/>
            <w:shd w:val="clear" w:color="auto" w:fill="auto"/>
          </w:tcPr>
          <w:p w14:paraId="193F0DF4"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694" w:type="dxa"/>
            <w:shd w:val="clear" w:color="auto" w:fill="auto"/>
          </w:tcPr>
          <w:p w14:paraId="2307134C" w14:textId="77777777" w:rsidR="00733207" w:rsidRDefault="00912BAE">
            <w:pPr>
              <w:spacing w:after="0" w:line="24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41:</w:t>
            </w:r>
            <w:proofErr w:type="gramEnd"/>
            <w:r>
              <w:rPr>
                <w:rFonts w:ascii="Rockwell" w:eastAsia="Times New Roman" w:hAnsi="Rockwell" w:cs="Calibri"/>
                <w:b/>
                <w:bCs/>
                <w:color w:val="000000"/>
                <w:sz w:val="24"/>
                <w:szCs w:val="24"/>
              </w:rPr>
              <w:t>23:44</w:t>
            </w:r>
          </w:p>
        </w:tc>
        <w:tc>
          <w:tcPr>
            <w:tcW w:w="1708" w:type="dxa"/>
            <w:shd w:val="clear" w:color="auto" w:fill="auto"/>
          </w:tcPr>
          <w:p w14:paraId="617C134A" w14:textId="77777777" w:rsidR="00733207" w:rsidRDefault="00912BAE">
            <w:pPr>
              <w:spacing w:after="0" w:line="24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bookmarkEnd w:id="315"/>
    <w:p w14:paraId="53065934" w14:textId="77777777" w:rsidR="00733207" w:rsidRDefault="00912BAE">
      <w:pPr>
        <w:spacing w:before="120" w:after="120" w:line="360" w:lineRule="auto"/>
        <w:ind w:left="993" w:hanging="567"/>
        <w:jc w:val="both"/>
        <w:rPr>
          <w:rFonts w:ascii="Rockwell" w:hAnsi="Rockwell"/>
          <w:i/>
          <w:u w:val="single"/>
        </w:rPr>
      </w:pPr>
      <w:r>
        <w:rPr>
          <w:rFonts w:ascii="Rockwell" w:hAnsi="Rockwell"/>
          <w:b/>
          <w:i/>
          <w:u w:val="single"/>
        </w:rPr>
        <w:t>Source </w:t>
      </w:r>
      <w:r>
        <w:rPr>
          <w:rFonts w:ascii="Rockwell" w:hAnsi="Rockwell"/>
          <w:b/>
          <w:i/>
        </w:rPr>
        <w:t xml:space="preserve">: </w:t>
      </w:r>
      <w:r>
        <w:rPr>
          <w:rFonts w:ascii="Rockwell" w:hAnsi="Rockwell"/>
          <w:i/>
        </w:rPr>
        <w:t>CSC</w:t>
      </w:r>
    </w:p>
    <w:p w14:paraId="35990B6A" w14:textId="77777777" w:rsidR="00733207" w:rsidRDefault="00912BAE">
      <w:pPr>
        <w:spacing w:after="0" w:line="240" w:lineRule="auto"/>
        <w:ind w:left="567"/>
        <w:jc w:val="center"/>
        <w:rPr>
          <w:rFonts w:ascii="Rockwell" w:hAnsi="Rockwell"/>
          <w:bCs/>
          <w:i/>
        </w:rPr>
      </w:pPr>
      <w:r>
        <w:rPr>
          <w:rFonts w:ascii="Rockwell" w:hAnsi="Rockwell"/>
          <w:b/>
          <w:bCs/>
          <w:i/>
          <w:u w:val="single"/>
        </w:rPr>
        <w:lastRenderedPageBreak/>
        <w:t>Graphique n° 17</w:t>
      </w:r>
      <w:r>
        <w:rPr>
          <w:rFonts w:ascii="Rockwell" w:hAnsi="Rockwell"/>
          <w:bCs/>
          <w:i/>
        </w:rPr>
        <w:t> : Représentation des informations thématiques selon les TA et TP dans les radios (publiques et privées)</w:t>
      </w:r>
    </w:p>
    <w:p w14:paraId="4B57AE16" w14:textId="77777777" w:rsidR="00733207" w:rsidRDefault="00733207">
      <w:pPr>
        <w:spacing w:after="0" w:line="240" w:lineRule="auto"/>
        <w:ind w:left="1560"/>
        <w:jc w:val="both"/>
        <w:rPr>
          <w:rFonts w:ascii="Rockwell" w:hAnsi="Rockwell"/>
          <w:bCs/>
          <w:i/>
        </w:rPr>
      </w:pPr>
    </w:p>
    <w:p w14:paraId="7DBE4DE4" w14:textId="77777777" w:rsidR="00733207" w:rsidRDefault="00733207">
      <w:pPr>
        <w:spacing w:after="0" w:line="240" w:lineRule="auto"/>
        <w:ind w:left="1560"/>
        <w:jc w:val="both"/>
        <w:rPr>
          <w:rFonts w:ascii="Rockwell" w:hAnsi="Rockwell"/>
          <w:bCs/>
          <w:i/>
          <w:sz w:val="18"/>
          <w:szCs w:val="18"/>
        </w:rPr>
      </w:pPr>
    </w:p>
    <w:p w14:paraId="08BF241C" w14:textId="77777777" w:rsidR="00733207" w:rsidRDefault="00912BAE">
      <w:pPr>
        <w:spacing w:before="120" w:after="120" w:line="360" w:lineRule="auto"/>
        <w:ind w:left="360"/>
        <w:jc w:val="center"/>
        <w:rPr>
          <w:rFonts w:ascii="Rockwell" w:hAnsi="Rockwell"/>
          <w:b/>
          <w:bCs/>
          <w:sz w:val="26"/>
          <w:szCs w:val="26"/>
          <w:u w:val="single"/>
        </w:rPr>
      </w:pPr>
      <w:r>
        <w:rPr>
          <w:rFonts w:ascii="Rockwell" w:hAnsi="Rockwell"/>
          <w:noProof/>
          <w:sz w:val="26"/>
          <w:szCs w:val="26"/>
          <w:lang w:eastAsia="fr-FR"/>
        </w:rPr>
        <w:drawing>
          <wp:inline distT="0" distB="0" distL="0" distR="0" wp14:anchorId="6624E6AB" wp14:editId="30B21706">
            <wp:extent cx="5343525" cy="3562350"/>
            <wp:effectExtent l="0" t="0" r="9525" b="0"/>
            <wp:docPr id="20" name="Graphique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7D8F873" w14:textId="77777777" w:rsidR="00733207" w:rsidRDefault="00733207">
      <w:pPr>
        <w:spacing w:before="120" w:after="120" w:line="360" w:lineRule="auto"/>
        <w:ind w:left="360"/>
        <w:jc w:val="both"/>
        <w:rPr>
          <w:rFonts w:ascii="Rockwell" w:hAnsi="Rockwell"/>
          <w:b/>
          <w:bCs/>
          <w:sz w:val="26"/>
          <w:szCs w:val="26"/>
          <w:u w:val="single"/>
        </w:rPr>
      </w:pPr>
    </w:p>
    <w:p w14:paraId="49C0290C" w14:textId="77777777" w:rsidR="00733207" w:rsidRDefault="00912BAE">
      <w:pPr>
        <w:spacing w:before="120" w:after="120" w:line="240" w:lineRule="auto"/>
        <w:jc w:val="center"/>
        <w:rPr>
          <w:rFonts w:ascii="Rockwell" w:hAnsi="Rockwell"/>
          <w:bCs/>
          <w:i/>
        </w:rPr>
      </w:pPr>
      <w:r>
        <w:rPr>
          <w:rFonts w:ascii="Rockwell" w:hAnsi="Rockwell"/>
          <w:b/>
          <w:bCs/>
          <w:i/>
          <w:u w:val="single"/>
        </w:rPr>
        <w:t>Tableau n°20</w:t>
      </w:r>
      <w:r>
        <w:rPr>
          <w:rFonts w:ascii="Rockwell" w:hAnsi="Rockwell"/>
          <w:bCs/>
          <w:i/>
        </w:rPr>
        <w:t> : Classement des informations thématiques selon les TA et TP dans les télévisions (publiques et privées)</w:t>
      </w:r>
    </w:p>
    <w:p w14:paraId="6BF37FF5" w14:textId="77777777" w:rsidR="00733207" w:rsidRDefault="00733207">
      <w:pPr>
        <w:spacing w:before="120" w:after="120" w:line="240" w:lineRule="auto"/>
        <w:ind w:left="1134"/>
        <w:jc w:val="both"/>
        <w:rPr>
          <w:rFonts w:ascii="Rockwell" w:hAnsi="Rockwell"/>
          <w:bCs/>
          <w:i/>
        </w:rPr>
      </w:pP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701"/>
        <w:gridCol w:w="1592"/>
        <w:gridCol w:w="1521"/>
        <w:gridCol w:w="1531"/>
      </w:tblGrid>
      <w:tr w:rsidR="00733207" w14:paraId="229C7352" w14:textId="77777777">
        <w:trPr>
          <w:trHeight w:val="95"/>
          <w:jc w:val="center"/>
        </w:trPr>
        <w:tc>
          <w:tcPr>
            <w:tcW w:w="9317" w:type="dxa"/>
            <w:gridSpan w:val="5"/>
            <w:shd w:val="clear" w:color="auto" w:fill="auto"/>
          </w:tcPr>
          <w:p w14:paraId="7780C898" w14:textId="77777777" w:rsidR="00733207" w:rsidRDefault="00912BAE">
            <w:pPr>
              <w:spacing w:after="0" w:line="360" w:lineRule="auto"/>
              <w:jc w:val="both"/>
              <w:rPr>
                <w:rFonts w:ascii="Rockwell" w:eastAsia="Times New Roman" w:hAnsi="Rockwell" w:cs="Calibri"/>
                <w:b/>
                <w:bCs/>
                <w:color w:val="000000"/>
                <w:sz w:val="24"/>
                <w:szCs w:val="24"/>
              </w:rPr>
            </w:pPr>
            <w:bookmarkStart w:id="316" w:name="_Hlk161040726"/>
            <w:r>
              <w:rPr>
                <w:rFonts w:ascii="Rockwell" w:eastAsia="Times New Roman" w:hAnsi="Rockwell" w:cs="Calibri"/>
                <w:b/>
                <w:bCs/>
                <w:color w:val="000000"/>
                <w:sz w:val="24"/>
                <w:szCs w:val="24"/>
              </w:rPr>
              <w:t>TELEVISIONS</w:t>
            </w:r>
          </w:p>
        </w:tc>
      </w:tr>
      <w:tr w:rsidR="00733207" w14:paraId="635AF4CE" w14:textId="77777777">
        <w:trPr>
          <w:trHeight w:val="95"/>
          <w:jc w:val="center"/>
        </w:trPr>
        <w:tc>
          <w:tcPr>
            <w:tcW w:w="2972" w:type="dxa"/>
            <w:shd w:val="clear" w:color="auto" w:fill="auto"/>
          </w:tcPr>
          <w:p w14:paraId="6700CD41"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THEMES</w:t>
            </w:r>
          </w:p>
        </w:tc>
        <w:tc>
          <w:tcPr>
            <w:tcW w:w="1701" w:type="dxa"/>
            <w:shd w:val="clear" w:color="auto" w:fill="auto"/>
          </w:tcPr>
          <w:p w14:paraId="24CF26DC"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TA</w:t>
            </w:r>
          </w:p>
        </w:tc>
        <w:tc>
          <w:tcPr>
            <w:tcW w:w="1592" w:type="dxa"/>
            <w:shd w:val="clear" w:color="auto" w:fill="auto"/>
          </w:tcPr>
          <w:p w14:paraId="3A127D25"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TA</w:t>
            </w:r>
          </w:p>
        </w:tc>
        <w:tc>
          <w:tcPr>
            <w:tcW w:w="1521" w:type="dxa"/>
            <w:shd w:val="clear" w:color="auto" w:fill="auto"/>
          </w:tcPr>
          <w:p w14:paraId="7257C942"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TP</w:t>
            </w:r>
          </w:p>
        </w:tc>
        <w:tc>
          <w:tcPr>
            <w:tcW w:w="1531" w:type="dxa"/>
            <w:shd w:val="clear" w:color="auto" w:fill="auto"/>
          </w:tcPr>
          <w:p w14:paraId="2CD0DA7F"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TP</w:t>
            </w:r>
          </w:p>
        </w:tc>
      </w:tr>
      <w:tr w:rsidR="00733207" w14:paraId="771CDB67" w14:textId="77777777">
        <w:trPr>
          <w:trHeight w:val="95"/>
          <w:jc w:val="center"/>
        </w:trPr>
        <w:tc>
          <w:tcPr>
            <w:tcW w:w="2972" w:type="dxa"/>
            <w:shd w:val="clear" w:color="auto" w:fill="auto"/>
          </w:tcPr>
          <w:p w14:paraId="336E654B"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POLITIQUE</w:t>
            </w:r>
          </w:p>
        </w:tc>
        <w:tc>
          <w:tcPr>
            <w:tcW w:w="1701" w:type="dxa"/>
            <w:shd w:val="clear" w:color="auto" w:fill="auto"/>
          </w:tcPr>
          <w:p w14:paraId="2D30BBA6"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51:</w:t>
            </w:r>
            <w:proofErr w:type="gramEnd"/>
            <w:r>
              <w:rPr>
                <w:rFonts w:ascii="Rockwell" w:eastAsia="Times New Roman" w:hAnsi="Rockwell" w:cs="Calibri"/>
                <w:color w:val="000000"/>
                <w:sz w:val="24"/>
                <w:szCs w:val="24"/>
              </w:rPr>
              <w:t>15:00</w:t>
            </w:r>
          </w:p>
        </w:tc>
        <w:tc>
          <w:tcPr>
            <w:tcW w:w="1592" w:type="dxa"/>
            <w:shd w:val="clear" w:color="auto" w:fill="auto"/>
          </w:tcPr>
          <w:p w14:paraId="419B9B2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30,74%</w:t>
            </w:r>
          </w:p>
        </w:tc>
        <w:tc>
          <w:tcPr>
            <w:tcW w:w="1521" w:type="dxa"/>
            <w:shd w:val="clear" w:color="auto" w:fill="auto"/>
          </w:tcPr>
          <w:p w14:paraId="099B3A4D"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19:</w:t>
            </w:r>
            <w:proofErr w:type="gramEnd"/>
            <w:r>
              <w:rPr>
                <w:rFonts w:ascii="Rockwell" w:eastAsia="Times New Roman" w:hAnsi="Rockwell" w:cs="Calibri"/>
                <w:color w:val="000000"/>
                <w:sz w:val="24"/>
                <w:szCs w:val="24"/>
              </w:rPr>
              <w:t>34:51</w:t>
            </w:r>
          </w:p>
        </w:tc>
        <w:tc>
          <w:tcPr>
            <w:tcW w:w="1531" w:type="dxa"/>
            <w:shd w:val="clear" w:color="auto" w:fill="auto"/>
          </w:tcPr>
          <w:p w14:paraId="2318525F"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36,27%</w:t>
            </w:r>
          </w:p>
        </w:tc>
      </w:tr>
      <w:tr w:rsidR="00733207" w14:paraId="4F569261" w14:textId="77777777">
        <w:trPr>
          <w:trHeight w:val="95"/>
          <w:jc w:val="center"/>
        </w:trPr>
        <w:tc>
          <w:tcPr>
            <w:tcW w:w="2972" w:type="dxa"/>
            <w:shd w:val="clear" w:color="auto" w:fill="auto"/>
          </w:tcPr>
          <w:p w14:paraId="2919F6E8"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SOCIETE</w:t>
            </w:r>
          </w:p>
        </w:tc>
        <w:tc>
          <w:tcPr>
            <w:tcW w:w="1701" w:type="dxa"/>
            <w:shd w:val="clear" w:color="auto" w:fill="auto"/>
          </w:tcPr>
          <w:p w14:paraId="6421D8C1"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40:</w:t>
            </w:r>
            <w:proofErr w:type="gramEnd"/>
            <w:r>
              <w:rPr>
                <w:rFonts w:ascii="Rockwell" w:eastAsia="Times New Roman" w:hAnsi="Rockwell" w:cs="Calibri"/>
                <w:color w:val="000000"/>
                <w:sz w:val="24"/>
                <w:szCs w:val="24"/>
              </w:rPr>
              <w:t>13:27</w:t>
            </w:r>
          </w:p>
        </w:tc>
        <w:tc>
          <w:tcPr>
            <w:tcW w:w="1592" w:type="dxa"/>
            <w:shd w:val="clear" w:color="auto" w:fill="auto"/>
          </w:tcPr>
          <w:p w14:paraId="01853FFB"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24,13%</w:t>
            </w:r>
          </w:p>
        </w:tc>
        <w:tc>
          <w:tcPr>
            <w:tcW w:w="1521" w:type="dxa"/>
            <w:shd w:val="clear" w:color="auto" w:fill="auto"/>
          </w:tcPr>
          <w:p w14:paraId="6FF427D1"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12:</w:t>
            </w:r>
            <w:proofErr w:type="gramEnd"/>
            <w:r>
              <w:rPr>
                <w:rFonts w:ascii="Rockwell" w:eastAsia="Times New Roman" w:hAnsi="Rockwell" w:cs="Calibri"/>
                <w:color w:val="000000"/>
                <w:sz w:val="24"/>
                <w:szCs w:val="24"/>
              </w:rPr>
              <w:t>50:59</w:t>
            </w:r>
          </w:p>
        </w:tc>
        <w:tc>
          <w:tcPr>
            <w:tcW w:w="1531" w:type="dxa"/>
            <w:shd w:val="clear" w:color="auto" w:fill="auto"/>
          </w:tcPr>
          <w:p w14:paraId="04A88081"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23,80%</w:t>
            </w:r>
          </w:p>
        </w:tc>
      </w:tr>
      <w:tr w:rsidR="00733207" w14:paraId="501C9D70" w14:textId="77777777">
        <w:trPr>
          <w:trHeight w:val="95"/>
          <w:jc w:val="center"/>
        </w:trPr>
        <w:tc>
          <w:tcPr>
            <w:tcW w:w="2972" w:type="dxa"/>
            <w:shd w:val="clear" w:color="auto" w:fill="auto"/>
          </w:tcPr>
          <w:p w14:paraId="473A71F3"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SANTE</w:t>
            </w:r>
          </w:p>
        </w:tc>
        <w:tc>
          <w:tcPr>
            <w:tcW w:w="1701" w:type="dxa"/>
            <w:shd w:val="clear" w:color="auto" w:fill="auto"/>
          </w:tcPr>
          <w:p w14:paraId="28324188"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19:</w:t>
            </w:r>
            <w:proofErr w:type="gramEnd"/>
            <w:r>
              <w:rPr>
                <w:rFonts w:ascii="Rockwell" w:eastAsia="Times New Roman" w:hAnsi="Rockwell" w:cs="Calibri"/>
                <w:color w:val="000000"/>
                <w:sz w:val="24"/>
                <w:szCs w:val="24"/>
              </w:rPr>
              <w:t>38:16</w:t>
            </w:r>
          </w:p>
        </w:tc>
        <w:tc>
          <w:tcPr>
            <w:tcW w:w="1592" w:type="dxa"/>
            <w:shd w:val="clear" w:color="auto" w:fill="auto"/>
          </w:tcPr>
          <w:p w14:paraId="2B08D879"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11,78%</w:t>
            </w:r>
          </w:p>
        </w:tc>
        <w:tc>
          <w:tcPr>
            <w:tcW w:w="1521" w:type="dxa"/>
            <w:shd w:val="clear" w:color="auto" w:fill="auto"/>
          </w:tcPr>
          <w:p w14:paraId="0D655A2D"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6:</w:t>
            </w:r>
            <w:proofErr w:type="gramEnd"/>
            <w:r>
              <w:rPr>
                <w:rFonts w:ascii="Rockwell" w:eastAsia="Times New Roman" w:hAnsi="Rockwell" w:cs="Calibri"/>
                <w:color w:val="000000"/>
                <w:sz w:val="24"/>
                <w:szCs w:val="24"/>
              </w:rPr>
              <w:t>09:27</w:t>
            </w:r>
          </w:p>
        </w:tc>
        <w:tc>
          <w:tcPr>
            <w:tcW w:w="1531" w:type="dxa"/>
            <w:shd w:val="clear" w:color="auto" w:fill="auto"/>
          </w:tcPr>
          <w:p w14:paraId="04411704"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11,41%</w:t>
            </w:r>
          </w:p>
        </w:tc>
      </w:tr>
      <w:tr w:rsidR="00733207" w14:paraId="61AA0911" w14:textId="77777777">
        <w:trPr>
          <w:trHeight w:val="95"/>
          <w:jc w:val="center"/>
        </w:trPr>
        <w:tc>
          <w:tcPr>
            <w:tcW w:w="2972" w:type="dxa"/>
            <w:shd w:val="clear" w:color="auto" w:fill="auto"/>
          </w:tcPr>
          <w:p w14:paraId="74D0B93C"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ECONOMIE</w:t>
            </w:r>
          </w:p>
        </w:tc>
        <w:tc>
          <w:tcPr>
            <w:tcW w:w="1701" w:type="dxa"/>
            <w:shd w:val="clear" w:color="auto" w:fill="auto"/>
          </w:tcPr>
          <w:p w14:paraId="065F340D"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19:</w:t>
            </w:r>
            <w:proofErr w:type="gramEnd"/>
            <w:r>
              <w:rPr>
                <w:rFonts w:ascii="Rockwell" w:eastAsia="Times New Roman" w:hAnsi="Rockwell" w:cs="Calibri"/>
                <w:color w:val="000000"/>
                <w:sz w:val="24"/>
                <w:szCs w:val="24"/>
              </w:rPr>
              <w:t>00:20</w:t>
            </w:r>
          </w:p>
        </w:tc>
        <w:tc>
          <w:tcPr>
            <w:tcW w:w="1592" w:type="dxa"/>
            <w:shd w:val="clear" w:color="auto" w:fill="auto"/>
          </w:tcPr>
          <w:p w14:paraId="0D5C96F1"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11,40%</w:t>
            </w:r>
          </w:p>
        </w:tc>
        <w:tc>
          <w:tcPr>
            <w:tcW w:w="1521" w:type="dxa"/>
            <w:shd w:val="clear" w:color="auto" w:fill="auto"/>
          </w:tcPr>
          <w:p w14:paraId="34174237"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w:t>
            </w:r>
            <w:proofErr w:type="gramEnd"/>
            <w:r>
              <w:rPr>
                <w:rFonts w:ascii="Rockwell" w:eastAsia="Times New Roman" w:hAnsi="Rockwell" w:cs="Calibri"/>
                <w:color w:val="000000"/>
                <w:sz w:val="24"/>
                <w:szCs w:val="24"/>
              </w:rPr>
              <w:t>39:16</w:t>
            </w:r>
          </w:p>
        </w:tc>
        <w:tc>
          <w:tcPr>
            <w:tcW w:w="1531" w:type="dxa"/>
            <w:shd w:val="clear" w:color="auto" w:fill="auto"/>
          </w:tcPr>
          <w:p w14:paraId="7B540754"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10,47%</w:t>
            </w:r>
          </w:p>
        </w:tc>
      </w:tr>
      <w:tr w:rsidR="00733207" w14:paraId="788F6635" w14:textId="77777777">
        <w:trPr>
          <w:trHeight w:val="95"/>
          <w:jc w:val="center"/>
        </w:trPr>
        <w:tc>
          <w:tcPr>
            <w:tcW w:w="2972" w:type="dxa"/>
            <w:shd w:val="clear" w:color="auto" w:fill="auto"/>
          </w:tcPr>
          <w:p w14:paraId="532AAC36"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SECURITE</w:t>
            </w:r>
          </w:p>
        </w:tc>
        <w:tc>
          <w:tcPr>
            <w:tcW w:w="1701" w:type="dxa"/>
            <w:shd w:val="clear" w:color="auto" w:fill="auto"/>
          </w:tcPr>
          <w:p w14:paraId="271D880F"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17:</w:t>
            </w:r>
            <w:proofErr w:type="gramEnd"/>
            <w:r>
              <w:rPr>
                <w:rFonts w:ascii="Rockwell" w:eastAsia="Times New Roman" w:hAnsi="Rockwell" w:cs="Calibri"/>
                <w:color w:val="000000"/>
                <w:sz w:val="24"/>
                <w:szCs w:val="24"/>
              </w:rPr>
              <w:t>55:00</w:t>
            </w:r>
          </w:p>
        </w:tc>
        <w:tc>
          <w:tcPr>
            <w:tcW w:w="1592" w:type="dxa"/>
            <w:shd w:val="clear" w:color="auto" w:fill="auto"/>
          </w:tcPr>
          <w:p w14:paraId="32F96544"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10,75%</w:t>
            </w:r>
          </w:p>
        </w:tc>
        <w:tc>
          <w:tcPr>
            <w:tcW w:w="1521" w:type="dxa"/>
            <w:shd w:val="clear" w:color="auto" w:fill="auto"/>
          </w:tcPr>
          <w:p w14:paraId="24AEB5ED"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w:t>
            </w:r>
            <w:proofErr w:type="gramEnd"/>
            <w:r>
              <w:rPr>
                <w:rFonts w:ascii="Rockwell" w:eastAsia="Times New Roman" w:hAnsi="Rockwell" w:cs="Calibri"/>
                <w:color w:val="000000"/>
                <w:sz w:val="24"/>
                <w:szCs w:val="24"/>
              </w:rPr>
              <w:t>38:31</w:t>
            </w:r>
          </w:p>
        </w:tc>
        <w:tc>
          <w:tcPr>
            <w:tcW w:w="1531" w:type="dxa"/>
            <w:shd w:val="clear" w:color="auto" w:fill="auto"/>
          </w:tcPr>
          <w:p w14:paraId="5D85FED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10,45%</w:t>
            </w:r>
          </w:p>
        </w:tc>
      </w:tr>
      <w:tr w:rsidR="00733207" w14:paraId="59E8835F" w14:textId="77777777">
        <w:trPr>
          <w:trHeight w:val="95"/>
          <w:jc w:val="center"/>
        </w:trPr>
        <w:tc>
          <w:tcPr>
            <w:tcW w:w="2972" w:type="dxa"/>
            <w:shd w:val="clear" w:color="auto" w:fill="auto"/>
          </w:tcPr>
          <w:p w14:paraId="3050FE1C"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CULTURE</w:t>
            </w:r>
          </w:p>
        </w:tc>
        <w:tc>
          <w:tcPr>
            <w:tcW w:w="1701" w:type="dxa"/>
            <w:shd w:val="clear" w:color="auto" w:fill="auto"/>
          </w:tcPr>
          <w:p w14:paraId="2E313F94"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13:</w:t>
            </w:r>
            <w:proofErr w:type="gramEnd"/>
            <w:r>
              <w:rPr>
                <w:rFonts w:ascii="Rockwell" w:eastAsia="Times New Roman" w:hAnsi="Rockwell" w:cs="Calibri"/>
                <w:color w:val="000000"/>
                <w:sz w:val="24"/>
                <w:szCs w:val="24"/>
              </w:rPr>
              <w:t>58:35</w:t>
            </w:r>
          </w:p>
        </w:tc>
        <w:tc>
          <w:tcPr>
            <w:tcW w:w="1592" w:type="dxa"/>
            <w:shd w:val="clear" w:color="auto" w:fill="auto"/>
          </w:tcPr>
          <w:p w14:paraId="3260EE94"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8,38%</w:t>
            </w:r>
          </w:p>
        </w:tc>
        <w:tc>
          <w:tcPr>
            <w:tcW w:w="1521" w:type="dxa"/>
            <w:shd w:val="clear" w:color="auto" w:fill="auto"/>
          </w:tcPr>
          <w:p w14:paraId="4BAD6720"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w:t>
            </w:r>
            <w:proofErr w:type="gramEnd"/>
            <w:r>
              <w:rPr>
                <w:rFonts w:ascii="Rockwell" w:eastAsia="Times New Roman" w:hAnsi="Rockwell" w:cs="Calibri"/>
                <w:color w:val="000000"/>
                <w:sz w:val="24"/>
                <w:szCs w:val="24"/>
              </w:rPr>
              <w:t>10:35</w:t>
            </w:r>
          </w:p>
        </w:tc>
        <w:tc>
          <w:tcPr>
            <w:tcW w:w="1531" w:type="dxa"/>
            <w:shd w:val="clear" w:color="auto" w:fill="auto"/>
          </w:tcPr>
          <w:p w14:paraId="565A1BC7"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5,88%</w:t>
            </w:r>
          </w:p>
        </w:tc>
      </w:tr>
      <w:tr w:rsidR="00733207" w14:paraId="27B41357" w14:textId="77777777">
        <w:trPr>
          <w:trHeight w:val="95"/>
          <w:jc w:val="center"/>
        </w:trPr>
        <w:tc>
          <w:tcPr>
            <w:tcW w:w="2972" w:type="dxa"/>
            <w:shd w:val="clear" w:color="auto" w:fill="auto"/>
          </w:tcPr>
          <w:p w14:paraId="4804CACC"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RELIGION</w:t>
            </w:r>
          </w:p>
        </w:tc>
        <w:tc>
          <w:tcPr>
            <w:tcW w:w="1701" w:type="dxa"/>
            <w:shd w:val="clear" w:color="auto" w:fill="auto"/>
          </w:tcPr>
          <w:p w14:paraId="7AE4D48A"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w:t>
            </w:r>
            <w:proofErr w:type="gramEnd"/>
            <w:r>
              <w:rPr>
                <w:rFonts w:ascii="Rockwell" w:eastAsia="Times New Roman" w:hAnsi="Rockwell" w:cs="Calibri"/>
                <w:color w:val="000000"/>
                <w:sz w:val="24"/>
                <w:szCs w:val="24"/>
              </w:rPr>
              <w:t>42:46</w:t>
            </w:r>
          </w:p>
        </w:tc>
        <w:tc>
          <w:tcPr>
            <w:tcW w:w="1592" w:type="dxa"/>
            <w:shd w:val="clear" w:color="auto" w:fill="auto"/>
          </w:tcPr>
          <w:p w14:paraId="37BAA99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2,83%</w:t>
            </w:r>
          </w:p>
        </w:tc>
        <w:tc>
          <w:tcPr>
            <w:tcW w:w="1521" w:type="dxa"/>
            <w:shd w:val="clear" w:color="auto" w:fill="auto"/>
          </w:tcPr>
          <w:p w14:paraId="0F080E33"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55:39</w:t>
            </w:r>
          </w:p>
        </w:tc>
        <w:tc>
          <w:tcPr>
            <w:tcW w:w="1531" w:type="dxa"/>
            <w:shd w:val="clear" w:color="auto" w:fill="auto"/>
          </w:tcPr>
          <w:p w14:paraId="43156AE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1,72%</w:t>
            </w:r>
          </w:p>
        </w:tc>
      </w:tr>
      <w:tr w:rsidR="00733207" w14:paraId="1BA1D0A5" w14:textId="77777777">
        <w:trPr>
          <w:trHeight w:val="95"/>
          <w:jc w:val="center"/>
        </w:trPr>
        <w:tc>
          <w:tcPr>
            <w:tcW w:w="2972" w:type="dxa"/>
            <w:shd w:val="clear" w:color="auto" w:fill="auto"/>
          </w:tcPr>
          <w:p w14:paraId="4256B324"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GENRE</w:t>
            </w:r>
          </w:p>
        </w:tc>
        <w:tc>
          <w:tcPr>
            <w:tcW w:w="1701" w:type="dxa"/>
            <w:shd w:val="clear" w:color="auto" w:fill="auto"/>
          </w:tcPr>
          <w:p w14:paraId="1323514F"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00:00</w:t>
            </w:r>
          </w:p>
        </w:tc>
        <w:tc>
          <w:tcPr>
            <w:tcW w:w="1592" w:type="dxa"/>
            <w:shd w:val="clear" w:color="auto" w:fill="auto"/>
          </w:tcPr>
          <w:p w14:paraId="4CF30663"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0,00%</w:t>
            </w:r>
          </w:p>
        </w:tc>
        <w:tc>
          <w:tcPr>
            <w:tcW w:w="1521" w:type="dxa"/>
            <w:shd w:val="clear" w:color="auto" w:fill="auto"/>
          </w:tcPr>
          <w:p w14:paraId="2248D0C5"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0:</w:t>
            </w:r>
            <w:proofErr w:type="gramEnd"/>
            <w:r>
              <w:rPr>
                <w:rFonts w:ascii="Rockwell" w:eastAsia="Times New Roman" w:hAnsi="Rockwell" w:cs="Calibri"/>
                <w:color w:val="000000"/>
                <w:sz w:val="24"/>
                <w:szCs w:val="24"/>
              </w:rPr>
              <w:t>00:00</w:t>
            </w:r>
          </w:p>
        </w:tc>
        <w:tc>
          <w:tcPr>
            <w:tcW w:w="1531" w:type="dxa"/>
            <w:shd w:val="clear" w:color="auto" w:fill="auto"/>
          </w:tcPr>
          <w:p w14:paraId="5E7DD00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0,00%</w:t>
            </w:r>
          </w:p>
        </w:tc>
      </w:tr>
      <w:tr w:rsidR="00733207" w14:paraId="7880C219" w14:textId="77777777">
        <w:trPr>
          <w:trHeight w:val="95"/>
          <w:jc w:val="center"/>
        </w:trPr>
        <w:tc>
          <w:tcPr>
            <w:tcW w:w="2972" w:type="dxa"/>
            <w:shd w:val="clear" w:color="auto" w:fill="auto"/>
          </w:tcPr>
          <w:p w14:paraId="29CDFD58"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701" w:type="dxa"/>
            <w:shd w:val="clear" w:color="auto" w:fill="auto"/>
          </w:tcPr>
          <w:p w14:paraId="5E7CE3AC" w14:textId="77777777" w:rsidR="00733207" w:rsidRDefault="00912BAE">
            <w:pPr>
              <w:spacing w:after="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166:</w:t>
            </w:r>
            <w:proofErr w:type="gramEnd"/>
            <w:r>
              <w:rPr>
                <w:rFonts w:ascii="Rockwell" w:eastAsia="Times New Roman" w:hAnsi="Rockwell" w:cs="Calibri"/>
                <w:b/>
                <w:bCs/>
                <w:color w:val="000000"/>
                <w:sz w:val="24"/>
                <w:szCs w:val="24"/>
              </w:rPr>
              <w:t>43:24</w:t>
            </w:r>
          </w:p>
        </w:tc>
        <w:tc>
          <w:tcPr>
            <w:tcW w:w="1592" w:type="dxa"/>
            <w:shd w:val="clear" w:color="auto" w:fill="auto"/>
          </w:tcPr>
          <w:p w14:paraId="78371AFE"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521" w:type="dxa"/>
            <w:shd w:val="clear" w:color="auto" w:fill="auto"/>
          </w:tcPr>
          <w:p w14:paraId="7513767C" w14:textId="77777777" w:rsidR="00733207" w:rsidRDefault="00912BAE">
            <w:pPr>
              <w:spacing w:after="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53:</w:t>
            </w:r>
            <w:proofErr w:type="gramEnd"/>
            <w:r>
              <w:rPr>
                <w:rFonts w:ascii="Rockwell" w:eastAsia="Times New Roman" w:hAnsi="Rockwell" w:cs="Calibri"/>
                <w:b/>
                <w:bCs/>
                <w:color w:val="000000"/>
                <w:sz w:val="24"/>
                <w:szCs w:val="24"/>
              </w:rPr>
              <w:t>59:18</w:t>
            </w:r>
          </w:p>
        </w:tc>
        <w:tc>
          <w:tcPr>
            <w:tcW w:w="1531" w:type="dxa"/>
            <w:shd w:val="clear" w:color="auto" w:fill="auto"/>
          </w:tcPr>
          <w:p w14:paraId="06B568C3"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bookmarkEnd w:id="316"/>
    <w:p w14:paraId="7EA3414C" w14:textId="77777777" w:rsidR="00733207" w:rsidRDefault="00912BAE">
      <w:pPr>
        <w:tabs>
          <w:tab w:val="left" w:pos="709"/>
        </w:tabs>
        <w:spacing w:before="120" w:after="120" w:line="360" w:lineRule="auto"/>
        <w:ind w:left="708" w:hanging="424"/>
        <w:jc w:val="both"/>
        <w:rPr>
          <w:rFonts w:ascii="Rockwell" w:hAnsi="Rockwell"/>
          <w:i/>
        </w:rPr>
      </w:pPr>
      <w:r>
        <w:rPr>
          <w:rFonts w:ascii="Rockwell" w:hAnsi="Rockwell"/>
          <w:b/>
          <w:i/>
          <w:u w:val="single"/>
        </w:rPr>
        <w:t>Source</w:t>
      </w:r>
      <w:r>
        <w:rPr>
          <w:rFonts w:ascii="Rockwell" w:hAnsi="Rockwell"/>
          <w:i/>
          <w:u w:val="single"/>
        </w:rPr>
        <w:t> </w:t>
      </w:r>
      <w:r>
        <w:rPr>
          <w:rFonts w:ascii="Rockwell" w:hAnsi="Rockwell"/>
          <w:i/>
        </w:rPr>
        <w:t>: CSC</w:t>
      </w:r>
    </w:p>
    <w:p w14:paraId="580D0981" w14:textId="77777777" w:rsidR="00733207" w:rsidRDefault="00912BAE">
      <w:pPr>
        <w:spacing w:before="120" w:after="120" w:line="240" w:lineRule="auto"/>
        <w:ind w:left="709" w:hanging="425"/>
        <w:jc w:val="center"/>
        <w:rPr>
          <w:rFonts w:ascii="Rockwell" w:hAnsi="Rockwell"/>
          <w:bCs/>
          <w:i/>
        </w:rPr>
      </w:pPr>
      <w:r>
        <w:rPr>
          <w:rFonts w:ascii="Rockwell" w:hAnsi="Rockwell"/>
          <w:b/>
          <w:bCs/>
          <w:i/>
          <w:u w:val="single"/>
        </w:rPr>
        <w:lastRenderedPageBreak/>
        <w:t>Graphique n°18</w:t>
      </w:r>
      <w:r>
        <w:rPr>
          <w:rFonts w:ascii="Rockwell" w:hAnsi="Rockwell"/>
          <w:b/>
          <w:bCs/>
          <w:i/>
        </w:rPr>
        <w:t> :</w:t>
      </w:r>
      <w:r>
        <w:rPr>
          <w:rFonts w:ascii="Rockwell" w:hAnsi="Rockwell"/>
          <w:bCs/>
          <w:i/>
        </w:rPr>
        <w:t xml:space="preserve"> Représentation des informations thématiques selon les TA et TP</w:t>
      </w:r>
    </w:p>
    <w:p w14:paraId="07326E50" w14:textId="77777777" w:rsidR="00733207" w:rsidRDefault="00912BAE">
      <w:pPr>
        <w:tabs>
          <w:tab w:val="left" w:pos="1701"/>
        </w:tabs>
        <w:spacing w:before="120" w:after="120" w:line="240" w:lineRule="auto"/>
        <w:ind w:left="2268" w:hanging="993"/>
        <w:jc w:val="center"/>
        <w:rPr>
          <w:rFonts w:ascii="Rockwell" w:hAnsi="Rockwell"/>
          <w:bCs/>
          <w:i/>
        </w:rPr>
      </w:pPr>
      <w:proofErr w:type="gramStart"/>
      <w:r>
        <w:rPr>
          <w:rFonts w:ascii="Rockwell" w:hAnsi="Rockwell"/>
          <w:bCs/>
          <w:i/>
        </w:rPr>
        <w:t>dans</w:t>
      </w:r>
      <w:proofErr w:type="gramEnd"/>
      <w:r>
        <w:rPr>
          <w:rFonts w:ascii="Rockwell" w:hAnsi="Rockwell"/>
          <w:bCs/>
          <w:i/>
        </w:rPr>
        <w:t xml:space="preserve"> les télévisions (publiques et privées)</w:t>
      </w:r>
    </w:p>
    <w:p w14:paraId="34BE9B60" w14:textId="77777777" w:rsidR="00733207" w:rsidRDefault="00912BAE">
      <w:pPr>
        <w:spacing w:before="120" w:after="120" w:line="360" w:lineRule="auto"/>
        <w:jc w:val="center"/>
        <w:rPr>
          <w:rFonts w:ascii="Rockwell" w:hAnsi="Rockwell"/>
          <w:bCs/>
          <w:sz w:val="26"/>
          <w:szCs w:val="26"/>
        </w:rPr>
      </w:pPr>
      <w:r>
        <w:rPr>
          <w:rFonts w:ascii="Rockwell" w:hAnsi="Rockwell"/>
          <w:noProof/>
          <w:sz w:val="26"/>
          <w:szCs w:val="26"/>
          <w:lang w:eastAsia="fr-FR"/>
        </w:rPr>
        <w:drawing>
          <wp:inline distT="0" distB="0" distL="0" distR="0" wp14:anchorId="3B2A000C" wp14:editId="55508F0B">
            <wp:extent cx="5514975" cy="3381375"/>
            <wp:effectExtent l="0" t="0" r="9525" b="9525"/>
            <wp:docPr id="19" name="Graphique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F5B8114" w14:textId="77777777" w:rsidR="00733207" w:rsidRDefault="00733207">
      <w:pPr>
        <w:spacing w:before="120" w:after="120" w:line="360" w:lineRule="auto"/>
        <w:jc w:val="both"/>
        <w:rPr>
          <w:rFonts w:ascii="Rockwell" w:hAnsi="Rockwell"/>
          <w:bCs/>
          <w:sz w:val="16"/>
          <w:szCs w:val="16"/>
        </w:rPr>
      </w:pPr>
    </w:p>
    <w:p w14:paraId="44738F84" w14:textId="77777777" w:rsidR="00733207" w:rsidRDefault="00912BAE">
      <w:pPr>
        <w:pStyle w:val="Titre6"/>
        <w:numPr>
          <w:ilvl w:val="2"/>
          <w:numId w:val="27"/>
        </w:numPr>
        <w:jc w:val="both"/>
        <w:rPr>
          <w:rFonts w:ascii="Rockwell" w:hAnsi="Rockwell"/>
          <w:b/>
          <w:i/>
          <w:color w:val="auto"/>
          <w:sz w:val="26"/>
          <w:szCs w:val="26"/>
        </w:rPr>
      </w:pPr>
      <w:bookmarkStart w:id="317" w:name="_Toc161320258"/>
      <w:bookmarkStart w:id="318" w:name="_Toc169855149"/>
      <w:bookmarkStart w:id="319" w:name="_Toc175128517"/>
      <w:r>
        <w:rPr>
          <w:rFonts w:ascii="Rockwell" w:hAnsi="Rockwell"/>
          <w:b/>
          <w:i/>
          <w:color w:val="auto"/>
          <w:sz w:val="26"/>
          <w:szCs w:val="26"/>
        </w:rPr>
        <w:t>Classement des médias audiovisuels</w:t>
      </w:r>
      <w:bookmarkEnd w:id="317"/>
      <w:r>
        <w:rPr>
          <w:rFonts w:ascii="Rockwell" w:hAnsi="Rockwell"/>
          <w:b/>
          <w:i/>
          <w:color w:val="auto"/>
          <w:sz w:val="26"/>
          <w:szCs w:val="26"/>
        </w:rPr>
        <w:t xml:space="preserve"> en fonction des acteurs sociopolitiques</w:t>
      </w:r>
      <w:bookmarkEnd w:id="318"/>
      <w:bookmarkEnd w:id="319"/>
    </w:p>
    <w:p w14:paraId="20559E16" w14:textId="77777777" w:rsidR="00733207" w:rsidRDefault="00733207">
      <w:pPr>
        <w:pStyle w:val="Paragraphedeliste"/>
        <w:ind w:left="1080"/>
        <w:jc w:val="both"/>
        <w:rPr>
          <w:rFonts w:ascii="Rockwell" w:hAnsi="Rockwell"/>
          <w:sz w:val="10"/>
          <w:szCs w:val="10"/>
        </w:rPr>
      </w:pPr>
    </w:p>
    <w:p w14:paraId="0F9E7163" w14:textId="77777777" w:rsidR="00733207" w:rsidRDefault="00912BAE">
      <w:pPr>
        <w:spacing w:after="0" w:line="240" w:lineRule="auto"/>
        <w:ind w:left="709"/>
        <w:jc w:val="center"/>
        <w:rPr>
          <w:rFonts w:ascii="Rockwell" w:hAnsi="Rockwell"/>
          <w:bCs/>
          <w:i/>
        </w:rPr>
      </w:pPr>
      <w:r>
        <w:rPr>
          <w:rFonts w:ascii="Rockwell" w:hAnsi="Rockwell"/>
          <w:b/>
          <w:bCs/>
          <w:i/>
          <w:u w:val="single"/>
        </w:rPr>
        <w:t>Tableau n°21 :</w:t>
      </w:r>
      <w:r>
        <w:rPr>
          <w:rFonts w:ascii="Rockwell" w:hAnsi="Rockwell"/>
          <w:bCs/>
          <w:i/>
          <w:u w:val="single"/>
        </w:rPr>
        <w:t xml:space="preserve"> </w:t>
      </w:r>
      <w:r>
        <w:rPr>
          <w:rFonts w:ascii="Rockwell" w:hAnsi="Rockwell"/>
          <w:bCs/>
          <w:i/>
        </w:rPr>
        <w:t>Classement général des médias audiovisuels par TA et TP accordés aux acteurs sociopolitiques</w:t>
      </w:r>
    </w:p>
    <w:p w14:paraId="4C7089B4" w14:textId="77777777" w:rsidR="00733207" w:rsidRDefault="00733207">
      <w:pPr>
        <w:spacing w:after="0" w:line="240" w:lineRule="auto"/>
        <w:ind w:left="709"/>
        <w:jc w:val="center"/>
        <w:rPr>
          <w:rFonts w:ascii="Rockwell" w:hAnsi="Rockwell"/>
          <w:bCs/>
          <w:i/>
        </w:rPr>
      </w:pPr>
    </w:p>
    <w:tbl>
      <w:tblPr>
        <w:tblW w:w="9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5"/>
        <w:gridCol w:w="1510"/>
        <w:gridCol w:w="1377"/>
        <w:gridCol w:w="1378"/>
        <w:gridCol w:w="1377"/>
      </w:tblGrid>
      <w:tr w:rsidR="00733207" w14:paraId="15FAEF07" w14:textId="77777777">
        <w:trPr>
          <w:trHeight w:val="417"/>
          <w:jc w:val="center"/>
        </w:trPr>
        <w:tc>
          <w:tcPr>
            <w:tcW w:w="3625" w:type="dxa"/>
            <w:shd w:val="clear" w:color="auto" w:fill="auto"/>
          </w:tcPr>
          <w:p w14:paraId="145F94B6"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MEDIAS</w:t>
            </w:r>
          </w:p>
        </w:tc>
        <w:tc>
          <w:tcPr>
            <w:tcW w:w="1510" w:type="dxa"/>
            <w:shd w:val="clear" w:color="auto" w:fill="auto"/>
          </w:tcPr>
          <w:p w14:paraId="31D8C72F"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TA</w:t>
            </w:r>
          </w:p>
        </w:tc>
        <w:tc>
          <w:tcPr>
            <w:tcW w:w="1377" w:type="dxa"/>
            <w:shd w:val="clear" w:color="auto" w:fill="auto"/>
          </w:tcPr>
          <w:p w14:paraId="645E3156"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TA</w:t>
            </w:r>
          </w:p>
        </w:tc>
        <w:tc>
          <w:tcPr>
            <w:tcW w:w="1378" w:type="dxa"/>
            <w:shd w:val="clear" w:color="auto" w:fill="auto"/>
          </w:tcPr>
          <w:p w14:paraId="0C97933A"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TP</w:t>
            </w:r>
          </w:p>
        </w:tc>
        <w:tc>
          <w:tcPr>
            <w:tcW w:w="1377" w:type="dxa"/>
            <w:shd w:val="clear" w:color="auto" w:fill="auto"/>
          </w:tcPr>
          <w:p w14:paraId="2DF7C986"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 TP</w:t>
            </w:r>
          </w:p>
        </w:tc>
      </w:tr>
      <w:tr w:rsidR="00733207" w14:paraId="5E6FB6D6" w14:textId="77777777">
        <w:trPr>
          <w:trHeight w:val="68"/>
          <w:jc w:val="center"/>
        </w:trPr>
        <w:tc>
          <w:tcPr>
            <w:tcW w:w="3625" w:type="dxa"/>
            <w:shd w:val="clear" w:color="auto" w:fill="auto"/>
          </w:tcPr>
          <w:p w14:paraId="56B08EBF"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TELEVISION 3TV</w:t>
            </w:r>
          </w:p>
        </w:tc>
        <w:tc>
          <w:tcPr>
            <w:tcW w:w="1510" w:type="dxa"/>
            <w:shd w:val="clear" w:color="auto" w:fill="auto"/>
          </w:tcPr>
          <w:p w14:paraId="4E611FDC"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44:</w:t>
            </w:r>
            <w:proofErr w:type="gramEnd"/>
            <w:r>
              <w:rPr>
                <w:rFonts w:ascii="Rockwell" w:eastAsia="Times New Roman" w:hAnsi="Rockwell" w:cs="Calibri"/>
                <w:color w:val="000000"/>
                <w:sz w:val="24"/>
                <w:szCs w:val="24"/>
              </w:rPr>
              <w:t>26:21</w:t>
            </w:r>
          </w:p>
        </w:tc>
        <w:tc>
          <w:tcPr>
            <w:tcW w:w="1377" w:type="dxa"/>
            <w:shd w:val="clear" w:color="auto" w:fill="auto"/>
          </w:tcPr>
          <w:p w14:paraId="7F101907"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31,36%</w:t>
            </w:r>
          </w:p>
        </w:tc>
        <w:tc>
          <w:tcPr>
            <w:tcW w:w="1378" w:type="dxa"/>
            <w:shd w:val="clear" w:color="auto" w:fill="auto"/>
          </w:tcPr>
          <w:p w14:paraId="279D2724"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15:</w:t>
            </w:r>
            <w:proofErr w:type="gramEnd"/>
            <w:r>
              <w:rPr>
                <w:rFonts w:ascii="Rockwell" w:eastAsia="Times New Roman" w:hAnsi="Rockwell" w:cs="Calibri"/>
                <w:color w:val="000000"/>
                <w:sz w:val="24"/>
                <w:szCs w:val="24"/>
              </w:rPr>
              <w:t>39:52</w:t>
            </w:r>
          </w:p>
        </w:tc>
        <w:tc>
          <w:tcPr>
            <w:tcW w:w="1377" w:type="dxa"/>
            <w:shd w:val="clear" w:color="auto" w:fill="auto"/>
          </w:tcPr>
          <w:p w14:paraId="52F364D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26,76%</w:t>
            </w:r>
          </w:p>
        </w:tc>
      </w:tr>
      <w:tr w:rsidR="00733207" w14:paraId="6DED73E9" w14:textId="77777777">
        <w:trPr>
          <w:trHeight w:val="68"/>
          <w:jc w:val="center"/>
        </w:trPr>
        <w:tc>
          <w:tcPr>
            <w:tcW w:w="3625" w:type="dxa"/>
            <w:shd w:val="clear" w:color="auto" w:fill="auto"/>
          </w:tcPr>
          <w:p w14:paraId="7EC614D1" w14:textId="0F57990C"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w:t>
            </w:r>
            <w:r w:rsidR="004935F0">
              <w:rPr>
                <w:rFonts w:ascii="Rockwell" w:eastAsia="Times New Roman" w:hAnsi="Rockwell"/>
                <w:b/>
                <w:bCs/>
                <w:color w:val="000000"/>
                <w:sz w:val="24"/>
                <w:szCs w:val="24"/>
              </w:rPr>
              <w:t>T</w:t>
            </w:r>
            <w:r>
              <w:rPr>
                <w:rFonts w:ascii="Rockwell" w:eastAsia="Times New Roman" w:hAnsi="Rockwell"/>
                <w:b/>
                <w:bCs/>
                <w:color w:val="000000"/>
                <w:sz w:val="24"/>
                <w:szCs w:val="24"/>
              </w:rPr>
              <w:t>B</w:t>
            </w:r>
            <w:r w:rsidR="003B5121">
              <w:rPr>
                <w:rFonts w:ascii="Rockwell" w:eastAsia="Times New Roman" w:hAnsi="Rockwell"/>
                <w:b/>
                <w:bCs/>
                <w:color w:val="000000"/>
                <w:sz w:val="24"/>
                <w:szCs w:val="24"/>
              </w:rPr>
              <w:t>/radio</w:t>
            </w:r>
          </w:p>
        </w:tc>
        <w:tc>
          <w:tcPr>
            <w:tcW w:w="1510" w:type="dxa"/>
            <w:shd w:val="clear" w:color="auto" w:fill="auto"/>
          </w:tcPr>
          <w:p w14:paraId="10199768"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21:</w:t>
            </w:r>
            <w:proofErr w:type="gramEnd"/>
            <w:r>
              <w:rPr>
                <w:rFonts w:ascii="Rockwell" w:eastAsia="Times New Roman" w:hAnsi="Rockwell" w:cs="Calibri"/>
                <w:color w:val="000000"/>
                <w:sz w:val="24"/>
                <w:szCs w:val="24"/>
              </w:rPr>
              <w:t>56:00</w:t>
            </w:r>
          </w:p>
        </w:tc>
        <w:tc>
          <w:tcPr>
            <w:tcW w:w="1377" w:type="dxa"/>
            <w:shd w:val="clear" w:color="auto" w:fill="auto"/>
          </w:tcPr>
          <w:p w14:paraId="40D21F76"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15,48%</w:t>
            </w:r>
          </w:p>
        </w:tc>
        <w:tc>
          <w:tcPr>
            <w:tcW w:w="1378" w:type="dxa"/>
            <w:shd w:val="clear" w:color="auto" w:fill="auto"/>
          </w:tcPr>
          <w:p w14:paraId="580DD1ED"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9:</w:t>
            </w:r>
            <w:proofErr w:type="gramEnd"/>
            <w:r>
              <w:rPr>
                <w:rFonts w:ascii="Rockwell" w:eastAsia="Times New Roman" w:hAnsi="Rockwell" w:cs="Calibri"/>
                <w:color w:val="000000"/>
                <w:sz w:val="24"/>
                <w:szCs w:val="24"/>
              </w:rPr>
              <w:t>37:36</w:t>
            </w:r>
          </w:p>
        </w:tc>
        <w:tc>
          <w:tcPr>
            <w:tcW w:w="1377" w:type="dxa"/>
            <w:shd w:val="clear" w:color="auto" w:fill="auto"/>
          </w:tcPr>
          <w:p w14:paraId="253B45B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16,45%</w:t>
            </w:r>
          </w:p>
        </w:tc>
      </w:tr>
      <w:tr w:rsidR="00733207" w14:paraId="78D1C5A0" w14:textId="77777777">
        <w:trPr>
          <w:trHeight w:val="68"/>
          <w:jc w:val="center"/>
        </w:trPr>
        <w:tc>
          <w:tcPr>
            <w:tcW w:w="3625" w:type="dxa"/>
            <w:shd w:val="clear" w:color="auto" w:fill="auto"/>
          </w:tcPr>
          <w:p w14:paraId="49849EF7"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TELEVISION BF1</w:t>
            </w:r>
          </w:p>
        </w:tc>
        <w:tc>
          <w:tcPr>
            <w:tcW w:w="1510" w:type="dxa"/>
            <w:shd w:val="clear" w:color="auto" w:fill="auto"/>
          </w:tcPr>
          <w:p w14:paraId="7FD3442A"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21:</w:t>
            </w:r>
            <w:proofErr w:type="gramEnd"/>
            <w:r>
              <w:rPr>
                <w:rFonts w:ascii="Rockwell" w:eastAsia="Times New Roman" w:hAnsi="Rockwell" w:cs="Calibri"/>
                <w:color w:val="000000"/>
                <w:sz w:val="24"/>
                <w:szCs w:val="24"/>
              </w:rPr>
              <w:t>42:45</w:t>
            </w:r>
          </w:p>
        </w:tc>
        <w:tc>
          <w:tcPr>
            <w:tcW w:w="1377" w:type="dxa"/>
            <w:shd w:val="clear" w:color="auto" w:fill="auto"/>
          </w:tcPr>
          <w:p w14:paraId="66EB08A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15,32%</w:t>
            </w:r>
          </w:p>
        </w:tc>
        <w:tc>
          <w:tcPr>
            <w:tcW w:w="1378" w:type="dxa"/>
            <w:shd w:val="clear" w:color="auto" w:fill="auto"/>
          </w:tcPr>
          <w:p w14:paraId="61B8B3C8"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6:</w:t>
            </w:r>
            <w:proofErr w:type="gramEnd"/>
            <w:r>
              <w:rPr>
                <w:rFonts w:ascii="Rockwell" w:eastAsia="Times New Roman" w:hAnsi="Rockwell" w:cs="Calibri"/>
                <w:color w:val="000000"/>
                <w:sz w:val="24"/>
                <w:szCs w:val="24"/>
              </w:rPr>
              <w:t>41:11</w:t>
            </w:r>
          </w:p>
        </w:tc>
        <w:tc>
          <w:tcPr>
            <w:tcW w:w="1377" w:type="dxa"/>
            <w:shd w:val="clear" w:color="auto" w:fill="auto"/>
          </w:tcPr>
          <w:p w14:paraId="05D5DED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11,42%</w:t>
            </w:r>
          </w:p>
        </w:tc>
      </w:tr>
      <w:tr w:rsidR="00733207" w14:paraId="3A722B5D" w14:textId="77777777">
        <w:trPr>
          <w:trHeight w:val="222"/>
          <w:jc w:val="center"/>
        </w:trPr>
        <w:tc>
          <w:tcPr>
            <w:tcW w:w="3625" w:type="dxa"/>
            <w:shd w:val="clear" w:color="auto" w:fill="auto"/>
          </w:tcPr>
          <w:p w14:paraId="229772D4"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RADIO OUAGA FM</w:t>
            </w:r>
          </w:p>
        </w:tc>
        <w:tc>
          <w:tcPr>
            <w:tcW w:w="1510" w:type="dxa"/>
            <w:shd w:val="clear" w:color="auto" w:fill="auto"/>
          </w:tcPr>
          <w:p w14:paraId="271CF17B"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15:</w:t>
            </w:r>
            <w:proofErr w:type="gramEnd"/>
            <w:r>
              <w:rPr>
                <w:rFonts w:ascii="Rockwell" w:eastAsia="Times New Roman" w:hAnsi="Rockwell" w:cs="Calibri"/>
                <w:color w:val="000000"/>
                <w:sz w:val="24"/>
                <w:szCs w:val="24"/>
              </w:rPr>
              <w:t>31:43</w:t>
            </w:r>
          </w:p>
        </w:tc>
        <w:tc>
          <w:tcPr>
            <w:tcW w:w="1377" w:type="dxa"/>
            <w:shd w:val="clear" w:color="auto" w:fill="auto"/>
          </w:tcPr>
          <w:p w14:paraId="1C68B395"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10,96%</w:t>
            </w:r>
          </w:p>
        </w:tc>
        <w:tc>
          <w:tcPr>
            <w:tcW w:w="1378" w:type="dxa"/>
            <w:shd w:val="clear" w:color="auto" w:fill="auto"/>
          </w:tcPr>
          <w:p w14:paraId="77BE21EF"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7:</w:t>
            </w:r>
            <w:proofErr w:type="gramEnd"/>
            <w:r>
              <w:rPr>
                <w:rFonts w:ascii="Rockwell" w:eastAsia="Times New Roman" w:hAnsi="Rockwell" w:cs="Calibri"/>
                <w:color w:val="000000"/>
                <w:sz w:val="24"/>
                <w:szCs w:val="24"/>
              </w:rPr>
              <w:t>00:48</w:t>
            </w:r>
          </w:p>
        </w:tc>
        <w:tc>
          <w:tcPr>
            <w:tcW w:w="1377" w:type="dxa"/>
            <w:shd w:val="clear" w:color="auto" w:fill="auto"/>
          </w:tcPr>
          <w:p w14:paraId="5428C09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11,98%</w:t>
            </w:r>
          </w:p>
        </w:tc>
      </w:tr>
      <w:tr w:rsidR="00733207" w14:paraId="7F6753E4" w14:textId="77777777">
        <w:trPr>
          <w:trHeight w:val="68"/>
          <w:jc w:val="center"/>
        </w:trPr>
        <w:tc>
          <w:tcPr>
            <w:tcW w:w="3625" w:type="dxa"/>
            <w:shd w:val="clear" w:color="auto" w:fill="auto"/>
          </w:tcPr>
          <w:p w14:paraId="48F670F1"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RADIO OMEGA FM</w:t>
            </w:r>
          </w:p>
        </w:tc>
        <w:tc>
          <w:tcPr>
            <w:tcW w:w="1510" w:type="dxa"/>
            <w:shd w:val="clear" w:color="auto" w:fill="auto"/>
          </w:tcPr>
          <w:p w14:paraId="3157A571"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13:</w:t>
            </w:r>
            <w:proofErr w:type="gramEnd"/>
            <w:r>
              <w:rPr>
                <w:rFonts w:ascii="Rockwell" w:eastAsia="Times New Roman" w:hAnsi="Rockwell" w:cs="Calibri"/>
                <w:color w:val="000000"/>
                <w:sz w:val="24"/>
                <w:szCs w:val="24"/>
              </w:rPr>
              <w:t>37:58</w:t>
            </w:r>
          </w:p>
        </w:tc>
        <w:tc>
          <w:tcPr>
            <w:tcW w:w="1377" w:type="dxa"/>
            <w:shd w:val="clear" w:color="auto" w:fill="auto"/>
          </w:tcPr>
          <w:p w14:paraId="0A72BC5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9,62%</w:t>
            </w:r>
          </w:p>
        </w:tc>
        <w:tc>
          <w:tcPr>
            <w:tcW w:w="1378" w:type="dxa"/>
            <w:shd w:val="clear" w:color="auto" w:fill="auto"/>
          </w:tcPr>
          <w:p w14:paraId="6EB10D3B"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w:t>
            </w:r>
            <w:proofErr w:type="gramEnd"/>
            <w:r>
              <w:rPr>
                <w:rFonts w:ascii="Rockwell" w:eastAsia="Times New Roman" w:hAnsi="Rockwell" w:cs="Calibri"/>
                <w:color w:val="000000"/>
                <w:sz w:val="24"/>
                <w:szCs w:val="24"/>
              </w:rPr>
              <w:t>40:52</w:t>
            </w:r>
          </w:p>
        </w:tc>
        <w:tc>
          <w:tcPr>
            <w:tcW w:w="1377" w:type="dxa"/>
            <w:shd w:val="clear" w:color="auto" w:fill="auto"/>
          </w:tcPr>
          <w:p w14:paraId="19557B49"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8,00%</w:t>
            </w:r>
          </w:p>
        </w:tc>
      </w:tr>
      <w:tr w:rsidR="00733207" w14:paraId="350F03BE" w14:textId="77777777">
        <w:trPr>
          <w:trHeight w:val="68"/>
          <w:jc w:val="center"/>
        </w:trPr>
        <w:tc>
          <w:tcPr>
            <w:tcW w:w="3625" w:type="dxa"/>
            <w:shd w:val="clear" w:color="auto" w:fill="auto"/>
          </w:tcPr>
          <w:p w14:paraId="3A0A50C2" w14:textId="77777777"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RADIO SAVANE FM</w:t>
            </w:r>
          </w:p>
        </w:tc>
        <w:tc>
          <w:tcPr>
            <w:tcW w:w="1510" w:type="dxa"/>
            <w:shd w:val="clear" w:color="auto" w:fill="auto"/>
          </w:tcPr>
          <w:p w14:paraId="38C8F0ED"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12:</w:t>
            </w:r>
            <w:proofErr w:type="gramEnd"/>
            <w:r>
              <w:rPr>
                <w:rFonts w:ascii="Rockwell" w:eastAsia="Times New Roman" w:hAnsi="Rockwell" w:cs="Calibri"/>
                <w:color w:val="000000"/>
                <w:sz w:val="24"/>
                <w:szCs w:val="24"/>
              </w:rPr>
              <w:t>20:46</w:t>
            </w:r>
          </w:p>
        </w:tc>
        <w:tc>
          <w:tcPr>
            <w:tcW w:w="1377" w:type="dxa"/>
            <w:shd w:val="clear" w:color="auto" w:fill="auto"/>
          </w:tcPr>
          <w:p w14:paraId="0FCF94C2"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8,71%</w:t>
            </w:r>
          </w:p>
        </w:tc>
        <w:tc>
          <w:tcPr>
            <w:tcW w:w="1378" w:type="dxa"/>
            <w:shd w:val="clear" w:color="auto" w:fill="auto"/>
          </w:tcPr>
          <w:p w14:paraId="298A9618"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w:t>
            </w:r>
            <w:proofErr w:type="gramEnd"/>
            <w:r>
              <w:rPr>
                <w:rFonts w:ascii="Rockwell" w:eastAsia="Times New Roman" w:hAnsi="Rockwell" w:cs="Calibri"/>
                <w:color w:val="000000"/>
                <w:sz w:val="24"/>
                <w:szCs w:val="24"/>
              </w:rPr>
              <w:t>55:21</w:t>
            </w:r>
          </w:p>
        </w:tc>
        <w:tc>
          <w:tcPr>
            <w:tcW w:w="1377" w:type="dxa"/>
            <w:shd w:val="clear" w:color="auto" w:fill="auto"/>
          </w:tcPr>
          <w:p w14:paraId="44ACD25D"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8,41%</w:t>
            </w:r>
          </w:p>
        </w:tc>
      </w:tr>
      <w:tr w:rsidR="00733207" w14:paraId="5F2ED220" w14:textId="77777777">
        <w:trPr>
          <w:trHeight w:val="68"/>
          <w:jc w:val="center"/>
        </w:trPr>
        <w:tc>
          <w:tcPr>
            <w:tcW w:w="3625" w:type="dxa"/>
            <w:shd w:val="clear" w:color="auto" w:fill="auto"/>
          </w:tcPr>
          <w:p w14:paraId="1C0F4E37" w14:textId="20CB1234" w:rsidR="00733207" w:rsidRDefault="00912BAE">
            <w:pPr>
              <w:spacing w:after="0" w:line="36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RTB</w:t>
            </w:r>
            <w:r w:rsidR="003B5121">
              <w:rPr>
                <w:rFonts w:ascii="Rockwell" w:eastAsia="Times New Roman" w:hAnsi="Rockwell"/>
                <w:b/>
                <w:bCs/>
                <w:color w:val="000000"/>
                <w:sz w:val="24"/>
                <w:szCs w:val="24"/>
              </w:rPr>
              <w:t>/</w:t>
            </w:r>
            <w:r w:rsidR="00C57A51">
              <w:rPr>
                <w:rFonts w:ascii="Rockwell" w:eastAsia="Times New Roman" w:hAnsi="Rockwell"/>
                <w:b/>
                <w:bCs/>
                <w:color w:val="000000"/>
                <w:sz w:val="24"/>
                <w:szCs w:val="24"/>
              </w:rPr>
              <w:t xml:space="preserve">télé </w:t>
            </w:r>
          </w:p>
        </w:tc>
        <w:tc>
          <w:tcPr>
            <w:tcW w:w="1510" w:type="dxa"/>
            <w:shd w:val="clear" w:color="auto" w:fill="auto"/>
          </w:tcPr>
          <w:p w14:paraId="123864AE"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12:</w:t>
            </w:r>
            <w:proofErr w:type="gramEnd"/>
            <w:r>
              <w:rPr>
                <w:rFonts w:ascii="Rockwell" w:eastAsia="Times New Roman" w:hAnsi="Rockwell" w:cs="Calibri"/>
                <w:color w:val="000000"/>
                <w:sz w:val="24"/>
                <w:szCs w:val="24"/>
              </w:rPr>
              <w:t>07:13</w:t>
            </w:r>
          </w:p>
        </w:tc>
        <w:tc>
          <w:tcPr>
            <w:tcW w:w="1377" w:type="dxa"/>
            <w:shd w:val="clear" w:color="auto" w:fill="auto"/>
          </w:tcPr>
          <w:p w14:paraId="187B32BE"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8,55%</w:t>
            </w:r>
          </w:p>
        </w:tc>
        <w:tc>
          <w:tcPr>
            <w:tcW w:w="1378" w:type="dxa"/>
            <w:shd w:val="clear" w:color="auto" w:fill="auto"/>
          </w:tcPr>
          <w:p w14:paraId="49565A18" w14:textId="77777777" w:rsidR="00733207" w:rsidRDefault="00912BAE">
            <w:pPr>
              <w:spacing w:after="0" w:line="36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9:</w:t>
            </w:r>
            <w:proofErr w:type="gramEnd"/>
            <w:r>
              <w:rPr>
                <w:rFonts w:ascii="Rockwell" w:eastAsia="Times New Roman" w:hAnsi="Rockwell" w:cs="Calibri"/>
                <w:color w:val="000000"/>
                <w:sz w:val="24"/>
                <w:szCs w:val="24"/>
              </w:rPr>
              <w:t>56:04</w:t>
            </w:r>
          </w:p>
        </w:tc>
        <w:tc>
          <w:tcPr>
            <w:tcW w:w="1377" w:type="dxa"/>
            <w:shd w:val="clear" w:color="auto" w:fill="auto"/>
          </w:tcPr>
          <w:p w14:paraId="10CB37F8" w14:textId="77777777" w:rsidR="00733207" w:rsidRDefault="00912BAE">
            <w:pPr>
              <w:spacing w:after="0" w:line="360" w:lineRule="auto"/>
              <w:jc w:val="both"/>
              <w:rPr>
                <w:rFonts w:ascii="Rockwell" w:eastAsia="Times New Roman" w:hAnsi="Rockwell" w:cs="Calibri"/>
                <w:color w:val="000000"/>
                <w:sz w:val="24"/>
                <w:szCs w:val="24"/>
              </w:rPr>
            </w:pPr>
            <w:r>
              <w:rPr>
                <w:rFonts w:ascii="Rockwell" w:eastAsia="Times New Roman" w:hAnsi="Rockwell" w:cs="Calibri"/>
                <w:color w:val="000000"/>
                <w:sz w:val="24"/>
                <w:szCs w:val="24"/>
              </w:rPr>
              <w:t>16,97%</w:t>
            </w:r>
          </w:p>
        </w:tc>
      </w:tr>
      <w:tr w:rsidR="00733207" w14:paraId="0A3E4139" w14:textId="77777777">
        <w:trPr>
          <w:trHeight w:val="359"/>
          <w:jc w:val="center"/>
        </w:trPr>
        <w:tc>
          <w:tcPr>
            <w:tcW w:w="3625" w:type="dxa"/>
            <w:shd w:val="clear" w:color="auto" w:fill="auto"/>
          </w:tcPr>
          <w:p w14:paraId="223FF5D6"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TOTAL</w:t>
            </w:r>
          </w:p>
        </w:tc>
        <w:tc>
          <w:tcPr>
            <w:tcW w:w="1510" w:type="dxa"/>
            <w:shd w:val="clear" w:color="auto" w:fill="auto"/>
          </w:tcPr>
          <w:p w14:paraId="0AC6CEEA" w14:textId="77777777" w:rsidR="00733207" w:rsidRDefault="00912BAE">
            <w:pPr>
              <w:spacing w:after="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141:</w:t>
            </w:r>
            <w:proofErr w:type="gramEnd"/>
            <w:r>
              <w:rPr>
                <w:rFonts w:ascii="Rockwell" w:eastAsia="Times New Roman" w:hAnsi="Rockwell" w:cs="Calibri"/>
                <w:b/>
                <w:bCs/>
                <w:color w:val="000000"/>
                <w:sz w:val="24"/>
                <w:szCs w:val="24"/>
              </w:rPr>
              <w:t>42:46</w:t>
            </w:r>
          </w:p>
        </w:tc>
        <w:tc>
          <w:tcPr>
            <w:tcW w:w="1377" w:type="dxa"/>
            <w:shd w:val="clear" w:color="auto" w:fill="auto"/>
          </w:tcPr>
          <w:p w14:paraId="07FC9504"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c>
          <w:tcPr>
            <w:tcW w:w="1378" w:type="dxa"/>
            <w:shd w:val="clear" w:color="auto" w:fill="auto"/>
          </w:tcPr>
          <w:p w14:paraId="7FED8228" w14:textId="77777777" w:rsidR="00733207" w:rsidRDefault="00912BAE">
            <w:pPr>
              <w:spacing w:after="0" w:line="360" w:lineRule="auto"/>
              <w:jc w:val="both"/>
              <w:rPr>
                <w:rFonts w:ascii="Rockwell" w:eastAsia="Times New Roman" w:hAnsi="Rockwell" w:cs="Calibri"/>
                <w:b/>
                <w:bCs/>
                <w:color w:val="000000"/>
                <w:sz w:val="24"/>
                <w:szCs w:val="24"/>
              </w:rPr>
            </w:pPr>
            <w:proofErr w:type="gramStart"/>
            <w:r>
              <w:rPr>
                <w:rFonts w:ascii="Rockwell" w:eastAsia="Times New Roman" w:hAnsi="Rockwell" w:cs="Calibri"/>
                <w:b/>
                <w:bCs/>
                <w:color w:val="000000"/>
                <w:sz w:val="24"/>
                <w:szCs w:val="24"/>
              </w:rPr>
              <w:t>58:</w:t>
            </w:r>
            <w:proofErr w:type="gramEnd"/>
            <w:r>
              <w:rPr>
                <w:rFonts w:ascii="Rockwell" w:eastAsia="Times New Roman" w:hAnsi="Rockwell" w:cs="Calibri"/>
                <w:b/>
                <w:bCs/>
                <w:color w:val="000000"/>
                <w:sz w:val="24"/>
                <w:szCs w:val="24"/>
              </w:rPr>
              <w:t>31:44</w:t>
            </w:r>
          </w:p>
        </w:tc>
        <w:tc>
          <w:tcPr>
            <w:tcW w:w="1377" w:type="dxa"/>
            <w:shd w:val="clear" w:color="auto" w:fill="auto"/>
          </w:tcPr>
          <w:p w14:paraId="55A73237" w14:textId="77777777" w:rsidR="00733207" w:rsidRDefault="00912BAE">
            <w:pPr>
              <w:spacing w:after="0" w:line="360" w:lineRule="auto"/>
              <w:jc w:val="both"/>
              <w:rPr>
                <w:rFonts w:ascii="Rockwell" w:eastAsia="Times New Roman" w:hAnsi="Rockwell" w:cs="Calibri"/>
                <w:b/>
                <w:bCs/>
                <w:color w:val="000000"/>
                <w:sz w:val="24"/>
                <w:szCs w:val="24"/>
              </w:rPr>
            </w:pPr>
            <w:r>
              <w:rPr>
                <w:rFonts w:ascii="Rockwell" w:eastAsia="Times New Roman" w:hAnsi="Rockwell" w:cs="Calibri"/>
                <w:b/>
                <w:bCs/>
                <w:color w:val="000000"/>
                <w:sz w:val="24"/>
                <w:szCs w:val="24"/>
              </w:rPr>
              <w:t>100,00%</w:t>
            </w:r>
          </w:p>
        </w:tc>
      </w:tr>
    </w:tbl>
    <w:p w14:paraId="72943520" w14:textId="77777777" w:rsidR="00733207" w:rsidRDefault="00912BAE">
      <w:pPr>
        <w:spacing w:before="120" w:after="120" w:line="360" w:lineRule="auto"/>
        <w:ind w:left="284"/>
        <w:jc w:val="both"/>
        <w:rPr>
          <w:rFonts w:ascii="Rockwell" w:hAnsi="Rockwell"/>
          <w:i/>
        </w:rPr>
        <w:sectPr w:rsidR="00733207">
          <w:pgSz w:w="11906" w:h="16838"/>
          <w:pgMar w:top="1418" w:right="851" w:bottom="1560" w:left="1560" w:header="426" w:footer="567" w:gutter="0"/>
          <w:cols w:space="708"/>
          <w:docGrid w:linePitch="360"/>
        </w:sectPr>
      </w:pPr>
      <w:r>
        <w:rPr>
          <w:rFonts w:ascii="Rockwell" w:hAnsi="Rockwell"/>
          <w:b/>
          <w:i/>
          <w:u w:val="single"/>
        </w:rPr>
        <w:t>Source </w:t>
      </w:r>
      <w:r>
        <w:rPr>
          <w:rFonts w:ascii="Rockwell" w:hAnsi="Rockwell"/>
          <w:i/>
        </w:rPr>
        <w:t>: CSC</w:t>
      </w:r>
    </w:p>
    <w:p w14:paraId="1AC8F5A2" w14:textId="77777777" w:rsidR="00733207" w:rsidRDefault="00912BAE">
      <w:pPr>
        <w:spacing w:before="120" w:after="120" w:line="240" w:lineRule="auto"/>
        <w:ind w:left="2124" w:hanging="1557"/>
        <w:jc w:val="both"/>
        <w:rPr>
          <w:rFonts w:ascii="Rockwell" w:eastAsia="Times New Roman" w:hAnsi="Rockwell"/>
          <w:i/>
        </w:rPr>
      </w:pPr>
      <w:r>
        <w:rPr>
          <w:rFonts w:ascii="Rockwell" w:eastAsia="Times New Roman" w:hAnsi="Rockwell"/>
          <w:b/>
          <w:i/>
          <w:u w:val="single"/>
        </w:rPr>
        <w:lastRenderedPageBreak/>
        <w:t>Graphique n°19</w:t>
      </w:r>
      <w:r>
        <w:rPr>
          <w:rFonts w:ascii="Rockwell" w:eastAsia="Times New Roman" w:hAnsi="Rockwell"/>
          <w:i/>
        </w:rPr>
        <w:t xml:space="preserve"> : représentation du </w:t>
      </w:r>
      <w:r>
        <w:rPr>
          <w:rFonts w:ascii="Rockwell" w:hAnsi="Rockwell"/>
          <w:bCs/>
          <w:i/>
        </w:rPr>
        <w:t>classement général des médias audiovisuels par TA et TP accordés aux acteurs sociopolitiques</w:t>
      </w:r>
    </w:p>
    <w:p w14:paraId="2A841315" w14:textId="77777777" w:rsidR="00733207" w:rsidRDefault="00733207">
      <w:pPr>
        <w:spacing w:before="120" w:after="120" w:line="240" w:lineRule="auto"/>
        <w:ind w:left="1418"/>
        <w:jc w:val="both"/>
        <w:rPr>
          <w:rFonts w:ascii="Rockwell" w:hAnsi="Rockwell"/>
          <w:bCs/>
          <w:i/>
          <w:sz w:val="16"/>
          <w:szCs w:val="16"/>
        </w:rPr>
      </w:pPr>
    </w:p>
    <w:p w14:paraId="27DCCE31" w14:textId="77777777" w:rsidR="00733207" w:rsidRDefault="00912BAE">
      <w:pPr>
        <w:spacing w:before="120" w:after="120" w:line="360" w:lineRule="auto"/>
        <w:jc w:val="center"/>
        <w:rPr>
          <w:rFonts w:ascii="Rockwell" w:hAnsi="Rockwell"/>
          <w:sz w:val="26"/>
          <w:szCs w:val="26"/>
        </w:rPr>
      </w:pPr>
      <w:r>
        <w:rPr>
          <w:rFonts w:ascii="Rockwell" w:hAnsi="Rockwell"/>
          <w:noProof/>
          <w:sz w:val="26"/>
          <w:szCs w:val="26"/>
          <w:lang w:eastAsia="fr-FR"/>
        </w:rPr>
        <w:drawing>
          <wp:inline distT="0" distB="0" distL="0" distR="0" wp14:anchorId="0E8C8C2A" wp14:editId="40E9E1B4">
            <wp:extent cx="5429250" cy="3648075"/>
            <wp:effectExtent l="0" t="0" r="0" b="9525"/>
            <wp:docPr id="18" name="Graphique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5CDF052A" w14:textId="77777777" w:rsidR="00733207" w:rsidRDefault="00733207">
      <w:pPr>
        <w:spacing w:before="120" w:after="120" w:line="240" w:lineRule="auto"/>
        <w:ind w:left="708"/>
        <w:jc w:val="both"/>
        <w:rPr>
          <w:rFonts w:ascii="Rockwell" w:hAnsi="Rockwell"/>
          <w:b/>
          <w:bCs/>
          <w:i/>
          <w:sz w:val="18"/>
          <w:szCs w:val="18"/>
          <w:u w:val="single"/>
        </w:rPr>
      </w:pPr>
    </w:p>
    <w:p w14:paraId="72D61484" w14:textId="77777777" w:rsidR="00733207" w:rsidRDefault="00912BAE">
      <w:pPr>
        <w:spacing w:before="120" w:after="120" w:line="240" w:lineRule="auto"/>
        <w:jc w:val="center"/>
        <w:rPr>
          <w:rFonts w:ascii="Rockwell" w:hAnsi="Rockwell"/>
          <w:bCs/>
          <w:i/>
        </w:rPr>
      </w:pPr>
      <w:r>
        <w:rPr>
          <w:rFonts w:ascii="Rockwell" w:hAnsi="Rockwell"/>
          <w:b/>
          <w:bCs/>
          <w:i/>
          <w:u w:val="single"/>
        </w:rPr>
        <w:t>Tableau n°22</w:t>
      </w:r>
      <w:r>
        <w:rPr>
          <w:rFonts w:ascii="Rockwell" w:hAnsi="Rockwell"/>
          <w:bCs/>
          <w:i/>
          <w:color w:val="FF0000"/>
        </w:rPr>
        <w:t xml:space="preserve"> : </w:t>
      </w:r>
      <w:r>
        <w:rPr>
          <w:rFonts w:ascii="Rockwell" w:hAnsi="Rockwell"/>
          <w:bCs/>
          <w:i/>
        </w:rPr>
        <w:t>Classement général des médias audiovisuels par TA et TP accordés aux informations thématiques</w:t>
      </w:r>
    </w:p>
    <w:p w14:paraId="19DDFA40" w14:textId="77777777" w:rsidR="00733207" w:rsidRDefault="00733207">
      <w:pPr>
        <w:spacing w:before="120" w:after="120" w:line="240" w:lineRule="auto"/>
        <w:ind w:left="708"/>
        <w:jc w:val="both"/>
        <w:rPr>
          <w:rFonts w:ascii="Rockwell" w:hAnsi="Rockwell"/>
          <w:bCs/>
          <w:i/>
          <w:sz w:val="10"/>
          <w:szCs w:val="10"/>
        </w:rPr>
      </w:pP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2"/>
        <w:gridCol w:w="1538"/>
        <w:gridCol w:w="1389"/>
        <w:gridCol w:w="1384"/>
        <w:gridCol w:w="1389"/>
      </w:tblGrid>
      <w:tr w:rsidR="00733207" w14:paraId="59AA5D88" w14:textId="77777777">
        <w:trPr>
          <w:trHeight w:val="309"/>
          <w:jc w:val="center"/>
        </w:trPr>
        <w:tc>
          <w:tcPr>
            <w:tcW w:w="3882" w:type="dxa"/>
            <w:shd w:val="clear" w:color="auto" w:fill="auto"/>
          </w:tcPr>
          <w:p w14:paraId="73D62B1C" w14:textId="77777777" w:rsidR="00733207" w:rsidRDefault="00912BAE">
            <w:pPr>
              <w:spacing w:after="0" w:line="480" w:lineRule="auto"/>
              <w:jc w:val="both"/>
              <w:rPr>
                <w:rFonts w:ascii="Rockwell" w:eastAsia="Times New Roman" w:hAnsi="Rockwell"/>
                <w:b/>
                <w:bCs/>
                <w:color w:val="000000"/>
                <w:sz w:val="24"/>
                <w:szCs w:val="24"/>
              </w:rPr>
            </w:pPr>
            <w:bookmarkStart w:id="320" w:name="_Hlk161040761"/>
            <w:r>
              <w:rPr>
                <w:rFonts w:ascii="Rockwell" w:eastAsia="Times New Roman" w:hAnsi="Rockwell"/>
                <w:b/>
                <w:bCs/>
                <w:color w:val="000000"/>
                <w:sz w:val="24"/>
                <w:szCs w:val="24"/>
              </w:rPr>
              <w:t>MEDIAS AUDIOVISUELS</w:t>
            </w:r>
          </w:p>
        </w:tc>
        <w:tc>
          <w:tcPr>
            <w:tcW w:w="1538" w:type="dxa"/>
            <w:shd w:val="clear" w:color="auto" w:fill="auto"/>
          </w:tcPr>
          <w:p w14:paraId="7A40C469"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TA</w:t>
            </w:r>
          </w:p>
        </w:tc>
        <w:tc>
          <w:tcPr>
            <w:tcW w:w="1389" w:type="dxa"/>
            <w:shd w:val="clear" w:color="auto" w:fill="auto"/>
          </w:tcPr>
          <w:p w14:paraId="21BBD812"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TA</w:t>
            </w:r>
          </w:p>
        </w:tc>
        <w:tc>
          <w:tcPr>
            <w:tcW w:w="1384" w:type="dxa"/>
            <w:shd w:val="clear" w:color="auto" w:fill="auto"/>
          </w:tcPr>
          <w:p w14:paraId="3E5D01FB"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TP</w:t>
            </w:r>
          </w:p>
        </w:tc>
        <w:tc>
          <w:tcPr>
            <w:tcW w:w="1389" w:type="dxa"/>
            <w:shd w:val="clear" w:color="auto" w:fill="auto"/>
          </w:tcPr>
          <w:p w14:paraId="1121D30D"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 TP</w:t>
            </w:r>
          </w:p>
        </w:tc>
      </w:tr>
      <w:tr w:rsidR="00733207" w14:paraId="4CEE3DDD" w14:textId="77777777">
        <w:trPr>
          <w:trHeight w:val="105"/>
          <w:jc w:val="center"/>
        </w:trPr>
        <w:tc>
          <w:tcPr>
            <w:tcW w:w="3882" w:type="dxa"/>
            <w:shd w:val="clear" w:color="auto" w:fill="auto"/>
          </w:tcPr>
          <w:p w14:paraId="77D31301" w14:textId="77777777" w:rsidR="00733207" w:rsidRDefault="00912BAE">
            <w:pPr>
              <w:spacing w:after="0" w:line="480" w:lineRule="auto"/>
              <w:jc w:val="both"/>
              <w:rPr>
                <w:rFonts w:ascii="Rockwell" w:eastAsia="Times New Roman" w:hAnsi="Rockwell"/>
                <w:b/>
                <w:color w:val="000000"/>
                <w:sz w:val="24"/>
                <w:szCs w:val="24"/>
              </w:rPr>
            </w:pPr>
            <w:r>
              <w:rPr>
                <w:rFonts w:ascii="Rockwell" w:eastAsia="Times New Roman" w:hAnsi="Rockwell"/>
                <w:b/>
                <w:color w:val="000000"/>
                <w:sz w:val="24"/>
                <w:szCs w:val="24"/>
              </w:rPr>
              <w:t>TELEVISION 3TV</w:t>
            </w:r>
          </w:p>
        </w:tc>
        <w:tc>
          <w:tcPr>
            <w:tcW w:w="1538" w:type="dxa"/>
            <w:shd w:val="clear" w:color="auto" w:fill="auto"/>
          </w:tcPr>
          <w:p w14:paraId="778CFD14"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66:</w:t>
            </w:r>
            <w:proofErr w:type="gramEnd"/>
            <w:r>
              <w:rPr>
                <w:rFonts w:ascii="Rockwell" w:eastAsia="Times New Roman" w:hAnsi="Rockwell" w:cs="Calibri"/>
                <w:color w:val="000000"/>
                <w:sz w:val="24"/>
                <w:szCs w:val="24"/>
              </w:rPr>
              <w:t>58:27</w:t>
            </w:r>
          </w:p>
        </w:tc>
        <w:tc>
          <w:tcPr>
            <w:tcW w:w="1389" w:type="dxa"/>
            <w:shd w:val="clear" w:color="auto" w:fill="auto"/>
          </w:tcPr>
          <w:p w14:paraId="76D5E1DF"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25,35%</w:t>
            </w:r>
          </w:p>
        </w:tc>
        <w:tc>
          <w:tcPr>
            <w:tcW w:w="1384" w:type="dxa"/>
            <w:shd w:val="clear" w:color="auto" w:fill="auto"/>
          </w:tcPr>
          <w:p w14:paraId="064720BA"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23:</w:t>
            </w:r>
            <w:proofErr w:type="gramEnd"/>
            <w:r>
              <w:rPr>
                <w:rFonts w:ascii="Rockwell" w:eastAsia="Times New Roman" w:hAnsi="Rockwell" w:cs="Calibri"/>
                <w:color w:val="000000"/>
                <w:sz w:val="24"/>
                <w:szCs w:val="24"/>
              </w:rPr>
              <w:t>41:57</w:t>
            </w:r>
          </w:p>
        </w:tc>
        <w:tc>
          <w:tcPr>
            <w:tcW w:w="1389" w:type="dxa"/>
            <w:shd w:val="clear" w:color="auto" w:fill="auto"/>
          </w:tcPr>
          <w:p w14:paraId="71BF24A8"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24,85%</w:t>
            </w:r>
          </w:p>
        </w:tc>
      </w:tr>
      <w:tr w:rsidR="00733207" w14:paraId="6D03865F" w14:textId="77777777">
        <w:trPr>
          <w:trHeight w:val="105"/>
          <w:jc w:val="center"/>
        </w:trPr>
        <w:tc>
          <w:tcPr>
            <w:tcW w:w="3882" w:type="dxa"/>
            <w:shd w:val="clear" w:color="auto" w:fill="auto"/>
          </w:tcPr>
          <w:p w14:paraId="6AC81270"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TELEVISION BF1</w:t>
            </w:r>
          </w:p>
        </w:tc>
        <w:tc>
          <w:tcPr>
            <w:tcW w:w="1538" w:type="dxa"/>
            <w:shd w:val="clear" w:color="auto" w:fill="auto"/>
          </w:tcPr>
          <w:p w14:paraId="187833A6"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50:</w:t>
            </w:r>
            <w:proofErr w:type="gramEnd"/>
            <w:r>
              <w:rPr>
                <w:rFonts w:ascii="Rockwell" w:eastAsia="Times New Roman" w:hAnsi="Rockwell" w:cs="Calibri"/>
                <w:color w:val="000000"/>
                <w:sz w:val="24"/>
                <w:szCs w:val="24"/>
              </w:rPr>
              <w:t>41:03</w:t>
            </w:r>
          </w:p>
        </w:tc>
        <w:tc>
          <w:tcPr>
            <w:tcW w:w="1389" w:type="dxa"/>
            <w:shd w:val="clear" w:color="auto" w:fill="auto"/>
          </w:tcPr>
          <w:p w14:paraId="56621C94"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19,18%</w:t>
            </w:r>
          </w:p>
        </w:tc>
        <w:tc>
          <w:tcPr>
            <w:tcW w:w="1384" w:type="dxa"/>
            <w:shd w:val="clear" w:color="auto" w:fill="auto"/>
          </w:tcPr>
          <w:p w14:paraId="0CEF393A"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15:</w:t>
            </w:r>
            <w:proofErr w:type="gramEnd"/>
            <w:r>
              <w:rPr>
                <w:rFonts w:ascii="Rockwell" w:eastAsia="Times New Roman" w:hAnsi="Rockwell" w:cs="Calibri"/>
                <w:color w:val="000000"/>
                <w:sz w:val="24"/>
                <w:szCs w:val="24"/>
              </w:rPr>
              <w:t>43:58</w:t>
            </w:r>
          </w:p>
        </w:tc>
        <w:tc>
          <w:tcPr>
            <w:tcW w:w="1389" w:type="dxa"/>
            <w:shd w:val="clear" w:color="auto" w:fill="auto"/>
          </w:tcPr>
          <w:p w14:paraId="50732948"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16,49%</w:t>
            </w:r>
          </w:p>
        </w:tc>
      </w:tr>
      <w:tr w:rsidR="00733207" w14:paraId="43C02B1C" w14:textId="77777777">
        <w:trPr>
          <w:trHeight w:val="105"/>
          <w:jc w:val="center"/>
        </w:trPr>
        <w:tc>
          <w:tcPr>
            <w:tcW w:w="3882" w:type="dxa"/>
            <w:shd w:val="clear" w:color="auto" w:fill="auto"/>
          </w:tcPr>
          <w:p w14:paraId="3B46D4D6" w14:textId="682FD08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RTB</w:t>
            </w:r>
            <w:r w:rsidR="00C57A51">
              <w:rPr>
                <w:rFonts w:ascii="Rockwell" w:eastAsia="Times New Roman" w:hAnsi="Rockwell"/>
                <w:b/>
                <w:bCs/>
                <w:color w:val="000000"/>
                <w:sz w:val="24"/>
                <w:szCs w:val="24"/>
              </w:rPr>
              <w:t>/Télé</w:t>
            </w:r>
          </w:p>
        </w:tc>
        <w:tc>
          <w:tcPr>
            <w:tcW w:w="1538" w:type="dxa"/>
            <w:shd w:val="clear" w:color="auto" w:fill="auto"/>
          </w:tcPr>
          <w:p w14:paraId="275FE5FE"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49:</w:t>
            </w:r>
            <w:proofErr w:type="gramEnd"/>
            <w:r>
              <w:rPr>
                <w:rFonts w:ascii="Rockwell" w:eastAsia="Times New Roman" w:hAnsi="Rockwell" w:cs="Calibri"/>
                <w:color w:val="000000"/>
                <w:sz w:val="24"/>
                <w:szCs w:val="24"/>
              </w:rPr>
              <w:t>03:54</w:t>
            </w:r>
          </w:p>
        </w:tc>
        <w:tc>
          <w:tcPr>
            <w:tcW w:w="1389" w:type="dxa"/>
            <w:shd w:val="clear" w:color="auto" w:fill="auto"/>
          </w:tcPr>
          <w:p w14:paraId="2507095B"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18,57%</w:t>
            </w:r>
          </w:p>
        </w:tc>
        <w:tc>
          <w:tcPr>
            <w:tcW w:w="1384" w:type="dxa"/>
            <w:shd w:val="clear" w:color="auto" w:fill="auto"/>
          </w:tcPr>
          <w:p w14:paraId="19FEB7DC"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14:</w:t>
            </w:r>
            <w:proofErr w:type="gramEnd"/>
            <w:r>
              <w:rPr>
                <w:rFonts w:ascii="Rockwell" w:eastAsia="Times New Roman" w:hAnsi="Rockwell" w:cs="Calibri"/>
                <w:color w:val="000000"/>
                <w:sz w:val="24"/>
                <w:szCs w:val="24"/>
              </w:rPr>
              <w:t>33:23</w:t>
            </w:r>
          </w:p>
        </w:tc>
        <w:tc>
          <w:tcPr>
            <w:tcW w:w="1389" w:type="dxa"/>
            <w:shd w:val="clear" w:color="auto" w:fill="auto"/>
          </w:tcPr>
          <w:p w14:paraId="5BE0378E"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15,26%</w:t>
            </w:r>
          </w:p>
        </w:tc>
      </w:tr>
      <w:tr w:rsidR="00733207" w14:paraId="3D327D2A" w14:textId="77777777">
        <w:trPr>
          <w:trHeight w:val="105"/>
          <w:jc w:val="center"/>
        </w:trPr>
        <w:tc>
          <w:tcPr>
            <w:tcW w:w="3882" w:type="dxa"/>
            <w:shd w:val="clear" w:color="auto" w:fill="auto"/>
          </w:tcPr>
          <w:p w14:paraId="3E42B9EC"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RADIO OUAGA FM</w:t>
            </w:r>
          </w:p>
        </w:tc>
        <w:tc>
          <w:tcPr>
            <w:tcW w:w="1538" w:type="dxa"/>
            <w:shd w:val="clear" w:color="auto" w:fill="auto"/>
          </w:tcPr>
          <w:p w14:paraId="20E36A07"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30:</w:t>
            </w:r>
            <w:proofErr w:type="gramEnd"/>
            <w:r>
              <w:rPr>
                <w:rFonts w:ascii="Rockwell" w:eastAsia="Times New Roman" w:hAnsi="Rockwell" w:cs="Calibri"/>
                <w:color w:val="000000"/>
                <w:sz w:val="24"/>
                <w:szCs w:val="24"/>
              </w:rPr>
              <w:t>15:14</w:t>
            </w:r>
          </w:p>
        </w:tc>
        <w:tc>
          <w:tcPr>
            <w:tcW w:w="1389" w:type="dxa"/>
            <w:shd w:val="clear" w:color="auto" w:fill="auto"/>
          </w:tcPr>
          <w:p w14:paraId="4F675978"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11,45%</w:t>
            </w:r>
          </w:p>
        </w:tc>
        <w:tc>
          <w:tcPr>
            <w:tcW w:w="1384" w:type="dxa"/>
            <w:shd w:val="clear" w:color="auto" w:fill="auto"/>
          </w:tcPr>
          <w:p w14:paraId="4AE04302"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13:</w:t>
            </w:r>
            <w:proofErr w:type="gramEnd"/>
            <w:r>
              <w:rPr>
                <w:rFonts w:ascii="Rockwell" w:eastAsia="Times New Roman" w:hAnsi="Rockwell" w:cs="Calibri"/>
                <w:color w:val="000000"/>
                <w:sz w:val="24"/>
                <w:szCs w:val="24"/>
              </w:rPr>
              <w:t>18:55</w:t>
            </w:r>
          </w:p>
        </w:tc>
        <w:tc>
          <w:tcPr>
            <w:tcW w:w="1389" w:type="dxa"/>
            <w:shd w:val="clear" w:color="auto" w:fill="auto"/>
          </w:tcPr>
          <w:p w14:paraId="18778B94"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13,96%</w:t>
            </w:r>
          </w:p>
        </w:tc>
      </w:tr>
      <w:tr w:rsidR="00733207" w14:paraId="117089ED" w14:textId="77777777">
        <w:trPr>
          <w:trHeight w:val="105"/>
          <w:jc w:val="center"/>
        </w:trPr>
        <w:tc>
          <w:tcPr>
            <w:tcW w:w="3882" w:type="dxa"/>
            <w:shd w:val="clear" w:color="auto" w:fill="auto"/>
          </w:tcPr>
          <w:p w14:paraId="54F88A46" w14:textId="1252FA30"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w:t>
            </w:r>
            <w:r w:rsidR="00C57A51">
              <w:rPr>
                <w:rFonts w:ascii="Rockwell" w:eastAsia="Times New Roman" w:hAnsi="Rockwell"/>
                <w:b/>
                <w:bCs/>
                <w:color w:val="000000"/>
                <w:sz w:val="24"/>
                <w:szCs w:val="24"/>
              </w:rPr>
              <w:t>T</w:t>
            </w:r>
            <w:r>
              <w:rPr>
                <w:rFonts w:ascii="Rockwell" w:eastAsia="Times New Roman" w:hAnsi="Rockwell"/>
                <w:b/>
                <w:bCs/>
                <w:color w:val="000000"/>
                <w:sz w:val="24"/>
                <w:szCs w:val="24"/>
              </w:rPr>
              <w:t>B</w:t>
            </w:r>
            <w:r w:rsidR="00C57A51">
              <w:rPr>
                <w:rFonts w:ascii="Rockwell" w:eastAsia="Times New Roman" w:hAnsi="Rockwell"/>
                <w:b/>
                <w:bCs/>
                <w:color w:val="000000"/>
                <w:sz w:val="24"/>
                <w:szCs w:val="24"/>
              </w:rPr>
              <w:t>/Radio</w:t>
            </w:r>
          </w:p>
        </w:tc>
        <w:tc>
          <w:tcPr>
            <w:tcW w:w="1538" w:type="dxa"/>
            <w:shd w:val="clear" w:color="auto" w:fill="auto"/>
          </w:tcPr>
          <w:p w14:paraId="5DDD8D59"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26:</w:t>
            </w:r>
            <w:proofErr w:type="gramEnd"/>
            <w:r>
              <w:rPr>
                <w:rFonts w:ascii="Rockwell" w:eastAsia="Times New Roman" w:hAnsi="Rockwell" w:cs="Calibri"/>
                <w:color w:val="000000"/>
                <w:sz w:val="24"/>
                <w:szCs w:val="24"/>
              </w:rPr>
              <w:t>08:44</w:t>
            </w:r>
          </w:p>
        </w:tc>
        <w:tc>
          <w:tcPr>
            <w:tcW w:w="1389" w:type="dxa"/>
            <w:shd w:val="clear" w:color="auto" w:fill="auto"/>
          </w:tcPr>
          <w:p w14:paraId="17847B15"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9,89%</w:t>
            </w:r>
          </w:p>
        </w:tc>
        <w:tc>
          <w:tcPr>
            <w:tcW w:w="1384" w:type="dxa"/>
            <w:shd w:val="clear" w:color="auto" w:fill="auto"/>
          </w:tcPr>
          <w:p w14:paraId="50728FBF"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10:</w:t>
            </w:r>
            <w:proofErr w:type="gramEnd"/>
            <w:r>
              <w:rPr>
                <w:rFonts w:ascii="Rockwell" w:eastAsia="Times New Roman" w:hAnsi="Rockwell" w:cs="Calibri"/>
                <w:color w:val="000000"/>
                <w:sz w:val="24"/>
                <w:szCs w:val="24"/>
              </w:rPr>
              <w:t>48:21</w:t>
            </w:r>
          </w:p>
        </w:tc>
        <w:tc>
          <w:tcPr>
            <w:tcW w:w="1389" w:type="dxa"/>
            <w:shd w:val="clear" w:color="auto" w:fill="auto"/>
          </w:tcPr>
          <w:p w14:paraId="5601784A"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11,33%</w:t>
            </w:r>
          </w:p>
        </w:tc>
      </w:tr>
      <w:tr w:rsidR="00733207" w14:paraId="744FB4C8" w14:textId="77777777">
        <w:trPr>
          <w:trHeight w:val="105"/>
          <w:jc w:val="center"/>
        </w:trPr>
        <w:tc>
          <w:tcPr>
            <w:tcW w:w="3882" w:type="dxa"/>
            <w:shd w:val="clear" w:color="auto" w:fill="auto"/>
          </w:tcPr>
          <w:p w14:paraId="2567F0D0"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RADIO SAVANE FM</w:t>
            </w:r>
          </w:p>
        </w:tc>
        <w:tc>
          <w:tcPr>
            <w:tcW w:w="1538" w:type="dxa"/>
            <w:shd w:val="clear" w:color="auto" w:fill="auto"/>
          </w:tcPr>
          <w:p w14:paraId="1F8E1961"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22:</w:t>
            </w:r>
            <w:proofErr w:type="gramEnd"/>
            <w:r>
              <w:rPr>
                <w:rFonts w:ascii="Rockwell" w:eastAsia="Times New Roman" w:hAnsi="Rockwell" w:cs="Calibri"/>
                <w:color w:val="000000"/>
                <w:sz w:val="24"/>
                <w:szCs w:val="24"/>
              </w:rPr>
              <w:t>28:34</w:t>
            </w:r>
          </w:p>
        </w:tc>
        <w:tc>
          <w:tcPr>
            <w:tcW w:w="1389" w:type="dxa"/>
            <w:shd w:val="clear" w:color="auto" w:fill="auto"/>
          </w:tcPr>
          <w:p w14:paraId="29707276"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8,51%</w:t>
            </w:r>
          </w:p>
        </w:tc>
        <w:tc>
          <w:tcPr>
            <w:tcW w:w="1384" w:type="dxa"/>
            <w:shd w:val="clear" w:color="auto" w:fill="auto"/>
          </w:tcPr>
          <w:p w14:paraId="59E3D2A3"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10:</w:t>
            </w:r>
            <w:proofErr w:type="gramEnd"/>
            <w:r>
              <w:rPr>
                <w:rFonts w:ascii="Rockwell" w:eastAsia="Times New Roman" w:hAnsi="Rockwell" w:cs="Calibri"/>
                <w:color w:val="000000"/>
                <w:sz w:val="24"/>
                <w:szCs w:val="24"/>
              </w:rPr>
              <w:t>22:58</w:t>
            </w:r>
          </w:p>
        </w:tc>
        <w:tc>
          <w:tcPr>
            <w:tcW w:w="1389" w:type="dxa"/>
            <w:shd w:val="clear" w:color="auto" w:fill="auto"/>
          </w:tcPr>
          <w:p w14:paraId="141492C8"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10,89%</w:t>
            </w:r>
          </w:p>
        </w:tc>
      </w:tr>
      <w:tr w:rsidR="00733207" w14:paraId="5BCBEEC9" w14:textId="77777777">
        <w:trPr>
          <w:trHeight w:val="105"/>
          <w:jc w:val="center"/>
        </w:trPr>
        <w:tc>
          <w:tcPr>
            <w:tcW w:w="3882" w:type="dxa"/>
            <w:shd w:val="clear" w:color="auto" w:fill="auto"/>
          </w:tcPr>
          <w:p w14:paraId="30D74A5A"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RADIO OMEGA FM</w:t>
            </w:r>
          </w:p>
        </w:tc>
        <w:tc>
          <w:tcPr>
            <w:tcW w:w="1538" w:type="dxa"/>
            <w:shd w:val="clear" w:color="auto" w:fill="auto"/>
          </w:tcPr>
          <w:p w14:paraId="4E4C3589"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18:</w:t>
            </w:r>
            <w:proofErr w:type="gramEnd"/>
            <w:r>
              <w:rPr>
                <w:rFonts w:ascii="Rockwell" w:eastAsia="Times New Roman" w:hAnsi="Rockwell" w:cs="Calibri"/>
                <w:color w:val="000000"/>
                <w:sz w:val="24"/>
                <w:szCs w:val="24"/>
              </w:rPr>
              <w:t>38:02</w:t>
            </w:r>
          </w:p>
        </w:tc>
        <w:tc>
          <w:tcPr>
            <w:tcW w:w="1389" w:type="dxa"/>
            <w:shd w:val="clear" w:color="auto" w:fill="auto"/>
          </w:tcPr>
          <w:p w14:paraId="5CAEB69D"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7,05%</w:t>
            </w:r>
          </w:p>
        </w:tc>
        <w:tc>
          <w:tcPr>
            <w:tcW w:w="1384" w:type="dxa"/>
            <w:shd w:val="clear" w:color="auto" w:fill="auto"/>
          </w:tcPr>
          <w:p w14:paraId="35A089D1" w14:textId="77777777" w:rsidR="00733207" w:rsidRDefault="00912BAE">
            <w:pPr>
              <w:spacing w:after="0" w:line="480" w:lineRule="auto"/>
              <w:jc w:val="both"/>
              <w:rPr>
                <w:rFonts w:ascii="Rockwell" w:eastAsia="Times New Roman" w:hAnsi="Rockwell" w:cs="Calibri"/>
                <w:color w:val="000000"/>
                <w:sz w:val="24"/>
                <w:szCs w:val="24"/>
              </w:rPr>
            </w:pPr>
            <w:proofErr w:type="gramStart"/>
            <w:r>
              <w:rPr>
                <w:rFonts w:ascii="Rockwell" w:eastAsia="Times New Roman" w:hAnsi="Rockwell" w:cs="Calibri"/>
                <w:color w:val="000000"/>
                <w:sz w:val="24"/>
                <w:szCs w:val="24"/>
              </w:rPr>
              <w:t>6:</w:t>
            </w:r>
            <w:proofErr w:type="gramEnd"/>
            <w:r>
              <w:rPr>
                <w:rFonts w:ascii="Rockwell" w:eastAsia="Times New Roman" w:hAnsi="Rockwell" w:cs="Calibri"/>
                <w:color w:val="000000"/>
                <w:sz w:val="24"/>
                <w:szCs w:val="24"/>
              </w:rPr>
              <w:t>53:30</w:t>
            </w:r>
          </w:p>
        </w:tc>
        <w:tc>
          <w:tcPr>
            <w:tcW w:w="1389" w:type="dxa"/>
            <w:shd w:val="clear" w:color="auto" w:fill="auto"/>
          </w:tcPr>
          <w:p w14:paraId="6AD3D62A" w14:textId="77777777" w:rsidR="00733207" w:rsidRDefault="00912BAE">
            <w:pPr>
              <w:spacing w:after="0" w:line="480" w:lineRule="auto"/>
              <w:jc w:val="both"/>
              <w:rPr>
                <w:rFonts w:ascii="Rockwell" w:eastAsia="Times New Roman" w:hAnsi="Rockwell"/>
                <w:color w:val="000000"/>
                <w:sz w:val="24"/>
                <w:szCs w:val="24"/>
              </w:rPr>
            </w:pPr>
            <w:r>
              <w:rPr>
                <w:rFonts w:ascii="Rockwell" w:eastAsia="Times New Roman" w:hAnsi="Rockwell"/>
                <w:color w:val="000000"/>
                <w:sz w:val="24"/>
                <w:szCs w:val="24"/>
              </w:rPr>
              <w:t>7,23%</w:t>
            </w:r>
          </w:p>
        </w:tc>
      </w:tr>
      <w:tr w:rsidR="00733207" w14:paraId="7C48E0C3" w14:textId="77777777">
        <w:trPr>
          <w:trHeight w:val="105"/>
          <w:jc w:val="center"/>
        </w:trPr>
        <w:tc>
          <w:tcPr>
            <w:tcW w:w="3882" w:type="dxa"/>
            <w:shd w:val="clear" w:color="auto" w:fill="auto"/>
          </w:tcPr>
          <w:p w14:paraId="399473A8" w14:textId="77777777" w:rsidR="00733207" w:rsidRDefault="00912BAE">
            <w:pPr>
              <w:spacing w:after="0" w:line="480" w:lineRule="auto"/>
              <w:jc w:val="both"/>
              <w:rPr>
                <w:rFonts w:ascii="Rockwell" w:eastAsia="Times New Roman" w:hAnsi="Rockwell"/>
                <w:b/>
                <w:bCs/>
                <w:color w:val="000000"/>
                <w:sz w:val="24"/>
                <w:szCs w:val="24"/>
              </w:rPr>
            </w:pPr>
            <w:r>
              <w:rPr>
                <w:rFonts w:ascii="Rockwell" w:eastAsia="Times New Roman" w:hAnsi="Rockwell"/>
                <w:b/>
                <w:bCs/>
                <w:color w:val="000000"/>
                <w:sz w:val="24"/>
                <w:szCs w:val="24"/>
              </w:rPr>
              <w:t>TOTAL</w:t>
            </w:r>
          </w:p>
        </w:tc>
        <w:tc>
          <w:tcPr>
            <w:tcW w:w="1538" w:type="dxa"/>
            <w:shd w:val="clear" w:color="auto" w:fill="auto"/>
          </w:tcPr>
          <w:p w14:paraId="0F25B752" w14:textId="77777777" w:rsidR="00733207" w:rsidRDefault="00912BAE">
            <w:pPr>
              <w:spacing w:after="0" w:line="480" w:lineRule="auto"/>
              <w:jc w:val="both"/>
              <w:rPr>
                <w:rFonts w:ascii="Rockwell" w:eastAsia="Times New Roman" w:hAnsi="Rockwell"/>
                <w:b/>
                <w:color w:val="000000"/>
                <w:sz w:val="24"/>
                <w:szCs w:val="24"/>
              </w:rPr>
            </w:pPr>
            <w:proofErr w:type="gramStart"/>
            <w:r>
              <w:rPr>
                <w:rFonts w:ascii="Rockwell" w:eastAsia="Times New Roman" w:hAnsi="Rockwell"/>
                <w:b/>
                <w:color w:val="000000"/>
                <w:sz w:val="24"/>
                <w:szCs w:val="24"/>
              </w:rPr>
              <w:t>264:</w:t>
            </w:r>
            <w:proofErr w:type="gramEnd"/>
            <w:r>
              <w:rPr>
                <w:rFonts w:ascii="Rockwell" w:eastAsia="Times New Roman" w:hAnsi="Rockwell"/>
                <w:b/>
                <w:color w:val="000000"/>
                <w:sz w:val="24"/>
                <w:szCs w:val="24"/>
              </w:rPr>
              <w:t>13:58</w:t>
            </w:r>
          </w:p>
        </w:tc>
        <w:tc>
          <w:tcPr>
            <w:tcW w:w="1389" w:type="dxa"/>
            <w:shd w:val="clear" w:color="auto" w:fill="auto"/>
          </w:tcPr>
          <w:p w14:paraId="34F67C9D" w14:textId="77777777" w:rsidR="00733207" w:rsidRDefault="00912BAE">
            <w:pPr>
              <w:spacing w:after="0" w:line="480" w:lineRule="auto"/>
              <w:jc w:val="both"/>
              <w:rPr>
                <w:rFonts w:ascii="Rockwell" w:eastAsia="Times New Roman" w:hAnsi="Rockwell"/>
                <w:b/>
                <w:color w:val="000000"/>
                <w:sz w:val="24"/>
                <w:szCs w:val="24"/>
              </w:rPr>
            </w:pPr>
            <w:r>
              <w:rPr>
                <w:rFonts w:ascii="Rockwell" w:eastAsia="Times New Roman" w:hAnsi="Rockwell"/>
                <w:b/>
                <w:color w:val="000000"/>
                <w:sz w:val="24"/>
                <w:szCs w:val="24"/>
              </w:rPr>
              <w:t>100,00%</w:t>
            </w:r>
          </w:p>
        </w:tc>
        <w:tc>
          <w:tcPr>
            <w:tcW w:w="1384" w:type="dxa"/>
            <w:shd w:val="clear" w:color="auto" w:fill="auto"/>
          </w:tcPr>
          <w:p w14:paraId="6F1752DF" w14:textId="77777777" w:rsidR="00733207" w:rsidRDefault="00912BAE">
            <w:pPr>
              <w:spacing w:after="0" w:line="480" w:lineRule="auto"/>
              <w:jc w:val="both"/>
              <w:rPr>
                <w:rFonts w:ascii="Rockwell" w:eastAsia="Times New Roman" w:hAnsi="Rockwell"/>
                <w:b/>
                <w:color w:val="000000"/>
                <w:sz w:val="24"/>
                <w:szCs w:val="24"/>
              </w:rPr>
            </w:pPr>
            <w:proofErr w:type="gramStart"/>
            <w:r>
              <w:rPr>
                <w:rFonts w:ascii="Rockwell" w:eastAsia="Times New Roman" w:hAnsi="Rockwell"/>
                <w:b/>
                <w:color w:val="000000"/>
                <w:sz w:val="24"/>
                <w:szCs w:val="24"/>
              </w:rPr>
              <w:t>95:</w:t>
            </w:r>
            <w:proofErr w:type="gramEnd"/>
            <w:r>
              <w:rPr>
                <w:rFonts w:ascii="Rockwell" w:eastAsia="Times New Roman" w:hAnsi="Rockwell"/>
                <w:b/>
                <w:color w:val="000000"/>
                <w:sz w:val="24"/>
                <w:szCs w:val="24"/>
              </w:rPr>
              <w:t>23:02</w:t>
            </w:r>
          </w:p>
        </w:tc>
        <w:tc>
          <w:tcPr>
            <w:tcW w:w="1389" w:type="dxa"/>
            <w:shd w:val="clear" w:color="auto" w:fill="auto"/>
          </w:tcPr>
          <w:p w14:paraId="6CD32BEC" w14:textId="77777777" w:rsidR="00733207" w:rsidRDefault="00912BAE">
            <w:pPr>
              <w:spacing w:after="0" w:line="480" w:lineRule="auto"/>
              <w:jc w:val="both"/>
              <w:rPr>
                <w:rFonts w:ascii="Rockwell" w:eastAsia="Times New Roman" w:hAnsi="Rockwell"/>
                <w:b/>
                <w:color w:val="000000"/>
                <w:sz w:val="24"/>
                <w:szCs w:val="24"/>
              </w:rPr>
            </w:pPr>
            <w:r>
              <w:rPr>
                <w:rFonts w:ascii="Rockwell" w:eastAsia="Times New Roman" w:hAnsi="Rockwell"/>
                <w:b/>
                <w:color w:val="000000"/>
                <w:sz w:val="24"/>
                <w:szCs w:val="24"/>
              </w:rPr>
              <w:t>100,00%</w:t>
            </w:r>
          </w:p>
        </w:tc>
      </w:tr>
    </w:tbl>
    <w:bookmarkEnd w:id="320"/>
    <w:p w14:paraId="12E38590" w14:textId="77777777" w:rsidR="00733207" w:rsidRDefault="00912BAE">
      <w:pPr>
        <w:spacing w:before="120" w:after="120" w:line="360" w:lineRule="auto"/>
        <w:jc w:val="both"/>
        <w:rPr>
          <w:rFonts w:ascii="Rockwell" w:hAnsi="Rockwell"/>
          <w:i/>
          <w:u w:val="single"/>
        </w:rPr>
      </w:pPr>
      <w:r>
        <w:rPr>
          <w:rFonts w:ascii="Rockwell" w:hAnsi="Rockwell"/>
          <w:b/>
          <w:i/>
          <w:u w:val="single"/>
        </w:rPr>
        <w:t>Source</w:t>
      </w:r>
      <w:r>
        <w:rPr>
          <w:rFonts w:ascii="Rockwell" w:hAnsi="Rockwell"/>
          <w:i/>
          <w:u w:val="single"/>
        </w:rPr>
        <w:t> </w:t>
      </w:r>
      <w:r>
        <w:rPr>
          <w:rFonts w:ascii="Rockwell" w:hAnsi="Rockwell"/>
          <w:i/>
        </w:rPr>
        <w:t>: CSC</w:t>
      </w:r>
    </w:p>
    <w:p w14:paraId="3D87AE5E" w14:textId="77777777" w:rsidR="00733207" w:rsidRDefault="00912BAE">
      <w:pPr>
        <w:spacing w:before="120" w:after="120" w:line="240" w:lineRule="auto"/>
        <w:jc w:val="center"/>
        <w:rPr>
          <w:rFonts w:ascii="Rockwell" w:eastAsia="Times New Roman" w:hAnsi="Rockwell"/>
          <w:i/>
        </w:rPr>
      </w:pPr>
      <w:r>
        <w:rPr>
          <w:rFonts w:ascii="Rockwell" w:eastAsia="Times New Roman" w:hAnsi="Rockwell"/>
          <w:b/>
          <w:i/>
          <w:u w:val="single"/>
        </w:rPr>
        <w:lastRenderedPageBreak/>
        <w:t>Graphique n°20</w:t>
      </w:r>
      <w:r>
        <w:rPr>
          <w:rFonts w:ascii="Rockwell" w:eastAsia="Times New Roman" w:hAnsi="Rockwell"/>
          <w:i/>
        </w:rPr>
        <w:t xml:space="preserve"> : Représentation </w:t>
      </w:r>
      <w:r>
        <w:rPr>
          <w:rFonts w:ascii="Rockwell" w:hAnsi="Rockwell"/>
          <w:bCs/>
          <w:i/>
        </w:rPr>
        <w:t>des médias audiovisuels par TA et TP accordés aux informations thématiques</w:t>
      </w:r>
    </w:p>
    <w:p w14:paraId="193929D0" w14:textId="77777777" w:rsidR="00733207" w:rsidRDefault="00733207">
      <w:pPr>
        <w:spacing w:before="120" w:after="120" w:line="240" w:lineRule="auto"/>
        <w:ind w:left="1276" w:hanging="709"/>
        <w:jc w:val="both"/>
        <w:rPr>
          <w:rFonts w:ascii="Rockwell" w:hAnsi="Rockwell"/>
          <w:bCs/>
          <w:i/>
        </w:rPr>
      </w:pPr>
    </w:p>
    <w:p w14:paraId="4105C5FD" w14:textId="77777777" w:rsidR="00733207" w:rsidRDefault="00912BAE">
      <w:pPr>
        <w:spacing w:before="120" w:after="120" w:line="360" w:lineRule="auto"/>
        <w:jc w:val="center"/>
        <w:rPr>
          <w:rFonts w:ascii="Rockwell" w:eastAsia="Times New Roman" w:hAnsi="Rockwell"/>
          <w:sz w:val="26"/>
          <w:szCs w:val="26"/>
        </w:rPr>
      </w:pPr>
      <w:r>
        <w:rPr>
          <w:rFonts w:ascii="Rockwell" w:hAnsi="Rockwell"/>
          <w:noProof/>
          <w:sz w:val="26"/>
          <w:szCs w:val="26"/>
          <w:lang w:eastAsia="fr-FR"/>
        </w:rPr>
        <w:drawing>
          <wp:inline distT="0" distB="0" distL="0" distR="0" wp14:anchorId="678483F0" wp14:editId="61C68E50">
            <wp:extent cx="5476875" cy="3552825"/>
            <wp:effectExtent l="0" t="0" r="9525" b="9525"/>
            <wp:docPr id="17" name="Graphique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158941F2" w14:textId="77777777" w:rsidR="00733207" w:rsidRDefault="00733207">
      <w:pPr>
        <w:spacing w:before="120" w:after="120" w:line="360" w:lineRule="auto"/>
        <w:jc w:val="both"/>
        <w:rPr>
          <w:rFonts w:ascii="Rockwell" w:eastAsia="Times New Roman" w:hAnsi="Rockwell"/>
          <w:sz w:val="26"/>
          <w:szCs w:val="26"/>
        </w:rPr>
      </w:pPr>
    </w:p>
    <w:p w14:paraId="4DB39BE2" w14:textId="77777777" w:rsidR="00733207" w:rsidRDefault="00912BAE">
      <w:pPr>
        <w:pStyle w:val="Titre5"/>
        <w:spacing w:before="240" w:after="240" w:line="360" w:lineRule="auto"/>
        <w:jc w:val="center"/>
        <w:rPr>
          <w:rFonts w:ascii="Rockwell" w:hAnsi="Rockwell"/>
          <w:color w:val="auto"/>
          <w:sz w:val="26"/>
          <w:szCs w:val="26"/>
        </w:rPr>
      </w:pPr>
      <w:bookmarkStart w:id="321" w:name="_Toc161320261"/>
      <w:bookmarkStart w:id="322" w:name="_Toc169855150"/>
      <w:bookmarkStart w:id="323" w:name="_Toc175128518"/>
      <w:r>
        <w:rPr>
          <w:rFonts w:ascii="Rockwell" w:hAnsi="Rockwell"/>
          <w:color w:val="auto"/>
          <w:sz w:val="26"/>
          <w:szCs w:val="26"/>
        </w:rPr>
        <w:t>1.3. Analyse des données</w:t>
      </w:r>
      <w:bookmarkEnd w:id="321"/>
      <w:bookmarkEnd w:id="322"/>
      <w:bookmarkEnd w:id="323"/>
    </w:p>
    <w:p w14:paraId="7E700510" w14:textId="77777777"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L’ensemble des sept (07) médias analysés au premier semestre de l’année ont totalisé 141 heures 42 minutes 46 secondes de TA et 58 heures 31 minutes et 44 secondes de TP aux acteurs sociopolitiques. Dans toutes les catégories de médias (publics et privés), le Gouvernement est le plus cité avec un taux de 58,05% des TA et 60,97% de TP obtenu. Cette situation pourrait s’expliquer par l’intensification des actions de reconquête du territoire et la mise en œuvre des réformes politiques dans un contexte de transition. </w:t>
      </w:r>
    </w:p>
    <w:p w14:paraId="2A7F4075" w14:textId="77777777"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 Après le Gouvernement, viennent les OSC, les autres institutions, la Présidence du Faso, les partis politiques et l’ALT. </w:t>
      </w:r>
    </w:p>
    <w:p w14:paraId="6ED895E7" w14:textId="77777777"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Des données des quatre (04) radios analysées, il ressort que les acteurs sociopolitiques ont bénéficié de 63 heures 26 minutes 27 secondes de TA et de </w:t>
      </w:r>
      <w:r>
        <w:rPr>
          <w:rFonts w:ascii="Rockwell" w:eastAsia="Times New Roman" w:hAnsi="Rockwell"/>
          <w:sz w:val="26"/>
          <w:szCs w:val="26"/>
        </w:rPr>
        <w:lastRenderedPageBreak/>
        <w:t xml:space="preserve">26 heures 14 minutes et 37 secondes de TP. Quant aux trois (03) télévisions, elles leur ont accordé 78 heures 16 minutes 19 secondes de TA et 32 heures 17 minutes et 07 secondes de TP. </w:t>
      </w:r>
    </w:p>
    <w:p w14:paraId="05FBB11D" w14:textId="5A63DA42"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Dans le classement général, c’est la Télévision 3TV qui vient en tête des médias ayant accordé le plus de TA et de TP avec 31,36% de TA et 26,76% de TP aux acteurs sociopolitiques. </w:t>
      </w:r>
      <w:r w:rsidR="00C57A51">
        <w:rPr>
          <w:rFonts w:ascii="Rockwell" w:eastAsia="Times New Roman" w:hAnsi="Rockwell"/>
          <w:sz w:val="26"/>
          <w:szCs w:val="26"/>
        </w:rPr>
        <w:t xml:space="preserve">Elle </w:t>
      </w:r>
      <w:r>
        <w:rPr>
          <w:rFonts w:ascii="Rockwell" w:eastAsia="Times New Roman" w:hAnsi="Rockwell"/>
          <w:sz w:val="26"/>
          <w:szCs w:val="26"/>
        </w:rPr>
        <w:t>est suivi</w:t>
      </w:r>
      <w:r w:rsidR="00C57A51">
        <w:rPr>
          <w:rFonts w:ascii="Rockwell" w:eastAsia="Times New Roman" w:hAnsi="Rockwell"/>
          <w:sz w:val="26"/>
          <w:szCs w:val="26"/>
        </w:rPr>
        <w:t>e</w:t>
      </w:r>
      <w:r>
        <w:rPr>
          <w:rFonts w:ascii="Rockwell" w:eastAsia="Times New Roman" w:hAnsi="Rockwell"/>
          <w:sz w:val="26"/>
          <w:szCs w:val="26"/>
        </w:rPr>
        <w:t xml:space="preserve"> respectivement de la RTB/Radio, BF1, Ouaga FM, Omega FM et de Savane FM. La RTB/ Télé est classée au dernier rang.  </w:t>
      </w:r>
    </w:p>
    <w:p w14:paraId="23C6521F" w14:textId="43B8EF11"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Au deuxième semestre, 264 heures 13 minutes 58 secondes de TA et 95 heures 23 minutes et 02 secondes de TP ont été consacré</w:t>
      </w:r>
      <w:r w:rsidR="00C57A51">
        <w:rPr>
          <w:rFonts w:ascii="Rockwell" w:eastAsia="Times New Roman" w:hAnsi="Rockwell"/>
          <w:sz w:val="26"/>
          <w:szCs w:val="26"/>
        </w:rPr>
        <w:t>e</w:t>
      </w:r>
      <w:r>
        <w:rPr>
          <w:rFonts w:ascii="Rockwell" w:eastAsia="Times New Roman" w:hAnsi="Rockwell"/>
          <w:sz w:val="26"/>
          <w:szCs w:val="26"/>
        </w:rPr>
        <w:t xml:space="preserve">s, par l’ensemble des sept (07) médias observés, aux informations liées à la politique, à l’économie, à la culture, à la sécurité, à la société, à la santé, à la religion et au genre. </w:t>
      </w:r>
    </w:p>
    <w:p w14:paraId="0A4925AA" w14:textId="77777777"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Les deux (02) médias publics ont cumulé 75 heures 12 minutes 38 secondes de TA et 25 heures 21 minutes et 44 secondes de TP tandis que les cinq (05) médias privés ont totalisé 189 heures 01 minutes 20 secondes de TA et 95 heures 23 minutes et 02 secondes de TP. </w:t>
      </w:r>
    </w:p>
    <w:p w14:paraId="3336994A" w14:textId="77777777"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L’ensemble des quatre (04) radios observées ont accordé aux différents thèmes 97 heures 30 minutes 34 secondes de TA et 41 heures 23 minutes et 44 secondes de TP tandis que les trois (03) télévisions leur ont consacré 166 heures 43 minutes 24 secondes de TA et 53 heures 59 minutes et 18 secondes de TP. </w:t>
      </w:r>
    </w:p>
    <w:p w14:paraId="50A37E01" w14:textId="77777777" w:rsidR="00733207" w:rsidRDefault="00912BAE">
      <w:pPr>
        <w:tabs>
          <w:tab w:val="left" w:pos="2490"/>
        </w:tabs>
        <w:spacing w:before="120" w:after="120" w:line="360" w:lineRule="auto"/>
        <w:jc w:val="both"/>
        <w:rPr>
          <w:rFonts w:ascii="Rockwell" w:eastAsia="Times New Roman" w:hAnsi="Rockwell"/>
          <w:sz w:val="26"/>
          <w:szCs w:val="26"/>
        </w:rPr>
      </w:pPr>
      <w:r>
        <w:rPr>
          <w:rFonts w:ascii="Rockwell" w:eastAsia="Times New Roman" w:hAnsi="Rockwell"/>
          <w:sz w:val="26"/>
          <w:szCs w:val="26"/>
        </w:rPr>
        <w:t xml:space="preserve">L’actualité a été dominée par les questions politiques et de société. La santé et l’économie ont également été évoquées avec respectivement 28,64% et 28,25% de TA et 33,29% et 28,79% de TP. Le thème </w:t>
      </w:r>
      <w:r>
        <w:rPr>
          <w:rFonts w:ascii="Rockwell" w:eastAsia="Times New Roman" w:hAnsi="Rockwell"/>
          <w:i/>
          <w:sz w:val="26"/>
          <w:szCs w:val="26"/>
        </w:rPr>
        <w:t>santé</w:t>
      </w:r>
      <w:r>
        <w:rPr>
          <w:rFonts w:ascii="Rockwell" w:eastAsia="Times New Roman" w:hAnsi="Rockwell"/>
          <w:sz w:val="26"/>
          <w:szCs w:val="26"/>
        </w:rPr>
        <w:t xml:space="preserve"> occupe la troisième place, suivi de la </w:t>
      </w:r>
      <w:r>
        <w:rPr>
          <w:rFonts w:ascii="Rockwell" w:eastAsia="Times New Roman" w:hAnsi="Rockwell"/>
          <w:i/>
          <w:sz w:val="26"/>
          <w:szCs w:val="26"/>
        </w:rPr>
        <w:t>sécurité</w:t>
      </w:r>
      <w:r>
        <w:rPr>
          <w:rFonts w:ascii="Rockwell" w:eastAsia="Times New Roman" w:hAnsi="Rockwell"/>
          <w:sz w:val="26"/>
          <w:szCs w:val="26"/>
        </w:rPr>
        <w:t>, de l’</w:t>
      </w:r>
      <w:r>
        <w:rPr>
          <w:rFonts w:ascii="Rockwell" w:eastAsia="Times New Roman" w:hAnsi="Rockwell"/>
          <w:i/>
          <w:sz w:val="26"/>
          <w:szCs w:val="26"/>
        </w:rPr>
        <w:t>économie</w:t>
      </w:r>
      <w:r>
        <w:rPr>
          <w:rFonts w:ascii="Rockwell" w:eastAsia="Times New Roman" w:hAnsi="Rockwell"/>
          <w:sz w:val="26"/>
          <w:szCs w:val="26"/>
        </w:rPr>
        <w:t xml:space="preserve">, de la </w:t>
      </w:r>
      <w:r>
        <w:rPr>
          <w:rFonts w:ascii="Rockwell" w:eastAsia="Times New Roman" w:hAnsi="Rockwell"/>
          <w:i/>
          <w:sz w:val="26"/>
          <w:szCs w:val="26"/>
        </w:rPr>
        <w:t>culture</w:t>
      </w:r>
      <w:r>
        <w:rPr>
          <w:rFonts w:ascii="Rockwell" w:eastAsia="Times New Roman" w:hAnsi="Rockwell"/>
          <w:sz w:val="26"/>
          <w:szCs w:val="26"/>
        </w:rPr>
        <w:t xml:space="preserve">, de la </w:t>
      </w:r>
      <w:r>
        <w:rPr>
          <w:rFonts w:ascii="Rockwell" w:eastAsia="Times New Roman" w:hAnsi="Rockwell"/>
          <w:i/>
          <w:sz w:val="26"/>
          <w:szCs w:val="26"/>
        </w:rPr>
        <w:t>religion</w:t>
      </w:r>
      <w:r>
        <w:rPr>
          <w:rFonts w:ascii="Rockwell" w:eastAsia="Times New Roman" w:hAnsi="Rockwell"/>
          <w:sz w:val="26"/>
          <w:szCs w:val="26"/>
        </w:rPr>
        <w:t xml:space="preserve">. </w:t>
      </w:r>
    </w:p>
    <w:p w14:paraId="2B25C933" w14:textId="77777777" w:rsidR="00733207" w:rsidRDefault="00733207">
      <w:pPr>
        <w:jc w:val="both"/>
        <w:rPr>
          <w:rFonts w:ascii="Rockwell" w:hAnsi="Rockwell"/>
        </w:rPr>
      </w:pPr>
    </w:p>
    <w:p w14:paraId="1D1B9CCD" w14:textId="77777777" w:rsidR="00733207" w:rsidRDefault="00733207">
      <w:pPr>
        <w:tabs>
          <w:tab w:val="left" w:pos="2490"/>
        </w:tabs>
        <w:spacing w:before="120" w:after="120" w:line="360" w:lineRule="auto"/>
        <w:jc w:val="both"/>
        <w:rPr>
          <w:rFonts w:ascii="Rockwell" w:eastAsia="Times New Roman" w:hAnsi="Rockwell"/>
          <w:sz w:val="26"/>
          <w:szCs w:val="26"/>
        </w:rPr>
        <w:sectPr w:rsidR="00733207">
          <w:pgSz w:w="11906" w:h="16838"/>
          <w:pgMar w:top="1418" w:right="851" w:bottom="1560" w:left="1560" w:header="426" w:footer="567" w:gutter="0"/>
          <w:cols w:space="708"/>
          <w:docGrid w:linePitch="360"/>
        </w:sectPr>
      </w:pPr>
    </w:p>
    <w:p w14:paraId="399E1B54" w14:textId="67333146" w:rsidR="00733207" w:rsidRDefault="00912BAE">
      <w:pPr>
        <w:pStyle w:val="Titre4"/>
        <w:spacing w:before="120" w:after="120" w:line="360" w:lineRule="auto"/>
        <w:jc w:val="center"/>
        <w:rPr>
          <w:rFonts w:ascii="Rockwell" w:hAnsi="Rockwell"/>
          <w:b/>
          <w:i w:val="0"/>
          <w:color w:val="auto"/>
          <w:sz w:val="28"/>
          <w:szCs w:val="28"/>
        </w:rPr>
      </w:pPr>
      <w:bookmarkStart w:id="324" w:name="_Toc169855151"/>
      <w:bookmarkStart w:id="325" w:name="_Toc175128519"/>
      <w:r>
        <w:rPr>
          <w:rFonts w:ascii="Rockwell" w:hAnsi="Rockwell"/>
          <w:b/>
          <w:i w:val="0"/>
          <w:color w:val="auto"/>
          <w:sz w:val="28"/>
          <w:szCs w:val="28"/>
        </w:rPr>
        <w:lastRenderedPageBreak/>
        <w:t xml:space="preserve">Paragraphe 2 : </w:t>
      </w:r>
      <w:r w:rsidR="00172C79">
        <w:rPr>
          <w:rFonts w:ascii="Rockwell" w:hAnsi="Rockwell"/>
          <w:b/>
          <w:i w:val="0"/>
          <w:color w:val="auto"/>
          <w:sz w:val="28"/>
          <w:szCs w:val="28"/>
        </w:rPr>
        <w:t xml:space="preserve">Observation </w:t>
      </w:r>
      <w:r>
        <w:rPr>
          <w:rFonts w:ascii="Rockwell" w:hAnsi="Rockwell"/>
          <w:b/>
          <w:i w:val="0"/>
          <w:color w:val="auto"/>
          <w:sz w:val="28"/>
          <w:szCs w:val="28"/>
        </w:rPr>
        <w:t>des médias audiovisuels de l’Ouest</w:t>
      </w:r>
      <w:bookmarkEnd w:id="324"/>
      <w:bookmarkEnd w:id="325"/>
    </w:p>
    <w:p w14:paraId="018B42BB" w14:textId="77777777" w:rsidR="00733207" w:rsidRDefault="00733207">
      <w:pPr>
        <w:spacing w:before="120" w:after="120" w:line="360" w:lineRule="auto"/>
        <w:jc w:val="both"/>
        <w:rPr>
          <w:rFonts w:ascii="Rockwell" w:hAnsi="Rockwell"/>
          <w:sz w:val="10"/>
          <w:szCs w:val="10"/>
        </w:rPr>
      </w:pPr>
    </w:p>
    <w:p w14:paraId="568BB1E9" w14:textId="77777777" w:rsidR="00733207" w:rsidRDefault="00912BAE">
      <w:pPr>
        <w:pStyle w:val="Titre5"/>
        <w:spacing w:before="240" w:after="240"/>
        <w:jc w:val="center"/>
        <w:rPr>
          <w:rFonts w:ascii="Rockwell" w:hAnsi="Rockwell"/>
          <w:i w:val="0"/>
          <w:color w:val="auto"/>
          <w:sz w:val="26"/>
          <w:szCs w:val="26"/>
        </w:rPr>
      </w:pPr>
      <w:bookmarkStart w:id="326" w:name="_Toc169855152"/>
      <w:bookmarkStart w:id="327" w:name="_Toc175128520"/>
      <w:r>
        <w:rPr>
          <w:rFonts w:ascii="Rockwell" w:hAnsi="Rockwell"/>
          <w:i w:val="0"/>
          <w:color w:val="auto"/>
          <w:sz w:val="26"/>
          <w:szCs w:val="26"/>
        </w:rPr>
        <w:t>2.1. Statistiques de l’observation</w:t>
      </w:r>
      <w:bookmarkEnd w:id="326"/>
      <w:bookmarkEnd w:id="327"/>
    </w:p>
    <w:p w14:paraId="48351767" w14:textId="77777777" w:rsidR="00733207" w:rsidRDefault="00733207">
      <w:pPr>
        <w:jc w:val="both"/>
        <w:rPr>
          <w:rFonts w:ascii="Rockwell" w:hAnsi="Rockwell"/>
          <w:sz w:val="16"/>
          <w:szCs w:val="16"/>
        </w:rPr>
      </w:pPr>
    </w:p>
    <w:p w14:paraId="37CFB4F8" w14:textId="77777777" w:rsidR="00733207" w:rsidRDefault="00912BAE">
      <w:pPr>
        <w:pStyle w:val="Titre6"/>
        <w:spacing w:line="360" w:lineRule="auto"/>
        <w:jc w:val="center"/>
        <w:rPr>
          <w:rFonts w:ascii="Rockwell" w:hAnsi="Rockwell"/>
          <w:b/>
          <w:i/>
          <w:color w:val="auto"/>
          <w:sz w:val="24"/>
          <w:szCs w:val="24"/>
        </w:rPr>
      </w:pPr>
      <w:bookmarkStart w:id="328" w:name="_Toc175128521"/>
      <w:r>
        <w:rPr>
          <w:rFonts w:ascii="Rockwell" w:hAnsi="Rockwell"/>
          <w:b/>
          <w:i/>
          <w:color w:val="auto"/>
          <w:sz w:val="24"/>
          <w:szCs w:val="24"/>
        </w:rPr>
        <w:t>2.1.1. Dans les médias audiovisuels publics</w:t>
      </w:r>
      <w:bookmarkEnd w:id="328"/>
    </w:p>
    <w:p w14:paraId="365E4CCF" w14:textId="77777777" w:rsidR="00733207" w:rsidRDefault="00733207">
      <w:pPr>
        <w:jc w:val="both"/>
        <w:rPr>
          <w:rFonts w:ascii="Rockwell" w:hAnsi="Rockwell"/>
        </w:rPr>
      </w:pPr>
    </w:p>
    <w:p w14:paraId="5AB57C50" w14:textId="77777777" w:rsidR="00733207" w:rsidRDefault="00912BAE">
      <w:pPr>
        <w:spacing w:before="120" w:after="120" w:line="360" w:lineRule="auto"/>
        <w:jc w:val="both"/>
        <w:rPr>
          <w:rFonts w:ascii="Rockwell" w:hAnsi="Rockwell" w:cs="Times New Roman"/>
          <w:i/>
          <w:sz w:val="26"/>
          <w:szCs w:val="26"/>
        </w:rPr>
      </w:pPr>
      <w:r>
        <w:rPr>
          <w:rFonts w:ascii="Rockwell" w:hAnsi="Rockwell" w:cs="Times New Roman"/>
          <w:sz w:val="26"/>
          <w:szCs w:val="26"/>
        </w:rPr>
        <w:t>L’observation</w:t>
      </w:r>
      <w:r>
        <w:rPr>
          <w:rFonts w:ascii="Rockwell" w:hAnsi="Rockwell"/>
          <w:b/>
          <w:sz w:val="24"/>
          <w:szCs w:val="24"/>
        </w:rPr>
        <w:t xml:space="preserve"> </w:t>
      </w:r>
      <w:r>
        <w:rPr>
          <w:rFonts w:ascii="Rockwell" w:hAnsi="Rockwell" w:cs="Times New Roman"/>
          <w:sz w:val="26"/>
          <w:szCs w:val="26"/>
        </w:rPr>
        <w:t xml:space="preserve">les médias audiovisuels publics a concerné les radios </w:t>
      </w:r>
      <w:r>
        <w:rPr>
          <w:rFonts w:ascii="Rockwell" w:hAnsi="Rockwell" w:cs="Times New Roman"/>
          <w:i/>
          <w:sz w:val="26"/>
          <w:szCs w:val="26"/>
        </w:rPr>
        <w:t>RTB2 de Bobo, de Dédougou et de Gaoua.</w:t>
      </w:r>
    </w:p>
    <w:p w14:paraId="7F6EDE1A" w14:textId="77777777" w:rsidR="00733207" w:rsidRDefault="00733207">
      <w:pPr>
        <w:spacing w:before="120" w:after="120" w:line="360" w:lineRule="auto"/>
        <w:jc w:val="both"/>
        <w:rPr>
          <w:rFonts w:ascii="Rockwell" w:hAnsi="Rockwell" w:cs="Times New Roman"/>
          <w:i/>
          <w:sz w:val="10"/>
          <w:szCs w:val="10"/>
        </w:rPr>
      </w:pPr>
    </w:p>
    <w:p w14:paraId="5B4B91DE" w14:textId="4695F523" w:rsidR="00733207" w:rsidRDefault="00912BAE">
      <w:pPr>
        <w:spacing w:before="120" w:after="120" w:line="240" w:lineRule="auto"/>
        <w:jc w:val="center"/>
        <w:rPr>
          <w:rFonts w:ascii="Rockwell" w:hAnsi="Rockwell" w:cs="Times New Roman"/>
          <w:i/>
        </w:rPr>
      </w:pPr>
      <w:r>
        <w:rPr>
          <w:rFonts w:ascii="Rockwell" w:hAnsi="Rockwell" w:cs="Times New Roman"/>
          <w:b/>
          <w:i/>
          <w:u w:val="single"/>
        </w:rPr>
        <w:t>Tableau n°23</w:t>
      </w:r>
      <w:r>
        <w:rPr>
          <w:rFonts w:ascii="Rockwell" w:hAnsi="Rockwell" w:cs="Times New Roman"/>
          <w:i/>
        </w:rPr>
        <w:t xml:space="preserve"> : Synthèse des TA et des TP </w:t>
      </w:r>
      <w:r w:rsidR="00172C79">
        <w:rPr>
          <w:rFonts w:ascii="Rockwell" w:hAnsi="Rockwell" w:cs="Times New Roman"/>
          <w:i/>
        </w:rPr>
        <w:t>consacrés aux thématiques</w:t>
      </w:r>
      <w:r>
        <w:rPr>
          <w:rFonts w:ascii="Rockwell" w:hAnsi="Rockwell" w:cs="Times New Roman"/>
          <w:i/>
        </w:rPr>
        <w:t xml:space="preserve"> dans les radios RTB2 de Bobo, de Dédougou et de Gaoua</w:t>
      </w:r>
    </w:p>
    <w:p w14:paraId="7D27C664" w14:textId="77777777" w:rsidR="00733207" w:rsidRDefault="00733207">
      <w:pPr>
        <w:spacing w:before="120" w:after="120" w:line="360" w:lineRule="auto"/>
        <w:jc w:val="both"/>
        <w:rPr>
          <w:rFonts w:ascii="Rockwell" w:hAnsi="Rockwell"/>
          <w:b/>
          <w:sz w:val="10"/>
          <w:szCs w:val="10"/>
        </w:rPr>
      </w:pPr>
    </w:p>
    <w:tbl>
      <w:tblPr>
        <w:tblW w:w="10922" w:type="dxa"/>
        <w:jc w:val="center"/>
        <w:tblCellMar>
          <w:left w:w="70" w:type="dxa"/>
          <w:right w:w="70" w:type="dxa"/>
        </w:tblCellMar>
        <w:tblLook w:val="04A0" w:firstRow="1" w:lastRow="0" w:firstColumn="1" w:lastColumn="0" w:noHBand="0" w:noVBand="1"/>
      </w:tblPr>
      <w:tblGrid>
        <w:gridCol w:w="1665"/>
        <w:gridCol w:w="1156"/>
        <w:gridCol w:w="1158"/>
        <w:gridCol w:w="1158"/>
        <w:gridCol w:w="1232"/>
        <w:gridCol w:w="1083"/>
        <w:gridCol w:w="1158"/>
        <w:gridCol w:w="1158"/>
        <w:gridCol w:w="1154"/>
      </w:tblGrid>
      <w:tr w:rsidR="005927C6" w14:paraId="50A73962" w14:textId="77777777" w:rsidTr="005927C6">
        <w:trPr>
          <w:trHeight w:val="315"/>
          <w:jc w:val="center"/>
        </w:trPr>
        <w:tc>
          <w:tcPr>
            <w:tcW w:w="1665" w:type="dxa"/>
            <w:vMerge w:val="restart"/>
            <w:tcBorders>
              <w:top w:val="single" w:sz="8" w:space="0" w:color="000000"/>
              <w:left w:val="single" w:sz="8" w:space="0" w:color="000000"/>
              <w:right w:val="single" w:sz="8" w:space="0" w:color="000000"/>
              <w:tl2br w:val="single" w:sz="4" w:space="0" w:color="auto"/>
            </w:tcBorders>
            <w:shd w:val="clear" w:color="auto" w:fill="auto"/>
            <w:vAlign w:val="center"/>
          </w:tcPr>
          <w:p w14:paraId="528DBA18" w14:textId="60A7CDB1"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 xml:space="preserve">    ORGANES</w:t>
            </w:r>
          </w:p>
          <w:p w14:paraId="208ADB77" w14:textId="77777777" w:rsidR="005927C6" w:rsidRDefault="005927C6">
            <w:pPr>
              <w:spacing w:before="60" w:after="60" w:line="360" w:lineRule="auto"/>
              <w:jc w:val="both"/>
              <w:rPr>
                <w:rFonts w:ascii="Rockwell" w:eastAsia="Times New Roman" w:hAnsi="Rockwell" w:cs="Times New Roman"/>
                <w:b/>
                <w:bCs/>
                <w:color w:val="000000"/>
                <w:sz w:val="24"/>
                <w:szCs w:val="24"/>
              </w:rPr>
            </w:pPr>
          </w:p>
          <w:p w14:paraId="79F2D4DF" w14:textId="222916B1" w:rsidR="005927C6" w:rsidRDefault="005927C6" w:rsidP="00EA3B51">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THEMES</w:t>
            </w:r>
          </w:p>
        </w:tc>
        <w:tc>
          <w:tcPr>
            <w:tcW w:w="4704" w:type="dxa"/>
            <w:gridSpan w:val="4"/>
            <w:tcBorders>
              <w:top w:val="single" w:sz="8" w:space="0" w:color="000000"/>
              <w:left w:val="nil"/>
              <w:bottom w:val="single" w:sz="8" w:space="0" w:color="000000"/>
              <w:right w:val="single" w:sz="8" w:space="0" w:color="000000"/>
            </w:tcBorders>
            <w:shd w:val="clear" w:color="auto" w:fill="auto"/>
            <w:vAlign w:val="center"/>
          </w:tcPr>
          <w:p w14:paraId="73DD7A9A"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Radio RTB2/ Bobo</w:t>
            </w:r>
          </w:p>
        </w:tc>
        <w:tc>
          <w:tcPr>
            <w:tcW w:w="4553" w:type="dxa"/>
            <w:gridSpan w:val="4"/>
            <w:tcBorders>
              <w:top w:val="single" w:sz="8" w:space="0" w:color="000000"/>
              <w:left w:val="nil"/>
              <w:bottom w:val="single" w:sz="8" w:space="0" w:color="000000"/>
              <w:right w:val="single" w:sz="8" w:space="0" w:color="000000"/>
            </w:tcBorders>
            <w:shd w:val="clear" w:color="auto" w:fill="auto"/>
            <w:vAlign w:val="center"/>
          </w:tcPr>
          <w:p w14:paraId="12B54F13"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Radio RTB2/ Dédougou</w:t>
            </w:r>
          </w:p>
        </w:tc>
      </w:tr>
      <w:tr w:rsidR="005927C6" w14:paraId="6E3DDC68" w14:textId="77777777" w:rsidTr="00336616">
        <w:trPr>
          <w:trHeight w:val="315"/>
          <w:jc w:val="center"/>
        </w:trPr>
        <w:tc>
          <w:tcPr>
            <w:tcW w:w="1665" w:type="dxa"/>
            <w:vMerge/>
            <w:tcBorders>
              <w:left w:val="single" w:sz="8" w:space="0" w:color="000000"/>
              <w:bottom w:val="single" w:sz="8" w:space="0" w:color="000000"/>
              <w:right w:val="single" w:sz="8" w:space="0" w:color="000000"/>
            </w:tcBorders>
            <w:shd w:val="clear" w:color="auto" w:fill="auto"/>
            <w:vAlign w:val="center"/>
          </w:tcPr>
          <w:p w14:paraId="3A514842" w14:textId="429112DF" w:rsidR="005927C6" w:rsidRDefault="005927C6" w:rsidP="00EA3B51">
            <w:pPr>
              <w:spacing w:before="60" w:after="60" w:line="360" w:lineRule="auto"/>
              <w:jc w:val="both"/>
              <w:rPr>
                <w:rFonts w:ascii="Rockwell" w:eastAsia="Times New Roman" w:hAnsi="Rockwell" w:cs="Times New Roman"/>
                <w:b/>
                <w:bCs/>
                <w:color w:val="000000"/>
                <w:sz w:val="24"/>
                <w:szCs w:val="24"/>
              </w:rPr>
            </w:pPr>
          </w:p>
        </w:tc>
        <w:tc>
          <w:tcPr>
            <w:tcW w:w="1156" w:type="dxa"/>
            <w:tcBorders>
              <w:top w:val="nil"/>
              <w:left w:val="nil"/>
              <w:bottom w:val="single" w:sz="8" w:space="0" w:color="000000"/>
              <w:right w:val="single" w:sz="8" w:space="0" w:color="000000"/>
            </w:tcBorders>
            <w:shd w:val="clear" w:color="auto" w:fill="auto"/>
            <w:vAlign w:val="center"/>
          </w:tcPr>
          <w:p w14:paraId="5B4DD5C8"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000000"/>
            </w:tcBorders>
            <w:shd w:val="clear" w:color="auto" w:fill="auto"/>
            <w:vAlign w:val="center"/>
          </w:tcPr>
          <w:p w14:paraId="540F3046"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000000"/>
            </w:tcBorders>
            <w:shd w:val="clear" w:color="auto" w:fill="auto"/>
            <w:vAlign w:val="center"/>
          </w:tcPr>
          <w:p w14:paraId="65BBC65E"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232" w:type="dxa"/>
            <w:tcBorders>
              <w:top w:val="nil"/>
              <w:left w:val="nil"/>
              <w:bottom w:val="single" w:sz="8" w:space="0" w:color="000000"/>
              <w:right w:val="single" w:sz="8" w:space="0" w:color="000000"/>
            </w:tcBorders>
            <w:shd w:val="clear" w:color="auto" w:fill="auto"/>
            <w:vAlign w:val="center"/>
          </w:tcPr>
          <w:p w14:paraId="6FB5F54A"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083" w:type="dxa"/>
            <w:tcBorders>
              <w:top w:val="nil"/>
              <w:left w:val="nil"/>
              <w:bottom w:val="single" w:sz="8" w:space="0" w:color="000000"/>
              <w:right w:val="single" w:sz="8" w:space="0" w:color="000000"/>
            </w:tcBorders>
            <w:shd w:val="clear" w:color="auto" w:fill="auto"/>
            <w:vAlign w:val="center"/>
          </w:tcPr>
          <w:p w14:paraId="328FFC5D"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000000"/>
            </w:tcBorders>
            <w:shd w:val="clear" w:color="auto" w:fill="auto"/>
            <w:vAlign w:val="center"/>
          </w:tcPr>
          <w:p w14:paraId="58D14597"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auto"/>
            </w:tcBorders>
            <w:shd w:val="clear" w:color="auto" w:fill="auto"/>
            <w:vAlign w:val="center"/>
          </w:tcPr>
          <w:p w14:paraId="6F678878"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154" w:type="dxa"/>
            <w:tcBorders>
              <w:top w:val="nil"/>
              <w:left w:val="nil"/>
              <w:bottom w:val="single" w:sz="8" w:space="0" w:color="000000"/>
              <w:right w:val="single" w:sz="8" w:space="0" w:color="000000"/>
            </w:tcBorders>
            <w:shd w:val="clear" w:color="auto" w:fill="auto"/>
            <w:vAlign w:val="center"/>
          </w:tcPr>
          <w:p w14:paraId="71EB62E5" w14:textId="77777777" w:rsidR="005927C6" w:rsidRDefault="005927C6">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r>
      <w:tr w:rsidR="00733207" w14:paraId="7466FE84" w14:textId="77777777" w:rsidTr="000C3528">
        <w:trPr>
          <w:trHeight w:val="315"/>
          <w:jc w:val="center"/>
        </w:trPr>
        <w:tc>
          <w:tcPr>
            <w:tcW w:w="1665" w:type="dxa"/>
            <w:tcBorders>
              <w:top w:val="nil"/>
              <w:left w:val="single" w:sz="8" w:space="0" w:color="000000"/>
              <w:bottom w:val="single" w:sz="8" w:space="0" w:color="000000"/>
              <w:right w:val="single" w:sz="8" w:space="0" w:color="000000"/>
            </w:tcBorders>
            <w:shd w:val="clear" w:color="auto" w:fill="auto"/>
            <w:vAlign w:val="center"/>
          </w:tcPr>
          <w:p w14:paraId="563D6D4D"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Politique</w:t>
            </w:r>
          </w:p>
        </w:tc>
        <w:tc>
          <w:tcPr>
            <w:tcW w:w="1156" w:type="dxa"/>
            <w:tcBorders>
              <w:top w:val="nil"/>
              <w:left w:val="nil"/>
              <w:bottom w:val="single" w:sz="8" w:space="0" w:color="000000"/>
              <w:right w:val="single" w:sz="8" w:space="0" w:color="000000"/>
            </w:tcBorders>
            <w:shd w:val="clear" w:color="auto" w:fill="auto"/>
            <w:vAlign w:val="center"/>
          </w:tcPr>
          <w:p w14:paraId="0D9715FE"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30:14</w:t>
            </w:r>
          </w:p>
        </w:tc>
        <w:tc>
          <w:tcPr>
            <w:tcW w:w="1158" w:type="dxa"/>
            <w:tcBorders>
              <w:top w:val="nil"/>
              <w:left w:val="nil"/>
              <w:bottom w:val="single" w:sz="8" w:space="0" w:color="000000"/>
              <w:right w:val="single" w:sz="8" w:space="0" w:color="000000"/>
            </w:tcBorders>
            <w:shd w:val="clear" w:color="auto" w:fill="auto"/>
            <w:vAlign w:val="center"/>
          </w:tcPr>
          <w:p w14:paraId="78335DC7"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20,47%</w:t>
            </w:r>
          </w:p>
        </w:tc>
        <w:tc>
          <w:tcPr>
            <w:tcW w:w="1158" w:type="dxa"/>
            <w:tcBorders>
              <w:top w:val="nil"/>
              <w:left w:val="nil"/>
              <w:bottom w:val="single" w:sz="8" w:space="0" w:color="000000"/>
              <w:right w:val="single" w:sz="8" w:space="0" w:color="000000"/>
            </w:tcBorders>
            <w:shd w:val="clear" w:color="auto" w:fill="auto"/>
            <w:vAlign w:val="center"/>
          </w:tcPr>
          <w:p w14:paraId="65A19772"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45:52</w:t>
            </w:r>
          </w:p>
        </w:tc>
        <w:tc>
          <w:tcPr>
            <w:tcW w:w="1232" w:type="dxa"/>
            <w:tcBorders>
              <w:top w:val="nil"/>
              <w:left w:val="nil"/>
              <w:bottom w:val="single" w:sz="8" w:space="0" w:color="000000"/>
              <w:right w:val="single" w:sz="8" w:space="0" w:color="000000"/>
            </w:tcBorders>
            <w:shd w:val="clear" w:color="auto" w:fill="auto"/>
            <w:vAlign w:val="center"/>
          </w:tcPr>
          <w:p w14:paraId="033BEFDF"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20,63%</w:t>
            </w:r>
          </w:p>
        </w:tc>
        <w:tc>
          <w:tcPr>
            <w:tcW w:w="1083" w:type="dxa"/>
            <w:tcBorders>
              <w:top w:val="nil"/>
              <w:left w:val="nil"/>
              <w:bottom w:val="single" w:sz="8" w:space="0" w:color="000000"/>
              <w:right w:val="single" w:sz="8" w:space="0" w:color="000000"/>
            </w:tcBorders>
            <w:shd w:val="clear" w:color="auto" w:fill="auto"/>
            <w:vAlign w:val="center"/>
          </w:tcPr>
          <w:p w14:paraId="2D6DF05D"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32:24</w:t>
            </w:r>
          </w:p>
        </w:tc>
        <w:tc>
          <w:tcPr>
            <w:tcW w:w="1158" w:type="dxa"/>
            <w:tcBorders>
              <w:top w:val="nil"/>
              <w:left w:val="nil"/>
              <w:bottom w:val="single" w:sz="8" w:space="0" w:color="000000"/>
              <w:right w:val="single" w:sz="8" w:space="0" w:color="000000"/>
            </w:tcBorders>
            <w:shd w:val="clear" w:color="auto" w:fill="auto"/>
            <w:vAlign w:val="center"/>
          </w:tcPr>
          <w:p w14:paraId="6DAAFC06"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13,59%</w:t>
            </w:r>
          </w:p>
        </w:tc>
        <w:tc>
          <w:tcPr>
            <w:tcW w:w="1158" w:type="dxa"/>
            <w:tcBorders>
              <w:top w:val="nil"/>
              <w:left w:val="nil"/>
              <w:bottom w:val="single" w:sz="8" w:space="0" w:color="000000"/>
              <w:right w:val="single" w:sz="8" w:space="0" w:color="auto"/>
            </w:tcBorders>
            <w:shd w:val="clear" w:color="auto" w:fill="auto"/>
            <w:vAlign w:val="center"/>
          </w:tcPr>
          <w:p w14:paraId="539353A9"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bCs/>
                <w:color w:val="000000"/>
                <w:sz w:val="24"/>
                <w:szCs w:val="24"/>
              </w:rPr>
              <w:t>00:</w:t>
            </w:r>
            <w:proofErr w:type="gramEnd"/>
            <w:r>
              <w:rPr>
                <w:rFonts w:ascii="Rockwell" w:eastAsia="Times New Roman" w:hAnsi="Rockwell" w:cs="Times New Roman"/>
                <w:bCs/>
                <w:color w:val="000000"/>
                <w:sz w:val="24"/>
                <w:szCs w:val="24"/>
              </w:rPr>
              <w:t>16:20</w:t>
            </w:r>
          </w:p>
        </w:tc>
        <w:tc>
          <w:tcPr>
            <w:tcW w:w="1154" w:type="dxa"/>
            <w:tcBorders>
              <w:top w:val="nil"/>
              <w:left w:val="nil"/>
              <w:bottom w:val="single" w:sz="8" w:space="0" w:color="000000"/>
              <w:right w:val="single" w:sz="8" w:space="0" w:color="000000"/>
            </w:tcBorders>
            <w:shd w:val="clear" w:color="auto" w:fill="auto"/>
            <w:vAlign w:val="center"/>
          </w:tcPr>
          <w:p w14:paraId="55FD605F"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16,13%</w:t>
            </w:r>
          </w:p>
        </w:tc>
      </w:tr>
      <w:tr w:rsidR="00733207" w14:paraId="3B5F9AAF" w14:textId="77777777" w:rsidTr="000C3528">
        <w:trPr>
          <w:trHeight w:val="315"/>
          <w:jc w:val="center"/>
        </w:trPr>
        <w:tc>
          <w:tcPr>
            <w:tcW w:w="1665" w:type="dxa"/>
            <w:tcBorders>
              <w:top w:val="nil"/>
              <w:left w:val="single" w:sz="8" w:space="0" w:color="000000"/>
              <w:bottom w:val="single" w:sz="8" w:space="0" w:color="000000"/>
              <w:right w:val="single" w:sz="8" w:space="0" w:color="000000"/>
            </w:tcBorders>
            <w:shd w:val="clear" w:color="auto" w:fill="auto"/>
            <w:vAlign w:val="center"/>
          </w:tcPr>
          <w:p w14:paraId="2E3EFE46"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Sécurité</w:t>
            </w:r>
          </w:p>
        </w:tc>
        <w:tc>
          <w:tcPr>
            <w:tcW w:w="1156" w:type="dxa"/>
            <w:tcBorders>
              <w:top w:val="nil"/>
              <w:left w:val="nil"/>
              <w:bottom w:val="single" w:sz="8" w:space="0" w:color="000000"/>
              <w:right w:val="single" w:sz="8" w:space="0" w:color="000000"/>
            </w:tcBorders>
            <w:shd w:val="clear" w:color="auto" w:fill="auto"/>
            <w:vAlign w:val="center"/>
          </w:tcPr>
          <w:p w14:paraId="41AD81B2"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09:24</w:t>
            </w:r>
          </w:p>
        </w:tc>
        <w:tc>
          <w:tcPr>
            <w:tcW w:w="1158" w:type="dxa"/>
            <w:tcBorders>
              <w:top w:val="nil"/>
              <w:left w:val="nil"/>
              <w:bottom w:val="single" w:sz="8" w:space="0" w:color="000000"/>
              <w:right w:val="single" w:sz="8" w:space="0" w:color="000000"/>
            </w:tcBorders>
            <w:shd w:val="clear" w:color="auto" w:fill="auto"/>
            <w:vAlign w:val="center"/>
          </w:tcPr>
          <w:p w14:paraId="38556155"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15,74%</w:t>
            </w:r>
          </w:p>
        </w:tc>
        <w:tc>
          <w:tcPr>
            <w:tcW w:w="1158" w:type="dxa"/>
            <w:tcBorders>
              <w:top w:val="nil"/>
              <w:left w:val="nil"/>
              <w:bottom w:val="single" w:sz="8" w:space="0" w:color="000000"/>
              <w:right w:val="single" w:sz="8" w:space="0" w:color="000000"/>
            </w:tcBorders>
            <w:shd w:val="clear" w:color="auto" w:fill="auto"/>
            <w:vAlign w:val="center"/>
          </w:tcPr>
          <w:p w14:paraId="3E83C149"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44:12</w:t>
            </w:r>
          </w:p>
        </w:tc>
        <w:tc>
          <w:tcPr>
            <w:tcW w:w="1232" w:type="dxa"/>
            <w:tcBorders>
              <w:top w:val="nil"/>
              <w:left w:val="nil"/>
              <w:bottom w:val="single" w:sz="8" w:space="0" w:color="000000"/>
              <w:right w:val="single" w:sz="8" w:space="0" w:color="000000"/>
            </w:tcBorders>
            <w:shd w:val="clear" w:color="auto" w:fill="auto"/>
            <w:vAlign w:val="center"/>
          </w:tcPr>
          <w:p w14:paraId="5F9AEB54"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19,88%</w:t>
            </w:r>
          </w:p>
        </w:tc>
        <w:tc>
          <w:tcPr>
            <w:tcW w:w="1083" w:type="dxa"/>
            <w:tcBorders>
              <w:top w:val="nil"/>
              <w:left w:val="nil"/>
              <w:bottom w:val="single" w:sz="8" w:space="0" w:color="000000"/>
              <w:right w:val="single" w:sz="8" w:space="0" w:color="000000"/>
            </w:tcBorders>
            <w:shd w:val="clear" w:color="auto" w:fill="auto"/>
            <w:vAlign w:val="center"/>
          </w:tcPr>
          <w:p w14:paraId="5542DF3D"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40:19</w:t>
            </w:r>
          </w:p>
        </w:tc>
        <w:tc>
          <w:tcPr>
            <w:tcW w:w="1158" w:type="dxa"/>
            <w:tcBorders>
              <w:top w:val="nil"/>
              <w:left w:val="nil"/>
              <w:bottom w:val="single" w:sz="8" w:space="0" w:color="000000"/>
              <w:right w:val="single" w:sz="8" w:space="0" w:color="000000"/>
            </w:tcBorders>
            <w:shd w:val="clear" w:color="auto" w:fill="auto"/>
            <w:vAlign w:val="center"/>
          </w:tcPr>
          <w:p w14:paraId="017B0C51"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16,91%</w:t>
            </w:r>
          </w:p>
        </w:tc>
        <w:tc>
          <w:tcPr>
            <w:tcW w:w="1158" w:type="dxa"/>
            <w:tcBorders>
              <w:top w:val="nil"/>
              <w:left w:val="nil"/>
              <w:bottom w:val="single" w:sz="8" w:space="0" w:color="000000"/>
              <w:right w:val="single" w:sz="8" w:space="0" w:color="auto"/>
            </w:tcBorders>
            <w:shd w:val="clear" w:color="auto" w:fill="auto"/>
            <w:vAlign w:val="center"/>
          </w:tcPr>
          <w:p w14:paraId="68943B24"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18:09</w:t>
            </w:r>
          </w:p>
        </w:tc>
        <w:tc>
          <w:tcPr>
            <w:tcW w:w="1154" w:type="dxa"/>
            <w:tcBorders>
              <w:top w:val="nil"/>
              <w:left w:val="nil"/>
              <w:bottom w:val="single" w:sz="8" w:space="0" w:color="000000"/>
              <w:right w:val="single" w:sz="8" w:space="0" w:color="000000"/>
            </w:tcBorders>
            <w:shd w:val="clear" w:color="auto" w:fill="auto"/>
            <w:vAlign w:val="center"/>
          </w:tcPr>
          <w:p w14:paraId="19ADCB5E"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17,92%</w:t>
            </w:r>
          </w:p>
        </w:tc>
      </w:tr>
      <w:tr w:rsidR="00733207" w14:paraId="3A1F68D5" w14:textId="77777777" w:rsidTr="000C3528">
        <w:trPr>
          <w:trHeight w:val="315"/>
          <w:jc w:val="center"/>
        </w:trPr>
        <w:tc>
          <w:tcPr>
            <w:tcW w:w="1665" w:type="dxa"/>
            <w:tcBorders>
              <w:top w:val="nil"/>
              <w:left w:val="single" w:sz="8" w:space="0" w:color="000000"/>
              <w:bottom w:val="single" w:sz="8" w:space="0" w:color="000000"/>
              <w:right w:val="single" w:sz="8" w:space="0" w:color="000000"/>
            </w:tcBorders>
            <w:shd w:val="clear" w:color="auto" w:fill="auto"/>
            <w:vAlign w:val="center"/>
          </w:tcPr>
          <w:p w14:paraId="5DBDF4A1"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Religion</w:t>
            </w:r>
          </w:p>
        </w:tc>
        <w:tc>
          <w:tcPr>
            <w:tcW w:w="1156" w:type="dxa"/>
            <w:tcBorders>
              <w:top w:val="nil"/>
              <w:left w:val="nil"/>
              <w:bottom w:val="single" w:sz="8" w:space="0" w:color="000000"/>
              <w:right w:val="single" w:sz="8" w:space="0" w:color="000000"/>
            </w:tcBorders>
            <w:shd w:val="clear" w:color="auto" w:fill="auto"/>
            <w:vAlign w:val="center"/>
          </w:tcPr>
          <w:p w14:paraId="5B5EA226"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58" w:type="dxa"/>
            <w:tcBorders>
              <w:top w:val="nil"/>
              <w:left w:val="nil"/>
              <w:bottom w:val="single" w:sz="8" w:space="0" w:color="000000"/>
              <w:right w:val="single" w:sz="8" w:space="0" w:color="000000"/>
            </w:tcBorders>
            <w:shd w:val="clear" w:color="auto" w:fill="auto"/>
            <w:vAlign w:val="center"/>
          </w:tcPr>
          <w:p w14:paraId="587F6797"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0,00%</w:t>
            </w:r>
          </w:p>
        </w:tc>
        <w:tc>
          <w:tcPr>
            <w:tcW w:w="1158" w:type="dxa"/>
            <w:tcBorders>
              <w:top w:val="nil"/>
              <w:left w:val="nil"/>
              <w:bottom w:val="single" w:sz="8" w:space="0" w:color="000000"/>
              <w:right w:val="single" w:sz="8" w:space="0" w:color="000000"/>
            </w:tcBorders>
            <w:shd w:val="clear" w:color="auto" w:fill="auto"/>
            <w:vAlign w:val="center"/>
          </w:tcPr>
          <w:p w14:paraId="2AB5F941"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232" w:type="dxa"/>
            <w:tcBorders>
              <w:top w:val="nil"/>
              <w:left w:val="nil"/>
              <w:bottom w:val="single" w:sz="8" w:space="0" w:color="000000"/>
              <w:right w:val="single" w:sz="8" w:space="0" w:color="000000"/>
            </w:tcBorders>
            <w:shd w:val="clear" w:color="auto" w:fill="auto"/>
            <w:vAlign w:val="center"/>
          </w:tcPr>
          <w:p w14:paraId="2227ED96"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0,00%</w:t>
            </w:r>
          </w:p>
        </w:tc>
        <w:tc>
          <w:tcPr>
            <w:tcW w:w="1083" w:type="dxa"/>
            <w:tcBorders>
              <w:top w:val="nil"/>
              <w:left w:val="nil"/>
              <w:bottom w:val="single" w:sz="8" w:space="0" w:color="000000"/>
              <w:right w:val="single" w:sz="8" w:space="0" w:color="000000"/>
            </w:tcBorders>
            <w:shd w:val="clear" w:color="auto" w:fill="auto"/>
            <w:vAlign w:val="center"/>
          </w:tcPr>
          <w:p w14:paraId="70D24518"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24:15</w:t>
            </w:r>
          </w:p>
        </w:tc>
        <w:tc>
          <w:tcPr>
            <w:tcW w:w="1158" w:type="dxa"/>
            <w:tcBorders>
              <w:top w:val="nil"/>
              <w:left w:val="nil"/>
              <w:bottom w:val="single" w:sz="8" w:space="0" w:color="000000"/>
              <w:right w:val="single" w:sz="8" w:space="0" w:color="000000"/>
            </w:tcBorders>
            <w:shd w:val="clear" w:color="auto" w:fill="auto"/>
            <w:vAlign w:val="center"/>
          </w:tcPr>
          <w:p w14:paraId="4DB18D00"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10,17%</w:t>
            </w:r>
          </w:p>
        </w:tc>
        <w:tc>
          <w:tcPr>
            <w:tcW w:w="1158" w:type="dxa"/>
            <w:tcBorders>
              <w:top w:val="nil"/>
              <w:left w:val="nil"/>
              <w:bottom w:val="single" w:sz="8" w:space="0" w:color="000000"/>
              <w:right w:val="single" w:sz="8" w:space="0" w:color="auto"/>
            </w:tcBorders>
            <w:shd w:val="clear" w:color="auto" w:fill="auto"/>
            <w:vAlign w:val="center"/>
          </w:tcPr>
          <w:p w14:paraId="2F7B0667"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09:10</w:t>
            </w:r>
          </w:p>
        </w:tc>
        <w:tc>
          <w:tcPr>
            <w:tcW w:w="1154" w:type="dxa"/>
            <w:tcBorders>
              <w:top w:val="nil"/>
              <w:left w:val="nil"/>
              <w:bottom w:val="single" w:sz="8" w:space="0" w:color="000000"/>
              <w:right w:val="single" w:sz="8" w:space="0" w:color="000000"/>
            </w:tcBorders>
            <w:shd w:val="clear" w:color="auto" w:fill="auto"/>
            <w:vAlign w:val="center"/>
          </w:tcPr>
          <w:p w14:paraId="1DB1693F"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9,05%</w:t>
            </w:r>
          </w:p>
        </w:tc>
      </w:tr>
      <w:tr w:rsidR="00733207" w14:paraId="40948F6E" w14:textId="77777777" w:rsidTr="000C3528">
        <w:trPr>
          <w:trHeight w:val="315"/>
          <w:jc w:val="center"/>
        </w:trPr>
        <w:tc>
          <w:tcPr>
            <w:tcW w:w="1665" w:type="dxa"/>
            <w:tcBorders>
              <w:top w:val="nil"/>
              <w:left w:val="single" w:sz="8" w:space="0" w:color="000000"/>
              <w:bottom w:val="single" w:sz="8" w:space="0" w:color="000000"/>
              <w:right w:val="single" w:sz="8" w:space="0" w:color="000000"/>
            </w:tcBorders>
            <w:shd w:val="clear" w:color="auto" w:fill="auto"/>
            <w:vAlign w:val="center"/>
          </w:tcPr>
          <w:p w14:paraId="62059023"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Société</w:t>
            </w:r>
          </w:p>
        </w:tc>
        <w:tc>
          <w:tcPr>
            <w:tcW w:w="1156" w:type="dxa"/>
            <w:tcBorders>
              <w:top w:val="nil"/>
              <w:left w:val="nil"/>
              <w:bottom w:val="single" w:sz="8" w:space="0" w:color="000000"/>
              <w:right w:val="single" w:sz="8" w:space="0" w:color="000000"/>
            </w:tcBorders>
            <w:shd w:val="clear" w:color="auto" w:fill="auto"/>
            <w:vAlign w:val="center"/>
          </w:tcPr>
          <w:p w14:paraId="0A7789FA"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12:45</w:t>
            </w:r>
          </w:p>
        </w:tc>
        <w:tc>
          <w:tcPr>
            <w:tcW w:w="1158" w:type="dxa"/>
            <w:tcBorders>
              <w:top w:val="nil"/>
              <w:left w:val="nil"/>
              <w:bottom w:val="single" w:sz="8" w:space="0" w:color="000000"/>
              <w:right w:val="single" w:sz="8" w:space="0" w:color="000000"/>
            </w:tcBorders>
            <w:shd w:val="clear" w:color="auto" w:fill="auto"/>
            <w:vAlign w:val="center"/>
          </w:tcPr>
          <w:p w14:paraId="26F4E795"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16,50%</w:t>
            </w:r>
          </w:p>
        </w:tc>
        <w:tc>
          <w:tcPr>
            <w:tcW w:w="1158" w:type="dxa"/>
            <w:tcBorders>
              <w:top w:val="nil"/>
              <w:left w:val="nil"/>
              <w:bottom w:val="single" w:sz="8" w:space="0" w:color="000000"/>
              <w:right w:val="single" w:sz="8" w:space="0" w:color="000000"/>
            </w:tcBorders>
            <w:shd w:val="clear" w:color="auto" w:fill="auto"/>
            <w:vAlign w:val="center"/>
          </w:tcPr>
          <w:p w14:paraId="1C64F59B"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52:23</w:t>
            </w:r>
          </w:p>
        </w:tc>
        <w:tc>
          <w:tcPr>
            <w:tcW w:w="1232" w:type="dxa"/>
            <w:tcBorders>
              <w:top w:val="nil"/>
              <w:left w:val="nil"/>
              <w:bottom w:val="single" w:sz="8" w:space="0" w:color="000000"/>
              <w:right w:val="single" w:sz="8" w:space="0" w:color="000000"/>
            </w:tcBorders>
            <w:shd w:val="clear" w:color="auto" w:fill="auto"/>
            <w:vAlign w:val="center"/>
          </w:tcPr>
          <w:p w14:paraId="682EF0CE"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23,57%</w:t>
            </w:r>
          </w:p>
        </w:tc>
        <w:tc>
          <w:tcPr>
            <w:tcW w:w="1083" w:type="dxa"/>
            <w:tcBorders>
              <w:top w:val="nil"/>
              <w:left w:val="nil"/>
              <w:bottom w:val="single" w:sz="8" w:space="0" w:color="000000"/>
              <w:right w:val="single" w:sz="8" w:space="0" w:color="000000"/>
            </w:tcBorders>
            <w:shd w:val="clear" w:color="auto" w:fill="auto"/>
            <w:vAlign w:val="center"/>
          </w:tcPr>
          <w:p w14:paraId="6BD90332"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58:44</w:t>
            </w:r>
          </w:p>
        </w:tc>
        <w:tc>
          <w:tcPr>
            <w:tcW w:w="1158" w:type="dxa"/>
            <w:tcBorders>
              <w:top w:val="nil"/>
              <w:left w:val="nil"/>
              <w:bottom w:val="single" w:sz="8" w:space="0" w:color="000000"/>
              <w:right w:val="single" w:sz="8" w:space="0" w:color="000000"/>
            </w:tcBorders>
            <w:shd w:val="clear" w:color="auto" w:fill="auto"/>
            <w:vAlign w:val="center"/>
          </w:tcPr>
          <w:p w14:paraId="7F5C98BC"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24,63%</w:t>
            </w:r>
          </w:p>
        </w:tc>
        <w:tc>
          <w:tcPr>
            <w:tcW w:w="1158" w:type="dxa"/>
            <w:tcBorders>
              <w:top w:val="nil"/>
              <w:left w:val="nil"/>
              <w:bottom w:val="single" w:sz="8" w:space="0" w:color="000000"/>
              <w:right w:val="single" w:sz="8" w:space="0" w:color="auto"/>
            </w:tcBorders>
            <w:shd w:val="clear" w:color="auto" w:fill="auto"/>
            <w:vAlign w:val="center"/>
          </w:tcPr>
          <w:p w14:paraId="1E5C6301"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27:36</w:t>
            </w:r>
          </w:p>
        </w:tc>
        <w:tc>
          <w:tcPr>
            <w:tcW w:w="1154" w:type="dxa"/>
            <w:tcBorders>
              <w:top w:val="nil"/>
              <w:left w:val="nil"/>
              <w:bottom w:val="single" w:sz="8" w:space="0" w:color="000000"/>
              <w:right w:val="single" w:sz="8" w:space="0" w:color="000000"/>
            </w:tcBorders>
            <w:shd w:val="clear" w:color="auto" w:fill="auto"/>
            <w:vAlign w:val="center"/>
          </w:tcPr>
          <w:p w14:paraId="594ED6D5"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27,25%</w:t>
            </w:r>
          </w:p>
        </w:tc>
      </w:tr>
      <w:tr w:rsidR="00733207" w14:paraId="10D955DD" w14:textId="77777777" w:rsidTr="000C3528">
        <w:trPr>
          <w:trHeight w:val="315"/>
          <w:jc w:val="center"/>
        </w:trPr>
        <w:tc>
          <w:tcPr>
            <w:tcW w:w="1665" w:type="dxa"/>
            <w:tcBorders>
              <w:top w:val="nil"/>
              <w:left w:val="single" w:sz="8" w:space="0" w:color="000000"/>
              <w:bottom w:val="single" w:sz="8" w:space="0" w:color="auto"/>
              <w:right w:val="single" w:sz="8" w:space="0" w:color="000000"/>
            </w:tcBorders>
            <w:shd w:val="clear" w:color="auto" w:fill="auto"/>
            <w:vAlign w:val="center"/>
          </w:tcPr>
          <w:p w14:paraId="1E4F57F0"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Economie</w:t>
            </w:r>
          </w:p>
        </w:tc>
        <w:tc>
          <w:tcPr>
            <w:tcW w:w="1156" w:type="dxa"/>
            <w:tcBorders>
              <w:top w:val="nil"/>
              <w:left w:val="nil"/>
              <w:bottom w:val="single" w:sz="8" w:space="0" w:color="auto"/>
              <w:right w:val="single" w:sz="8" w:space="0" w:color="000000"/>
            </w:tcBorders>
            <w:shd w:val="clear" w:color="auto" w:fill="auto"/>
            <w:vAlign w:val="center"/>
          </w:tcPr>
          <w:p w14:paraId="64ED5805"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29:17</w:t>
            </w:r>
          </w:p>
        </w:tc>
        <w:tc>
          <w:tcPr>
            <w:tcW w:w="1158" w:type="dxa"/>
            <w:tcBorders>
              <w:top w:val="nil"/>
              <w:left w:val="nil"/>
              <w:bottom w:val="single" w:sz="8" w:space="0" w:color="000000"/>
              <w:right w:val="single" w:sz="8" w:space="0" w:color="000000"/>
            </w:tcBorders>
            <w:shd w:val="clear" w:color="auto" w:fill="auto"/>
            <w:vAlign w:val="center"/>
          </w:tcPr>
          <w:p w14:paraId="00569CC0"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20,25%</w:t>
            </w:r>
          </w:p>
        </w:tc>
        <w:tc>
          <w:tcPr>
            <w:tcW w:w="1158" w:type="dxa"/>
            <w:tcBorders>
              <w:top w:val="nil"/>
              <w:left w:val="nil"/>
              <w:bottom w:val="single" w:sz="8" w:space="0" w:color="auto"/>
              <w:right w:val="single" w:sz="8" w:space="0" w:color="000000"/>
            </w:tcBorders>
            <w:shd w:val="clear" w:color="auto" w:fill="auto"/>
            <w:vAlign w:val="center"/>
          </w:tcPr>
          <w:p w14:paraId="15C81891"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19:38</w:t>
            </w:r>
          </w:p>
        </w:tc>
        <w:tc>
          <w:tcPr>
            <w:tcW w:w="1232" w:type="dxa"/>
            <w:tcBorders>
              <w:top w:val="nil"/>
              <w:left w:val="nil"/>
              <w:bottom w:val="single" w:sz="8" w:space="0" w:color="000000"/>
              <w:right w:val="single" w:sz="8" w:space="0" w:color="000000"/>
            </w:tcBorders>
            <w:shd w:val="clear" w:color="auto" w:fill="auto"/>
            <w:vAlign w:val="center"/>
          </w:tcPr>
          <w:p w14:paraId="3863299A"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8,83%</w:t>
            </w:r>
          </w:p>
        </w:tc>
        <w:tc>
          <w:tcPr>
            <w:tcW w:w="1083" w:type="dxa"/>
            <w:tcBorders>
              <w:top w:val="nil"/>
              <w:left w:val="nil"/>
              <w:bottom w:val="single" w:sz="8" w:space="0" w:color="auto"/>
              <w:right w:val="single" w:sz="8" w:space="0" w:color="000000"/>
            </w:tcBorders>
            <w:shd w:val="clear" w:color="auto" w:fill="auto"/>
            <w:vAlign w:val="center"/>
          </w:tcPr>
          <w:p w14:paraId="4F3FC042"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18:12</w:t>
            </w:r>
          </w:p>
        </w:tc>
        <w:tc>
          <w:tcPr>
            <w:tcW w:w="1158" w:type="dxa"/>
            <w:tcBorders>
              <w:top w:val="nil"/>
              <w:left w:val="nil"/>
              <w:bottom w:val="single" w:sz="8" w:space="0" w:color="000000"/>
              <w:right w:val="single" w:sz="8" w:space="0" w:color="000000"/>
            </w:tcBorders>
            <w:shd w:val="clear" w:color="auto" w:fill="auto"/>
            <w:vAlign w:val="center"/>
          </w:tcPr>
          <w:p w14:paraId="5BBF82AF"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7,63%</w:t>
            </w:r>
          </w:p>
        </w:tc>
        <w:tc>
          <w:tcPr>
            <w:tcW w:w="1158" w:type="dxa"/>
            <w:tcBorders>
              <w:top w:val="nil"/>
              <w:left w:val="nil"/>
              <w:bottom w:val="single" w:sz="8" w:space="0" w:color="auto"/>
              <w:right w:val="single" w:sz="8" w:space="0" w:color="auto"/>
            </w:tcBorders>
            <w:shd w:val="clear" w:color="auto" w:fill="auto"/>
            <w:vAlign w:val="center"/>
          </w:tcPr>
          <w:p w14:paraId="5D056431"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08:24</w:t>
            </w:r>
          </w:p>
        </w:tc>
        <w:tc>
          <w:tcPr>
            <w:tcW w:w="1154" w:type="dxa"/>
            <w:tcBorders>
              <w:top w:val="nil"/>
              <w:left w:val="nil"/>
              <w:bottom w:val="single" w:sz="8" w:space="0" w:color="000000"/>
              <w:right w:val="single" w:sz="8" w:space="0" w:color="000000"/>
            </w:tcBorders>
            <w:shd w:val="clear" w:color="auto" w:fill="auto"/>
            <w:vAlign w:val="center"/>
          </w:tcPr>
          <w:p w14:paraId="32E185DE"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8,29%</w:t>
            </w:r>
          </w:p>
        </w:tc>
      </w:tr>
      <w:tr w:rsidR="00733207" w14:paraId="245470EE" w14:textId="77777777" w:rsidTr="000C3528">
        <w:trPr>
          <w:trHeight w:val="315"/>
          <w:jc w:val="center"/>
        </w:trPr>
        <w:tc>
          <w:tcPr>
            <w:tcW w:w="1665" w:type="dxa"/>
            <w:tcBorders>
              <w:top w:val="nil"/>
              <w:left w:val="single" w:sz="8" w:space="0" w:color="000000"/>
              <w:bottom w:val="single" w:sz="8" w:space="0" w:color="000000"/>
              <w:right w:val="single" w:sz="8" w:space="0" w:color="000000"/>
            </w:tcBorders>
            <w:shd w:val="clear" w:color="auto" w:fill="auto"/>
            <w:vAlign w:val="center"/>
          </w:tcPr>
          <w:p w14:paraId="7CBFCC4F"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Culture</w:t>
            </w:r>
          </w:p>
        </w:tc>
        <w:tc>
          <w:tcPr>
            <w:tcW w:w="1156" w:type="dxa"/>
            <w:tcBorders>
              <w:top w:val="nil"/>
              <w:left w:val="nil"/>
              <w:bottom w:val="single" w:sz="8" w:space="0" w:color="auto"/>
              <w:right w:val="single" w:sz="8" w:space="0" w:color="000000"/>
            </w:tcBorders>
            <w:shd w:val="clear" w:color="auto" w:fill="auto"/>
            <w:vAlign w:val="center"/>
          </w:tcPr>
          <w:p w14:paraId="650DE869"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42:24</w:t>
            </w:r>
          </w:p>
        </w:tc>
        <w:tc>
          <w:tcPr>
            <w:tcW w:w="1158" w:type="dxa"/>
            <w:tcBorders>
              <w:top w:val="nil"/>
              <w:left w:val="nil"/>
              <w:bottom w:val="single" w:sz="8" w:space="0" w:color="000000"/>
              <w:right w:val="single" w:sz="8" w:space="0" w:color="000000"/>
            </w:tcBorders>
            <w:shd w:val="clear" w:color="auto" w:fill="auto"/>
            <w:vAlign w:val="center"/>
          </w:tcPr>
          <w:p w14:paraId="6199EBC5"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9,62%</w:t>
            </w:r>
          </w:p>
        </w:tc>
        <w:tc>
          <w:tcPr>
            <w:tcW w:w="1158" w:type="dxa"/>
            <w:tcBorders>
              <w:top w:val="nil"/>
              <w:left w:val="nil"/>
              <w:bottom w:val="single" w:sz="8" w:space="0" w:color="auto"/>
              <w:right w:val="single" w:sz="8" w:space="0" w:color="000000"/>
            </w:tcBorders>
            <w:shd w:val="clear" w:color="auto" w:fill="auto"/>
            <w:vAlign w:val="center"/>
          </w:tcPr>
          <w:p w14:paraId="68F6C66C"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00:12</w:t>
            </w:r>
          </w:p>
        </w:tc>
        <w:tc>
          <w:tcPr>
            <w:tcW w:w="1232" w:type="dxa"/>
            <w:tcBorders>
              <w:top w:val="nil"/>
              <w:left w:val="nil"/>
              <w:bottom w:val="single" w:sz="8" w:space="0" w:color="000000"/>
              <w:right w:val="single" w:sz="8" w:space="0" w:color="000000"/>
            </w:tcBorders>
            <w:shd w:val="clear" w:color="auto" w:fill="auto"/>
            <w:vAlign w:val="center"/>
          </w:tcPr>
          <w:p w14:paraId="5E26FF9D"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27,08%</w:t>
            </w:r>
          </w:p>
        </w:tc>
        <w:tc>
          <w:tcPr>
            <w:tcW w:w="1083" w:type="dxa"/>
            <w:tcBorders>
              <w:top w:val="nil"/>
              <w:left w:val="nil"/>
              <w:bottom w:val="single" w:sz="8" w:space="0" w:color="auto"/>
              <w:right w:val="single" w:sz="8" w:space="0" w:color="000000"/>
            </w:tcBorders>
            <w:shd w:val="clear" w:color="auto" w:fill="auto"/>
            <w:vAlign w:val="center"/>
          </w:tcPr>
          <w:p w14:paraId="192916D5"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37:40</w:t>
            </w:r>
          </w:p>
        </w:tc>
        <w:tc>
          <w:tcPr>
            <w:tcW w:w="1158" w:type="dxa"/>
            <w:tcBorders>
              <w:top w:val="nil"/>
              <w:left w:val="nil"/>
              <w:bottom w:val="single" w:sz="8" w:space="0" w:color="000000"/>
              <w:right w:val="single" w:sz="8" w:space="0" w:color="000000"/>
            </w:tcBorders>
            <w:shd w:val="clear" w:color="auto" w:fill="auto"/>
            <w:vAlign w:val="center"/>
          </w:tcPr>
          <w:p w14:paraId="585DB954"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15,80%</w:t>
            </w:r>
          </w:p>
        </w:tc>
        <w:tc>
          <w:tcPr>
            <w:tcW w:w="1158" w:type="dxa"/>
            <w:tcBorders>
              <w:top w:val="nil"/>
              <w:left w:val="nil"/>
              <w:bottom w:val="single" w:sz="8" w:space="0" w:color="auto"/>
              <w:right w:val="single" w:sz="8" w:space="0" w:color="auto"/>
            </w:tcBorders>
            <w:shd w:val="clear" w:color="auto" w:fill="auto"/>
            <w:vAlign w:val="center"/>
          </w:tcPr>
          <w:p w14:paraId="1E9B9E17"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17:18</w:t>
            </w:r>
          </w:p>
        </w:tc>
        <w:tc>
          <w:tcPr>
            <w:tcW w:w="1154" w:type="dxa"/>
            <w:tcBorders>
              <w:top w:val="nil"/>
              <w:left w:val="nil"/>
              <w:bottom w:val="single" w:sz="8" w:space="0" w:color="000000"/>
              <w:right w:val="single" w:sz="8" w:space="0" w:color="000000"/>
            </w:tcBorders>
            <w:shd w:val="clear" w:color="auto" w:fill="auto"/>
            <w:vAlign w:val="center"/>
          </w:tcPr>
          <w:p w14:paraId="530C9246"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17,08%</w:t>
            </w:r>
          </w:p>
        </w:tc>
      </w:tr>
      <w:tr w:rsidR="00733207" w14:paraId="7077596B" w14:textId="77777777" w:rsidTr="000C3528">
        <w:trPr>
          <w:trHeight w:val="315"/>
          <w:jc w:val="center"/>
        </w:trPr>
        <w:tc>
          <w:tcPr>
            <w:tcW w:w="1665" w:type="dxa"/>
            <w:tcBorders>
              <w:top w:val="nil"/>
              <w:left w:val="single" w:sz="8" w:space="0" w:color="000000"/>
              <w:bottom w:val="single" w:sz="8" w:space="0" w:color="auto"/>
              <w:right w:val="single" w:sz="8" w:space="0" w:color="000000"/>
            </w:tcBorders>
            <w:shd w:val="clear" w:color="auto" w:fill="auto"/>
            <w:vAlign w:val="center"/>
          </w:tcPr>
          <w:p w14:paraId="567D2AB5"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Santé</w:t>
            </w:r>
          </w:p>
        </w:tc>
        <w:tc>
          <w:tcPr>
            <w:tcW w:w="1156" w:type="dxa"/>
            <w:tcBorders>
              <w:top w:val="nil"/>
              <w:left w:val="nil"/>
              <w:bottom w:val="single" w:sz="8" w:space="0" w:color="auto"/>
              <w:right w:val="single" w:sz="8" w:space="0" w:color="000000"/>
            </w:tcBorders>
            <w:shd w:val="clear" w:color="auto" w:fill="auto"/>
            <w:vAlign w:val="center"/>
          </w:tcPr>
          <w:p w14:paraId="1ADC5033"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16:49</w:t>
            </w:r>
          </w:p>
        </w:tc>
        <w:tc>
          <w:tcPr>
            <w:tcW w:w="1158" w:type="dxa"/>
            <w:tcBorders>
              <w:top w:val="nil"/>
              <w:left w:val="nil"/>
              <w:bottom w:val="single" w:sz="8" w:space="0" w:color="000000"/>
              <w:right w:val="single" w:sz="8" w:space="0" w:color="000000"/>
            </w:tcBorders>
            <w:shd w:val="clear" w:color="auto" w:fill="auto"/>
            <w:vAlign w:val="center"/>
          </w:tcPr>
          <w:p w14:paraId="10FD8454"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17,42%</w:t>
            </w:r>
          </w:p>
        </w:tc>
        <w:tc>
          <w:tcPr>
            <w:tcW w:w="1158" w:type="dxa"/>
            <w:tcBorders>
              <w:top w:val="nil"/>
              <w:left w:val="nil"/>
              <w:bottom w:val="single" w:sz="8" w:space="0" w:color="auto"/>
              <w:right w:val="single" w:sz="8" w:space="0" w:color="000000"/>
            </w:tcBorders>
            <w:shd w:val="clear" w:color="auto" w:fill="auto"/>
            <w:vAlign w:val="center"/>
          </w:tcPr>
          <w:p w14:paraId="68CA4F26"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232" w:type="dxa"/>
            <w:tcBorders>
              <w:top w:val="nil"/>
              <w:left w:val="nil"/>
              <w:bottom w:val="single" w:sz="8" w:space="0" w:color="000000"/>
              <w:right w:val="single" w:sz="8" w:space="0" w:color="000000"/>
            </w:tcBorders>
            <w:shd w:val="clear" w:color="auto" w:fill="auto"/>
            <w:vAlign w:val="center"/>
          </w:tcPr>
          <w:p w14:paraId="344B4D55"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0,00%</w:t>
            </w:r>
          </w:p>
        </w:tc>
        <w:tc>
          <w:tcPr>
            <w:tcW w:w="1083" w:type="dxa"/>
            <w:tcBorders>
              <w:top w:val="nil"/>
              <w:left w:val="nil"/>
              <w:bottom w:val="single" w:sz="8" w:space="0" w:color="auto"/>
              <w:right w:val="single" w:sz="8" w:space="0" w:color="000000"/>
            </w:tcBorders>
            <w:shd w:val="clear" w:color="auto" w:fill="auto"/>
            <w:vAlign w:val="center"/>
          </w:tcPr>
          <w:p w14:paraId="47E27844"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16:18</w:t>
            </w:r>
          </w:p>
        </w:tc>
        <w:tc>
          <w:tcPr>
            <w:tcW w:w="1158" w:type="dxa"/>
            <w:tcBorders>
              <w:top w:val="nil"/>
              <w:left w:val="nil"/>
              <w:bottom w:val="single" w:sz="8" w:space="0" w:color="000000"/>
              <w:right w:val="single" w:sz="8" w:space="0" w:color="000000"/>
            </w:tcBorders>
            <w:shd w:val="clear" w:color="auto" w:fill="auto"/>
            <w:vAlign w:val="center"/>
          </w:tcPr>
          <w:p w14:paraId="562C9FFE"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6,84%</w:t>
            </w:r>
          </w:p>
        </w:tc>
        <w:tc>
          <w:tcPr>
            <w:tcW w:w="1158" w:type="dxa"/>
            <w:tcBorders>
              <w:top w:val="nil"/>
              <w:left w:val="nil"/>
              <w:bottom w:val="single" w:sz="8" w:space="0" w:color="auto"/>
              <w:right w:val="single" w:sz="8" w:space="0" w:color="auto"/>
            </w:tcBorders>
            <w:shd w:val="clear" w:color="auto" w:fill="auto"/>
            <w:vAlign w:val="center"/>
          </w:tcPr>
          <w:p w14:paraId="0902C492"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bCs/>
                <w:color w:val="000000"/>
                <w:sz w:val="24"/>
                <w:szCs w:val="24"/>
              </w:rPr>
              <w:t>00:</w:t>
            </w:r>
            <w:proofErr w:type="gramEnd"/>
            <w:r>
              <w:rPr>
                <w:rFonts w:ascii="Rockwell" w:eastAsia="Times New Roman" w:hAnsi="Rockwell" w:cs="Times New Roman"/>
                <w:bCs/>
                <w:color w:val="000000"/>
                <w:sz w:val="24"/>
                <w:szCs w:val="24"/>
              </w:rPr>
              <w:t>04:20</w:t>
            </w:r>
          </w:p>
        </w:tc>
        <w:tc>
          <w:tcPr>
            <w:tcW w:w="1154" w:type="dxa"/>
            <w:tcBorders>
              <w:top w:val="nil"/>
              <w:left w:val="nil"/>
              <w:bottom w:val="single" w:sz="8" w:space="0" w:color="000000"/>
              <w:right w:val="single" w:sz="8" w:space="0" w:color="000000"/>
            </w:tcBorders>
            <w:shd w:val="clear" w:color="auto" w:fill="auto"/>
            <w:vAlign w:val="center"/>
          </w:tcPr>
          <w:p w14:paraId="4A3BBABA"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4,28%</w:t>
            </w:r>
          </w:p>
        </w:tc>
      </w:tr>
      <w:tr w:rsidR="00733207" w14:paraId="4A5CCDD9" w14:textId="77777777" w:rsidTr="000C3528">
        <w:trPr>
          <w:trHeight w:val="315"/>
          <w:jc w:val="center"/>
        </w:trPr>
        <w:tc>
          <w:tcPr>
            <w:tcW w:w="1665" w:type="dxa"/>
            <w:tcBorders>
              <w:top w:val="nil"/>
              <w:left w:val="single" w:sz="8" w:space="0" w:color="000000"/>
              <w:bottom w:val="single" w:sz="8" w:space="0" w:color="auto"/>
              <w:right w:val="single" w:sz="8" w:space="0" w:color="000000"/>
            </w:tcBorders>
            <w:shd w:val="clear" w:color="auto" w:fill="auto"/>
            <w:vAlign w:val="center"/>
          </w:tcPr>
          <w:p w14:paraId="2DAE54A2"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Genre</w:t>
            </w:r>
          </w:p>
        </w:tc>
        <w:tc>
          <w:tcPr>
            <w:tcW w:w="1156" w:type="dxa"/>
            <w:tcBorders>
              <w:top w:val="nil"/>
              <w:left w:val="nil"/>
              <w:bottom w:val="single" w:sz="8" w:space="0" w:color="auto"/>
              <w:right w:val="single" w:sz="8" w:space="0" w:color="000000"/>
            </w:tcBorders>
            <w:shd w:val="clear" w:color="auto" w:fill="auto"/>
            <w:vAlign w:val="center"/>
          </w:tcPr>
          <w:p w14:paraId="13F1A0F2"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58" w:type="dxa"/>
            <w:tcBorders>
              <w:top w:val="nil"/>
              <w:left w:val="nil"/>
              <w:bottom w:val="single" w:sz="8" w:space="0" w:color="000000"/>
              <w:right w:val="single" w:sz="8" w:space="0" w:color="000000"/>
            </w:tcBorders>
            <w:shd w:val="clear" w:color="auto" w:fill="auto"/>
            <w:vAlign w:val="center"/>
          </w:tcPr>
          <w:p w14:paraId="37B83271"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0,00%</w:t>
            </w:r>
          </w:p>
        </w:tc>
        <w:tc>
          <w:tcPr>
            <w:tcW w:w="1158" w:type="dxa"/>
            <w:tcBorders>
              <w:top w:val="nil"/>
              <w:left w:val="nil"/>
              <w:bottom w:val="single" w:sz="8" w:space="0" w:color="auto"/>
              <w:right w:val="single" w:sz="8" w:space="0" w:color="000000"/>
            </w:tcBorders>
            <w:shd w:val="clear" w:color="auto" w:fill="auto"/>
            <w:vAlign w:val="center"/>
          </w:tcPr>
          <w:p w14:paraId="3073DA51"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232" w:type="dxa"/>
            <w:tcBorders>
              <w:top w:val="nil"/>
              <w:left w:val="nil"/>
              <w:bottom w:val="single" w:sz="8" w:space="0" w:color="000000"/>
              <w:right w:val="single" w:sz="8" w:space="0" w:color="000000"/>
            </w:tcBorders>
            <w:shd w:val="clear" w:color="auto" w:fill="auto"/>
            <w:vAlign w:val="center"/>
          </w:tcPr>
          <w:p w14:paraId="678B10EB"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0,00%</w:t>
            </w:r>
          </w:p>
        </w:tc>
        <w:tc>
          <w:tcPr>
            <w:tcW w:w="1083" w:type="dxa"/>
            <w:tcBorders>
              <w:top w:val="nil"/>
              <w:left w:val="nil"/>
              <w:bottom w:val="single" w:sz="8" w:space="0" w:color="auto"/>
              <w:right w:val="single" w:sz="8" w:space="0" w:color="000000"/>
            </w:tcBorders>
            <w:shd w:val="clear" w:color="auto" w:fill="auto"/>
            <w:vAlign w:val="center"/>
          </w:tcPr>
          <w:p w14:paraId="5D14E9C0"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10:33</w:t>
            </w:r>
          </w:p>
        </w:tc>
        <w:tc>
          <w:tcPr>
            <w:tcW w:w="1158" w:type="dxa"/>
            <w:tcBorders>
              <w:top w:val="nil"/>
              <w:left w:val="nil"/>
              <w:bottom w:val="single" w:sz="8" w:space="0" w:color="000000"/>
              <w:right w:val="single" w:sz="8" w:space="0" w:color="000000"/>
            </w:tcBorders>
            <w:shd w:val="clear" w:color="auto" w:fill="auto"/>
            <w:vAlign w:val="center"/>
          </w:tcPr>
          <w:p w14:paraId="0658578D"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4,43%</w:t>
            </w:r>
          </w:p>
        </w:tc>
        <w:tc>
          <w:tcPr>
            <w:tcW w:w="1158" w:type="dxa"/>
            <w:tcBorders>
              <w:top w:val="nil"/>
              <w:left w:val="nil"/>
              <w:bottom w:val="single" w:sz="8" w:space="0" w:color="auto"/>
              <w:right w:val="single" w:sz="8" w:space="0" w:color="auto"/>
            </w:tcBorders>
            <w:shd w:val="clear" w:color="auto" w:fill="auto"/>
            <w:vAlign w:val="center"/>
          </w:tcPr>
          <w:p w14:paraId="062365D0"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bCs/>
                <w:color w:val="000000"/>
                <w:sz w:val="24"/>
                <w:szCs w:val="24"/>
              </w:rPr>
              <w:t>00:</w:t>
            </w:r>
            <w:proofErr w:type="gramEnd"/>
            <w:r>
              <w:rPr>
                <w:rFonts w:ascii="Rockwell" w:eastAsia="Times New Roman" w:hAnsi="Rockwell" w:cs="Times New Roman"/>
                <w:bCs/>
                <w:color w:val="000000"/>
                <w:sz w:val="24"/>
                <w:szCs w:val="24"/>
              </w:rPr>
              <w:t>00:00</w:t>
            </w:r>
          </w:p>
        </w:tc>
        <w:tc>
          <w:tcPr>
            <w:tcW w:w="1154" w:type="dxa"/>
            <w:tcBorders>
              <w:top w:val="nil"/>
              <w:left w:val="nil"/>
              <w:bottom w:val="single" w:sz="8" w:space="0" w:color="000000"/>
              <w:right w:val="single" w:sz="8" w:space="0" w:color="000000"/>
            </w:tcBorders>
            <w:shd w:val="clear" w:color="auto" w:fill="auto"/>
            <w:vAlign w:val="center"/>
          </w:tcPr>
          <w:p w14:paraId="170588C6"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0,00%</w:t>
            </w:r>
          </w:p>
        </w:tc>
      </w:tr>
      <w:tr w:rsidR="00733207" w14:paraId="56F8B305" w14:textId="77777777" w:rsidTr="000C3528">
        <w:trPr>
          <w:trHeight w:val="814"/>
          <w:jc w:val="center"/>
        </w:trPr>
        <w:tc>
          <w:tcPr>
            <w:tcW w:w="1665" w:type="dxa"/>
            <w:tcBorders>
              <w:top w:val="nil"/>
              <w:left w:val="single" w:sz="8" w:space="0" w:color="000000"/>
              <w:bottom w:val="single" w:sz="8" w:space="0" w:color="000000"/>
              <w:right w:val="single" w:sz="8" w:space="0" w:color="000000"/>
            </w:tcBorders>
            <w:shd w:val="clear" w:color="auto" w:fill="auto"/>
            <w:vAlign w:val="center"/>
          </w:tcPr>
          <w:p w14:paraId="6551E754"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TOTAL</w:t>
            </w:r>
          </w:p>
        </w:tc>
        <w:tc>
          <w:tcPr>
            <w:tcW w:w="1156" w:type="dxa"/>
            <w:tcBorders>
              <w:top w:val="nil"/>
              <w:left w:val="nil"/>
              <w:bottom w:val="single" w:sz="8" w:space="0" w:color="000000"/>
              <w:right w:val="single" w:sz="8" w:space="0" w:color="000000"/>
            </w:tcBorders>
            <w:shd w:val="clear" w:color="auto" w:fill="auto"/>
            <w:vAlign w:val="center"/>
          </w:tcPr>
          <w:p w14:paraId="12247821"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7:</w:t>
            </w:r>
            <w:proofErr w:type="gramEnd"/>
            <w:r>
              <w:rPr>
                <w:rFonts w:ascii="Rockwell" w:eastAsia="Times New Roman" w:hAnsi="Rockwell" w:cs="Times New Roman"/>
                <w:b/>
                <w:bCs/>
                <w:color w:val="000000"/>
                <w:sz w:val="24"/>
                <w:szCs w:val="24"/>
              </w:rPr>
              <w:t>20:53</w:t>
            </w:r>
          </w:p>
        </w:tc>
        <w:tc>
          <w:tcPr>
            <w:tcW w:w="1158" w:type="dxa"/>
            <w:tcBorders>
              <w:top w:val="nil"/>
              <w:left w:val="nil"/>
              <w:bottom w:val="single" w:sz="8" w:space="0" w:color="000000"/>
              <w:right w:val="single" w:sz="8" w:space="0" w:color="000000"/>
            </w:tcBorders>
            <w:shd w:val="clear" w:color="auto" w:fill="auto"/>
            <w:vAlign w:val="center"/>
          </w:tcPr>
          <w:p w14:paraId="1C215212"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158" w:type="dxa"/>
            <w:tcBorders>
              <w:top w:val="nil"/>
              <w:left w:val="nil"/>
              <w:bottom w:val="single" w:sz="8" w:space="0" w:color="000000"/>
              <w:right w:val="single" w:sz="8" w:space="0" w:color="000000"/>
            </w:tcBorders>
            <w:shd w:val="clear" w:color="auto" w:fill="auto"/>
            <w:vAlign w:val="center"/>
          </w:tcPr>
          <w:p w14:paraId="45564C56"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3:</w:t>
            </w:r>
            <w:proofErr w:type="gramEnd"/>
            <w:r>
              <w:rPr>
                <w:rFonts w:ascii="Rockwell" w:eastAsia="Times New Roman" w:hAnsi="Rockwell" w:cs="Times New Roman"/>
                <w:b/>
                <w:bCs/>
                <w:color w:val="000000"/>
                <w:sz w:val="24"/>
                <w:szCs w:val="24"/>
              </w:rPr>
              <w:t>42:17</w:t>
            </w:r>
          </w:p>
        </w:tc>
        <w:tc>
          <w:tcPr>
            <w:tcW w:w="1232" w:type="dxa"/>
            <w:tcBorders>
              <w:top w:val="nil"/>
              <w:left w:val="nil"/>
              <w:bottom w:val="single" w:sz="8" w:space="0" w:color="000000"/>
              <w:right w:val="single" w:sz="8" w:space="0" w:color="000000"/>
            </w:tcBorders>
            <w:shd w:val="clear" w:color="auto" w:fill="auto"/>
            <w:vAlign w:val="center"/>
          </w:tcPr>
          <w:p w14:paraId="1ABB6A3E"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083" w:type="dxa"/>
            <w:tcBorders>
              <w:top w:val="nil"/>
              <w:left w:val="nil"/>
              <w:bottom w:val="single" w:sz="8" w:space="0" w:color="000000"/>
              <w:right w:val="single" w:sz="8" w:space="0" w:color="000000"/>
            </w:tcBorders>
            <w:shd w:val="clear" w:color="auto" w:fill="auto"/>
            <w:vAlign w:val="center"/>
          </w:tcPr>
          <w:p w14:paraId="22E78EB0"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3:</w:t>
            </w:r>
            <w:proofErr w:type="gramEnd"/>
            <w:r>
              <w:rPr>
                <w:rFonts w:ascii="Rockwell" w:eastAsia="Times New Roman" w:hAnsi="Rockwell" w:cs="Times New Roman"/>
                <w:b/>
                <w:bCs/>
                <w:color w:val="000000"/>
                <w:sz w:val="24"/>
                <w:szCs w:val="24"/>
              </w:rPr>
              <w:t>58:25</w:t>
            </w:r>
          </w:p>
        </w:tc>
        <w:tc>
          <w:tcPr>
            <w:tcW w:w="1158" w:type="dxa"/>
            <w:tcBorders>
              <w:top w:val="nil"/>
              <w:left w:val="nil"/>
              <w:bottom w:val="single" w:sz="8" w:space="0" w:color="000000"/>
              <w:right w:val="single" w:sz="8" w:space="0" w:color="000000"/>
            </w:tcBorders>
            <w:shd w:val="clear" w:color="auto" w:fill="auto"/>
            <w:vAlign w:val="center"/>
          </w:tcPr>
          <w:p w14:paraId="2859B853"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158" w:type="dxa"/>
            <w:tcBorders>
              <w:top w:val="nil"/>
              <w:left w:val="nil"/>
              <w:bottom w:val="single" w:sz="8" w:space="0" w:color="000000"/>
              <w:right w:val="single" w:sz="8" w:space="0" w:color="auto"/>
            </w:tcBorders>
            <w:shd w:val="clear" w:color="auto" w:fill="auto"/>
            <w:vAlign w:val="center"/>
          </w:tcPr>
          <w:p w14:paraId="15011F72"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1:</w:t>
            </w:r>
            <w:proofErr w:type="gramEnd"/>
            <w:r>
              <w:rPr>
                <w:rFonts w:ascii="Rockwell" w:eastAsia="Times New Roman" w:hAnsi="Rockwell" w:cs="Times New Roman"/>
                <w:b/>
                <w:bCs/>
                <w:color w:val="000000"/>
                <w:sz w:val="24"/>
                <w:szCs w:val="24"/>
              </w:rPr>
              <w:t>41:17</w:t>
            </w:r>
          </w:p>
        </w:tc>
        <w:tc>
          <w:tcPr>
            <w:tcW w:w="1154" w:type="dxa"/>
            <w:tcBorders>
              <w:top w:val="nil"/>
              <w:left w:val="nil"/>
              <w:bottom w:val="single" w:sz="4" w:space="0" w:color="auto"/>
              <w:right w:val="single" w:sz="8" w:space="0" w:color="000000"/>
            </w:tcBorders>
            <w:shd w:val="clear" w:color="auto" w:fill="auto"/>
            <w:vAlign w:val="center"/>
          </w:tcPr>
          <w:p w14:paraId="67202357" w14:textId="77777777" w:rsidR="00733207" w:rsidRDefault="00912BAE">
            <w:pPr>
              <w:spacing w:before="60" w:after="6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100,00%</w:t>
            </w:r>
          </w:p>
        </w:tc>
      </w:tr>
      <w:tr w:rsidR="00172C79" w14:paraId="1F6E1256" w14:textId="77777777" w:rsidTr="007E5312">
        <w:trPr>
          <w:trHeight w:val="315"/>
          <w:jc w:val="center"/>
        </w:trPr>
        <w:tc>
          <w:tcPr>
            <w:tcW w:w="10922" w:type="dxa"/>
            <w:gridSpan w:val="9"/>
            <w:tcBorders>
              <w:top w:val="single" w:sz="8" w:space="0" w:color="000000"/>
              <w:left w:val="single" w:sz="8" w:space="0" w:color="000000"/>
              <w:bottom w:val="single" w:sz="8" w:space="0" w:color="000000"/>
              <w:right w:val="single" w:sz="4" w:space="0" w:color="auto"/>
            </w:tcBorders>
            <w:shd w:val="clear" w:color="auto" w:fill="auto"/>
            <w:vAlign w:val="center"/>
          </w:tcPr>
          <w:p w14:paraId="6851A684" w14:textId="31F69323" w:rsidR="00172C79" w:rsidRDefault="00172C79" w:rsidP="00EA3B51">
            <w:pPr>
              <w:spacing w:before="60" w:after="60" w:line="360" w:lineRule="auto"/>
              <w:jc w:val="center"/>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RTB2 radio Gaoua</w:t>
            </w:r>
          </w:p>
        </w:tc>
      </w:tr>
      <w:tr w:rsidR="00733207" w14:paraId="38F529F6" w14:textId="77777777" w:rsidTr="00172C79">
        <w:trPr>
          <w:trHeight w:val="315"/>
          <w:jc w:val="center"/>
        </w:trPr>
        <w:tc>
          <w:tcPr>
            <w:tcW w:w="2821" w:type="dxa"/>
            <w:gridSpan w:val="2"/>
            <w:tcBorders>
              <w:top w:val="single" w:sz="4" w:space="0" w:color="auto"/>
              <w:left w:val="single" w:sz="4" w:space="0" w:color="auto"/>
              <w:bottom w:val="single" w:sz="4" w:space="0" w:color="auto"/>
              <w:right w:val="single" w:sz="8" w:space="0" w:color="000000"/>
            </w:tcBorders>
            <w:shd w:val="clear" w:color="auto" w:fill="auto"/>
            <w:vAlign w:val="center"/>
          </w:tcPr>
          <w:p w14:paraId="5CC234CC" w14:textId="77777777" w:rsidR="00733207" w:rsidRDefault="00912BAE">
            <w:pPr>
              <w:spacing w:before="60" w:after="60" w:line="360" w:lineRule="auto"/>
              <w:ind w:firstLine="1343"/>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000000"/>
            </w:tcBorders>
            <w:shd w:val="clear" w:color="auto" w:fill="auto"/>
            <w:vAlign w:val="center"/>
          </w:tcPr>
          <w:p w14:paraId="217061DC"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000000"/>
            </w:tcBorders>
            <w:shd w:val="clear" w:color="auto" w:fill="auto"/>
            <w:vAlign w:val="center"/>
          </w:tcPr>
          <w:p w14:paraId="6F66F00A"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232" w:type="dxa"/>
            <w:tcBorders>
              <w:top w:val="nil"/>
              <w:left w:val="nil"/>
              <w:bottom w:val="single" w:sz="8" w:space="0" w:color="000000"/>
              <w:right w:val="single" w:sz="8" w:space="0" w:color="000000"/>
            </w:tcBorders>
            <w:shd w:val="clear" w:color="auto" w:fill="auto"/>
            <w:vAlign w:val="center"/>
          </w:tcPr>
          <w:p w14:paraId="5B139589"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083" w:type="dxa"/>
            <w:tcBorders>
              <w:top w:val="nil"/>
              <w:left w:val="nil"/>
              <w:bottom w:val="single" w:sz="8" w:space="0" w:color="000000"/>
              <w:right w:val="single" w:sz="8" w:space="0" w:color="000000"/>
            </w:tcBorders>
            <w:shd w:val="clear" w:color="auto" w:fill="auto"/>
            <w:vAlign w:val="center"/>
          </w:tcPr>
          <w:p w14:paraId="195C83CF"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8" w:space="0" w:color="auto"/>
            </w:tcBorders>
            <w:shd w:val="clear" w:color="auto" w:fill="auto"/>
            <w:vAlign w:val="center"/>
          </w:tcPr>
          <w:p w14:paraId="0D396A47"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58" w:type="dxa"/>
            <w:tcBorders>
              <w:top w:val="nil"/>
              <w:left w:val="nil"/>
              <w:bottom w:val="single" w:sz="8" w:space="0" w:color="000000"/>
              <w:right w:val="single" w:sz="4" w:space="0" w:color="auto"/>
            </w:tcBorders>
            <w:shd w:val="clear" w:color="auto" w:fill="auto"/>
            <w:vAlign w:val="center"/>
          </w:tcPr>
          <w:p w14:paraId="6EAEE39B"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EABE4"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r>
      <w:tr w:rsidR="00733207" w14:paraId="79D1B464"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30579DEE"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Politique</w:t>
            </w:r>
          </w:p>
        </w:tc>
        <w:tc>
          <w:tcPr>
            <w:tcW w:w="1156" w:type="dxa"/>
            <w:tcBorders>
              <w:top w:val="nil"/>
              <w:left w:val="single" w:sz="4" w:space="0" w:color="auto"/>
              <w:bottom w:val="single" w:sz="4" w:space="0" w:color="auto"/>
              <w:right w:val="single" w:sz="8" w:space="0" w:color="000000"/>
            </w:tcBorders>
            <w:shd w:val="clear" w:color="auto" w:fill="auto"/>
            <w:vAlign w:val="center"/>
          </w:tcPr>
          <w:p w14:paraId="2C528BF4"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22:17</w:t>
            </w:r>
          </w:p>
        </w:tc>
        <w:tc>
          <w:tcPr>
            <w:tcW w:w="1158" w:type="dxa"/>
            <w:tcBorders>
              <w:top w:val="nil"/>
              <w:left w:val="nil"/>
              <w:bottom w:val="single" w:sz="4" w:space="0" w:color="auto"/>
              <w:right w:val="single" w:sz="8" w:space="0" w:color="000000"/>
            </w:tcBorders>
            <w:shd w:val="clear" w:color="auto" w:fill="auto"/>
            <w:vAlign w:val="center"/>
          </w:tcPr>
          <w:p w14:paraId="75CFD6F8"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23,23%</w:t>
            </w:r>
          </w:p>
        </w:tc>
        <w:tc>
          <w:tcPr>
            <w:tcW w:w="1158" w:type="dxa"/>
            <w:tcBorders>
              <w:top w:val="nil"/>
              <w:left w:val="nil"/>
              <w:bottom w:val="single" w:sz="4" w:space="0" w:color="auto"/>
              <w:right w:val="single" w:sz="8" w:space="0" w:color="000000"/>
            </w:tcBorders>
            <w:shd w:val="clear" w:color="auto" w:fill="auto"/>
            <w:vAlign w:val="center"/>
          </w:tcPr>
          <w:p w14:paraId="4176E54D"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48:54</w:t>
            </w:r>
          </w:p>
        </w:tc>
        <w:tc>
          <w:tcPr>
            <w:tcW w:w="1232" w:type="dxa"/>
            <w:tcBorders>
              <w:top w:val="nil"/>
              <w:left w:val="nil"/>
              <w:bottom w:val="single" w:sz="4" w:space="0" w:color="auto"/>
              <w:right w:val="single" w:sz="8" w:space="0" w:color="000000"/>
            </w:tcBorders>
            <w:shd w:val="clear" w:color="auto" w:fill="auto"/>
            <w:vAlign w:val="center"/>
          </w:tcPr>
          <w:p w14:paraId="09478288"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23,55%</w:t>
            </w:r>
          </w:p>
        </w:tc>
        <w:tc>
          <w:tcPr>
            <w:tcW w:w="1083" w:type="dxa"/>
            <w:tcBorders>
              <w:top w:val="nil"/>
              <w:left w:val="nil"/>
              <w:bottom w:val="single" w:sz="4" w:space="0" w:color="auto"/>
              <w:right w:val="single" w:sz="8" w:space="0" w:color="000000"/>
            </w:tcBorders>
            <w:shd w:val="clear" w:color="auto" w:fill="auto"/>
            <w:vAlign w:val="center"/>
          </w:tcPr>
          <w:p w14:paraId="176760CB"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03:</w:t>
            </w:r>
            <w:proofErr w:type="gramEnd"/>
            <w:r>
              <w:rPr>
                <w:rFonts w:ascii="Rockwell" w:eastAsia="Times New Roman" w:hAnsi="Rockwell" w:cs="Times New Roman"/>
                <w:color w:val="000000"/>
                <w:sz w:val="24"/>
                <w:szCs w:val="24"/>
              </w:rPr>
              <w:t>24:55</w:t>
            </w:r>
          </w:p>
        </w:tc>
        <w:tc>
          <w:tcPr>
            <w:tcW w:w="1158" w:type="dxa"/>
            <w:tcBorders>
              <w:top w:val="nil"/>
              <w:left w:val="nil"/>
              <w:bottom w:val="single" w:sz="4" w:space="0" w:color="auto"/>
              <w:right w:val="single" w:sz="8" w:space="0" w:color="auto"/>
            </w:tcBorders>
            <w:shd w:val="clear" w:color="auto" w:fill="auto"/>
            <w:vAlign w:val="center"/>
          </w:tcPr>
          <w:p w14:paraId="73F906DD"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19,83%</w:t>
            </w:r>
          </w:p>
        </w:tc>
        <w:tc>
          <w:tcPr>
            <w:tcW w:w="1158" w:type="dxa"/>
            <w:tcBorders>
              <w:top w:val="nil"/>
              <w:left w:val="nil"/>
              <w:bottom w:val="single" w:sz="4" w:space="0" w:color="auto"/>
              <w:right w:val="single" w:sz="4" w:space="0" w:color="auto"/>
            </w:tcBorders>
            <w:shd w:val="clear" w:color="auto" w:fill="auto"/>
            <w:vAlign w:val="center"/>
          </w:tcPr>
          <w:p w14:paraId="33893230"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51:06</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7367A"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20,92%</w:t>
            </w:r>
          </w:p>
        </w:tc>
      </w:tr>
      <w:tr w:rsidR="00733207" w14:paraId="2D590369"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7D026ADE"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lastRenderedPageBreak/>
              <w:t>Sécurité</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60CAC14E"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23:42</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D66B483"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6,69%</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827E400"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13:30</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D62A8BF"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6,50%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CF06B93"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13:25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E5BA51D"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12,91%</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CDA4B04"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15:51</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C8721"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14,28%</w:t>
            </w:r>
          </w:p>
        </w:tc>
      </w:tr>
      <w:tr w:rsidR="00733207" w14:paraId="2B1BC68C"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4AE4A7E3"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Religion</w:t>
            </w:r>
          </w:p>
        </w:tc>
        <w:tc>
          <w:tcPr>
            <w:tcW w:w="1156" w:type="dxa"/>
            <w:tcBorders>
              <w:top w:val="single" w:sz="4" w:space="0" w:color="auto"/>
              <w:left w:val="single" w:sz="4" w:space="0" w:color="auto"/>
              <w:bottom w:val="single" w:sz="8" w:space="0" w:color="000000"/>
              <w:right w:val="single" w:sz="8" w:space="0" w:color="000000"/>
            </w:tcBorders>
            <w:shd w:val="clear" w:color="auto" w:fill="auto"/>
            <w:vAlign w:val="center"/>
          </w:tcPr>
          <w:p w14:paraId="41099A03"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41:28</w:t>
            </w:r>
          </w:p>
        </w:tc>
        <w:tc>
          <w:tcPr>
            <w:tcW w:w="1158" w:type="dxa"/>
            <w:tcBorders>
              <w:top w:val="single" w:sz="4" w:space="0" w:color="auto"/>
              <w:left w:val="nil"/>
              <w:bottom w:val="single" w:sz="8" w:space="0" w:color="000000"/>
              <w:right w:val="single" w:sz="8" w:space="0" w:color="000000"/>
            </w:tcBorders>
            <w:shd w:val="clear" w:color="auto" w:fill="auto"/>
            <w:vAlign w:val="center"/>
          </w:tcPr>
          <w:p w14:paraId="28664A2B"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11,71%</w:t>
            </w:r>
          </w:p>
        </w:tc>
        <w:tc>
          <w:tcPr>
            <w:tcW w:w="1158" w:type="dxa"/>
            <w:tcBorders>
              <w:top w:val="single" w:sz="4" w:space="0" w:color="auto"/>
              <w:left w:val="nil"/>
              <w:bottom w:val="single" w:sz="8" w:space="0" w:color="000000"/>
              <w:right w:val="single" w:sz="8" w:space="0" w:color="000000"/>
            </w:tcBorders>
            <w:shd w:val="clear" w:color="auto" w:fill="auto"/>
            <w:vAlign w:val="center"/>
          </w:tcPr>
          <w:p w14:paraId="77382EBB"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19:22</w:t>
            </w:r>
          </w:p>
        </w:tc>
        <w:tc>
          <w:tcPr>
            <w:tcW w:w="1232" w:type="dxa"/>
            <w:tcBorders>
              <w:top w:val="single" w:sz="4" w:space="0" w:color="auto"/>
              <w:left w:val="nil"/>
              <w:bottom w:val="single" w:sz="8" w:space="0" w:color="000000"/>
              <w:right w:val="single" w:sz="8" w:space="0" w:color="000000"/>
            </w:tcBorders>
            <w:shd w:val="clear" w:color="auto" w:fill="auto"/>
            <w:vAlign w:val="center"/>
          </w:tcPr>
          <w:p w14:paraId="4165B757"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9,33%</w:t>
            </w:r>
          </w:p>
        </w:tc>
        <w:tc>
          <w:tcPr>
            <w:tcW w:w="1083" w:type="dxa"/>
            <w:tcBorders>
              <w:top w:val="single" w:sz="4" w:space="0" w:color="auto"/>
              <w:left w:val="nil"/>
              <w:bottom w:val="single" w:sz="8" w:space="0" w:color="000000"/>
              <w:right w:val="single" w:sz="8" w:space="0" w:color="000000"/>
            </w:tcBorders>
            <w:shd w:val="clear" w:color="auto" w:fill="auto"/>
            <w:vAlign w:val="center"/>
          </w:tcPr>
          <w:p w14:paraId="763764BC"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05:43</w:t>
            </w:r>
          </w:p>
        </w:tc>
        <w:tc>
          <w:tcPr>
            <w:tcW w:w="1158" w:type="dxa"/>
            <w:tcBorders>
              <w:top w:val="single" w:sz="4" w:space="0" w:color="auto"/>
              <w:left w:val="nil"/>
              <w:bottom w:val="single" w:sz="8" w:space="0" w:color="000000"/>
              <w:right w:val="single" w:sz="8" w:space="0" w:color="auto"/>
            </w:tcBorders>
            <w:shd w:val="clear" w:color="auto" w:fill="auto"/>
            <w:vAlign w:val="center"/>
          </w:tcPr>
          <w:p w14:paraId="46208239"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6,36%</w:t>
            </w:r>
          </w:p>
        </w:tc>
        <w:tc>
          <w:tcPr>
            <w:tcW w:w="1158" w:type="dxa"/>
            <w:tcBorders>
              <w:top w:val="single" w:sz="4" w:space="0" w:color="auto"/>
              <w:left w:val="nil"/>
              <w:bottom w:val="single" w:sz="8" w:space="0" w:color="000000"/>
              <w:right w:val="single" w:sz="4" w:space="0" w:color="auto"/>
            </w:tcBorders>
            <w:shd w:val="clear" w:color="auto" w:fill="auto"/>
            <w:vAlign w:val="center"/>
          </w:tcPr>
          <w:p w14:paraId="68309D58"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28:32</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1349A"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5,37%</w:t>
            </w:r>
          </w:p>
        </w:tc>
      </w:tr>
      <w:tr w:rsidR="00733207" w14:paraId="396FFA5C"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639CB117"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Société</w:t>
            </w:r>
          </w:p>
        </w:tc>
        <w:tc>
          <w:tcPr>
            <w:tcW w:w="1156" w:type="dxa"/>
            <w:tcBorders>
              <w:top w:val="nil"/>
              <w:left w:val="single" w:sz="4" w:space="0" w:color="auto"/>
              <w:bottom w:val="single" w:sz="8" w:space="0" w:color="000000"/>
              <w:right w:val="single" w:sz="8" w:space="0" w:color="000000"/>
            </w:tcBorders>
            <w:shd w:val="clear" w:color="auto" w:fill="auto"/>
            <w:vAlign w:val="center"/>
          </w:tcPr>
          <w:p w14:paraId="0D429D18"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00:28</w:t>
            </w:r>
          </w:p>
        </w:tc>
        <w:tc>
          <w:tcPr>
            <w:tcW w:w="1158" w:type="dxa"/>
            <w:tcBorders>
              <w:top w:val="nil"/>
              <w:left w:val="nil"/>
              <w:bottom w:val="single" w:sz="8" w:space="0" w:color="000000"/>
              <w:right w:val="single" w:sz="8" w:space="0" w:color="000000"/>
            </w:tcBorders>
            <w:shd w:val="clear" w:color="auto" w:fill="auto"/>
            <w:vAlign w:val="center"/>
          </w:tcPr>
          <w:p w14:paraId="4F915E1C"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17,07%</w:t>
            </w:r>
          </w:p>
        </w:tc>
        <w:tc>
          <w:tcPr>
            <w:tcW w:w="1158" w:type="dxa"/>
            <w:tcBorders>
              <w:top w:val="nil"/>
              <w:left w:val="nil"/>
              <w:bottom w:val="single" w:sz="8" w:space="0" w:color="000000"/>
              <w:right w:val="single" w:sz="8" w:space="0" w:color="000000"/>
            </w:tcBorders>
            <w:shd w:val="clear" w:color="auto" w:fill="auto"/>
            <w:vAlign w:val="center"/>
          </w:tcPr>
          <w:p w14:paraId="16D44173"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42:36</w:t>
            </w:r>
          </w:p>
        </w:tc>
        <w:tc>
          <w:tcPr>
            <w:tcW w:w="1232" w:type="dxa"/>
            <w:tcBorders>
              <w:top w:val="nil"/>
              <w:left w:val="nil"/>
              <w:bottom w:val="single" w:sz="8" w:space="0" w:color="000000"/>
              <w:right w:val="single" w:sz="8" w:space="0" w:color="000000"/>
            </w:tcBorders>
            <w:shd w:val="clear" w:color="auto" w:fill="auto"/>
            <w:vAlign w:val="center"/>
          </w:tcPr>
          <w:p w14:paraId="67DF941E"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20,52%</w:t>
            </w:r>
          </w:p>
        </w:tc>
        <w:tc>
          <w:tcPr>
            <w:tcW w:w="1083" w:type="dxa"/>
            <w:tcBorders>
              <w:top w:val="nil"/>
              <w:left w:val="nil"/>
              <w:bottom w:val="single" w:sz="8" w:space="0" w:color="000000"/>
              <w:right w:val="single" w:sz="8" w:space="0" w:color="000000"/>
            </w:tcBorders>
            <w:shd w:val="clear" w:color="auto" w:fill="auto"/>
            <w:vAlign w:val="center"/>
          </w:tcPr>
          <w:p w14:paraId="07423DB6"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03:</w:t>
            </w:r>
            <w:proofErr w:type="gramEnd"/>
            <w:r>
              <w:rPr>
                <w:rFonts w:ascii="Rockwell" w:eastAsia="Times New Roman" w:hAnsi="Rockwell" w:cs="Times New Roman"/>
                <w:color w:val="000000"/>
                <w:sz w:val="24"/>
                <w:szCs w:val="24"/>
              </w:rPr>
              <w:t>11:57</w:t>
            </w:r>
          </w:p>
        </w:tc>
        <w:tc>
          <w:tcPr>
            <w:tcW w:w="1158" w:type="dxa"/>
            <w:tcBorders>
              <w:top w:val="nil"/>
              <w:left w:val="nil"/>
              <w:bottom w:val="single" w:sz="8" w:space="0" w:color="000000"/>
              <w:right w:val="single" w:sz="8" w:space="0" w:color="auto"/>
            </w:tcBorders>
            <w:shd w:val="clear" w:color="auto" w:fill="auto"/>
            <w:vAlign w:val="center"/>
          </w:tcPr>
          <w:p w14:paraId="1346176F"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18,57%</w:t>
            </w:r>
          </w:p>
        </w:tc>
        <w:tc>
          <w:tcPr>
            <w:tcW w:w="1158" w:type="dxa"/>
            <w:tcBorders>
              <w:top w:val="nil"/>
              <w:left w:val="nil"/>
              <w:bottom w:val="single" w:sz="8" w:space="0" w:color="000000"/>
              <w:right w:val="single" w:sz="4" w:space="0" w:color="auto"/>
            </w:tcBorders>
            <w:shd w:val="clear" w:color="auto" w:fill="auto"/>
            <w:vAlign w:val="center"/>
          </w:tcPr>
          <w:p w14:paraId="02FDA62A"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02:35</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DC4C82"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23,08%</w:t>
            </w:r>
          </w:p>
        </w:tc>
      </w:tr>
      <w:tr w:rsidR="00733207" w14:paraId="6C2131FB"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17E471D1"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Economie</w:t>
            </w:r>
          </w:p>
        </w:tc>
        <w:tc>
          <w:tcPr>
            <w:tcW w:w="1156" w:type="dxa"/>
            <w:tcBorders>
              <w:top w:val="nil"/>
              <w:left w:val="single" w:sz="4" w:space="0" w:color="auto"/>
              <w:bottom w:val="single" w:sz="8" w:space="0" w:color="000000"/>
              <w:right w:val="single" w:sz="8" w:space="0" w:color="000000"/>
            </w:tcBorders>
            <w:shd w:val="clear" w:color="auto" w:fill="auto"/>
            <w:vAlign w:val="center"/>
          </w:tcPr>
          <w:p w14:paraId="31EF22F6"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22:19</w:t>
            </w:r>
          </w:p>
        </w:tc>
        <w:tc>
          <w:tcPr>
            <w:tcW w:w="1158" w:type="dxa"/>
            <w:tcBorders>
              <w:top w:val="nil"/>
              <w:left w:val="nil"/>
              <w:bottom w:val="single" w:sz="8" w:space="0" w:color="auto"/>
              <w:right w:val="single" w:sz="8" w:space="0" w:color="000000"/>
            </w:tcBorders>
            <w:shd w:val="clear" w:color="auto" w:fill="auto"/>
            <w:vAlign w:val="center"/>
          </w:tcPr>
          <w:p w14:paraId="3E1D0E82"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6,30%</w:t>
            </w:r>
          </w:p>
        </w:tc>
        <w:tc>
          <w:tcPr>
            <w:tcW w:w="1158" w:type="dxa"/>
            <w:tcBorders>
              <w:top w:val="nil"/>
              <w:left w:val="nil"/>
              <w:bottom w:val="single" w:sz="8" w:space="0" w:color="000000"/>
              <w:right w:val="single" w:sz="8" w:space="0" w:color="000000"/>
            </w:tcBorders>
            <w:shd w:val="clear" w:color="auto" w:fill="auto"/>
            <w:vAlign w:val="center"/>
          </w:tcPr>
          <w:p w14:paraId="7BC27494"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13:24</w:t>
            </w:r>
          </w:p>
        </w:tc>
        <w:tc>
          <w:tcPr>
            <w:tcW w:w="1232" w:type="dxa"/>
            <w:tcBorders>
              <w:top w:val="nil"/>
              <w:left w:val="nil"/>
              <w:bottom w:val="single" w:sz="8" w:space="0" w:color="000000"/>
              <w:right w:val="single" w:sz="8" w:space="0" w:color="000000"/>
            </w:tcBorders>
            <w:shd w:val="clear" w:color="auto" w:fill="auto"/>
            <w:vAlign w:val="center"/>
          </w:tcPr>
          <w:p w14:paraId="6DFF4C6C"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6,45%</w:t>
            </w:r>
          </w:p>
        </w:tc>
        <w:tc>
          <w:tcPr>
            <w:tcW w:w="1083" w:type="dxa"/>
            <w:tcBorders>
              <w:top w:val="nil"/>
              <w:left w:val="nil"/>
              <w:bottom w:val="single" w:sz="8" w:space="0" w:color="000000"/>
              <w:right w:val="single" w:sz="8" w:space="0" w:color="000000"/>
            </w:tcBorders>
            <w:shd w:val="clear" w:color="auto" w:fill="auto"/>
            <w:vAlign w:val="center"/>
          </w:tcPr>
          <w:p w14:paraId="7623B268"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09:48</w:t>
            </w:r>
          </w:p>
        </w:tc>
        <w:tc>
          <w:tcPr>
            <w:tcW w:w="1158" w:type="dxa"/>
            <w:tcBorders>
              <w:top w:val="nil"/>
              <w:left w:val="nil"/>
              <w:bottom w:val="single" w:sz="8" w:space="0" w:color="000000"/>
              <w:right w:val="single" w:sz="8" w:space="0" w:color="auto"/>
            </w:tcBorders>
            <w:shd w:val="clear" w:color="auto" w:fill="auto"/>
            <w:vAlign w:val="center"/>
          </w:tcPr>
          <w:p w14:paraId="528044A1"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12,56%</w:t>
            </w:r>
          </w:p>
        </w:tc>
        <w:tc>
          <w:tcPr>
            <w:tcW w:w="1158" w:type="dxa"/>
            <w:tcBorders>
              <w:top w:val="nil"/>
              <w:left w:val="nil"/>
              <w:bottom w:val="single" w:sz="8" w:space="0" w:color="000000"/>
              <w:right w:val="single" w:sz="4" w:space="0" w:color="auto"/>
            </w:tcBorders>
            <w:shd w:val="clear" w:color="auto" w:fill="auto"/>
            <w:vAlign w:val="center"/>
          </w:tcPr>
          <w:p w14:paraId="1DD5B047"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41:26</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D85AD4"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7,80%</w:t>
            </w:r>
          </w:p>
        </w:tc>
      </w:tr>
      <w:tr w:rsidR="00733207" w14:paraId="148F5157"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50876883"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Culture</w:t>
            </w:r>
          </w:p>
        </w:tc>
        <w:tc>
          <w:tcPr>
            <w:tcW w:w="1156" w:type="dxa"/>
            <w:tcBorders>
              <w:top w:val="nil"/>
              <w:left w:val="single" w:sz="4" w:space="0" w:color="auto"/>
              <w:bottom w:val="single" w:sz="8" w:space="0" w:color="000000"/>
              <w:right w:val="single" w:sz="8" w:space="0" w:color="000000"/>
            </w:tcBorders>
            <w:shd w:val="clear" w:color="auto" w:fill="auto"/>
            <w:vAlign w:val="center"/>
          </w:tcPr>
          <w:p w14:paraId="75C14D04"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31:44</w:t>
            </w:r>
          </w:p>
        </w:tc>
        <w:tc>
          <w:tcPr>
            <w:tcW w:w="1158" w:type="dxa"/>
            <w:tcBorders>
              <w:top w:val="nil"/>
              <w:left w:val="nil"/>
              <w:bottom w:val="single" w:sz="8" w:space="0" w:color="auto"/>
              <w:right w:val="single" w:sz="8" w:space="0" w:color="000000"/>
            </w:tcBorders>
            <w:shd w:val="clear" w:color="auto" w:fill="auto"/>
            <w:vAlign w:val="center"/>
          </w:tcPr>
          <w:p w14:paraId="13B49415"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25,90%</w:t>
            </w:r>
          </w:p>
        </w:tc>
        <w:tc>
          <w:tcPr>
            <w:tcW w:w="1158" w:type="dxa"/>
            <w:tcBorders>
              <w:top w:val="nil"/>
              <w:left w:val="nil"/>
              <w:bottom w:val="single" w:sz="8" w:space="0" w:color="000000"/>
              <w:right w:val="single" w:sz="8" w:space="0" w:color="000000"/>
            </w:tcBorders>
            <w:shd w:val="clear" w:color="auto" w:fill="auto"/>
            <w:vAlign w:val="center"/>
          </w:tcPr>
          <w:p w14:paraId="11A1A666"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48:26</w:t>
            </w:r>
          </w:p>
        </w:tc>
        <w:tc>
          <w:tcPr>
            <w:tcW w:w="1232" w:type="dxa"/>
            <w:tcBorders>
              <w:top w:val="nil"/>
              <w:left w:val="nil"/>
              <w:bottom w:val="single" w:sz="8" w:space="0" w:color="000000"/>
              <w:right w:val="single" w:sz="8" w:space="0" w:color="000000"/>
            </w:tcBorders>
            <w:shd w:val="clear" w:color="auto" w:fill="auto"/>
            <w:vAlign w:val="center"/>
          </w:tcPr>
          <w:p w14:paraId="01795673"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23,33%</w:t>
            </w:r>
          </w:p>
        </w:tc>
        <w:tc>
          <w:tcPr>
            <w:tcW w:w="1083" w:type="dxa"/>
            <w:tcBorders>
              <w:top w:val="nil"/>
              <w:left w:val="nil"/>
              <w:bottom w:val="single" w:sz="8" w:space="0" w:color="000000"/>
              <w:right w:val="single" w:sz="8" w:space="0" w:color="000000"/>
            </w:tcBorders>
            <w:shd w:val="clear" w:color="auto" w:fill="auto"/>
            <w:vAlign w:val="center"/>
          </w:tcPr>
          <w:p w14:paraId="26F62084"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51:48</w:t>
            </w:r>
          </w:p>
        </w:tc>
        <w:tc>
          <w:tcPr>
            <w:tcW w:w="1158" w:type="dxa"/>
            <w:tcBorders>
              <w:top w:val="nil"/>
              <w:left w:val="nil"/>
              <w:bottom w:val="single" w:sz="8" w:space="0" w:color="000000"/>
              <w:right w:val="single" w:sz="8" w:space="0" w:color="auto"/>
            </w:tcBorders>
            <w:shd w:val="clear" w:color="auto" w:fill="auto"/>
            <w:vAlign w:val="center"/>
          </w:tcPr>
          <w:p w14:paraId="4B4A3E45"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16,62%</w:t>
            </w:r>
          </w:p>
        </w:tc>
        <w:tc>
          <w:tcPr>
            <w:tcW w:w="1158" w:type="dxa"/>
            <w:tcBorders>
              <w:top w:val="nil"/>
              <w:left w:val="nil"/>
              <w:bottom w:val="single" w:sz="8" w:space="0" w:color="000000"/>
              <w:right w:val="single" w:sz="4" w:space="0" w:color="auto"/>
            </w:tcBorders>
            <w:shd w:val="clear" w:color="auto" w:fill="auto"/>
            <w:vAlign w:val="center"/>
          </w:tcPr>
          <w:p w14:paraId="7A43CBFF"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05:56</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5DF97"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23,71%</w:t>
            </w:r>
          </w:p>
        </w:tc>
      </w:tr>
      <w:tr w:rsidR="00733207" w14:paraId="3C0C4B69"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593033E5"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Santé</w:t>
            </w:r>
          </w:p>
        </w:tc>
        <w:tc>
          <w:tcPr>
            <w:tcW w:w="1156" w:type="dxa"/>
            <w:tcBorders>
              <w:top w:val="nil"/>
              <w:left w:val="single" w:sz="4" w:space="0" w:color="auto"/>
              <w:bottom w:val="single" w:sz="8" w:space="0" w:color="000000"/>
              <w:right w:val="single" w:sz="8" w:space="0" w:color="000000"/>
            </w:tcBorders>
            <w:shd w:val="clear" w:color="auto" w:fill="auto"/>
            <w:vAlign w:val="center"/>
          </w:tcPr>
          <w:p w14:paraId="2943C85C"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32:17</w:t>
            </w:r>
          </w:p>
        </w:tc>
        <w:tc>
          <w:tcPr>
            <w:tcW w:w="1158" w:type="dxa"/>
            <w:tcBorders>
              <w:top w:val="nil"/>
              <w:left w:val="nil"/>
              <w:bottom w:val="single" w:sz="8" w:space="0" w:color="auto"/>
              <w:right w:val="single" w:sz="8" w:space="0" w:color="000000"/>
            </w:tcBorders>
            <w:shd w:val="clear" w:color="auto" w:fill="auto"/>
            <w:vAlign w:val="center"/>
          </w:tcPr>
          <w:p w14:paraId="286A480A"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9,11%</w:t>
            </w:r>
          </w:p>
        </w:tc>
        <w:tc>
          <w:tcPr>
            <w:tcW w:w="1158" w:type="dxa"/>
            <w:tcBorders>
              <w:top w:val="nil"/>
              <w:left w:val="nil"/>
              <w:bottom w:val="single" w:sz="8" w:space="0" w:color="000000"/>
              <w:right w:val="single" w:sz="8" w:space="0" w:color="000000"/>
            </w:tcBorders>
            <w:shd w:val="clear" w:color="auto" w:fill="auto"/>
            <w:vAlign w:val="center"/>
          </w:tcPr>
          <w:p w14:paraId="105A8093"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21:25</w:t>
            </w:r>
          </w:p>
        </w:tc>
        <w:tc>
          <w:tcPr>
            <w:tcW w:w="1232" w:type="dxa"/>
            <w:tcBorders>
              <w:top w:val="nil"/>
              <w:left w:val="nil"/>
              <w:bottom w:val="single" w:sz="8" w:space="0" w:color="000000"/>
              <w:right w:val="single" w:sz="8" w:space="0" w:color="000000"/>
            </w:tcBorders>
            <w:shd w:val="clear" w:color="auto" w:fill="auto"/>
            <w:vAlign w:val="center"/>
          </w:tcPr>
          <w:p w14:paraId="7B03522D"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10,32%</w:t>
            </w:r>
          </w:p>
        </w:tc>
        <w:tc>
          <w:tcPr>
            <w:tcW w:w="1083" w:type="dxa"/>
            <w:tcBorders>
              <w:top w:val="nil"/>
              <w:left w:val="nil"/>
              <w:bottom w:val="single" w:sz="8" w:space="0" w:color="000000"/>
              <w:right w:val="single" w:sz="8" w:space="0" w:color="000000"/>
            </w:tcBorders>
            <w:shd w:val="clear" w:color="auto" w:fill="auto"/>
            <w:vAlign w:val="center"/>
          </w:tcPr>
          <w:p w14:paraId="49749331"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05:24</w:t>
            </w:r>
          </w:p>
        </w:tc>
        <w:tc>
          <w:tcPr>
            <w:tcW w:w="1158" w:type="dxa"/>
            <w:tcBorders>
              <w:top w:val="nil"/>
              <w:left w:val="nil"/>
              <w:bottom w:val="single" w:sz="8" w:space="0" w:color="000000"/>
              <w:right w:val="single" w:sz="8" w:space="0" w:color="auto"/>
            </w:tcBorders>
            <w:shd w:val="clear" w:color="auto" w:fill="auto"/>
            <w:vAlign w:val="center"/>
          </w:tcPr>
          <w:p w14:paraId="183F889C"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12,13%</w:t>
            </w:r>
          </w:p>
        </w:tc>
        <w:tc>
          <w:tcPr>
            <w:tcW w:w="1158" w:type="dxa"/>
            <w:tcBorders>
              <w:top w:val="nil"/>
              <w:left w:val="nil"/>
              <w:bottom w:val="single" w:sz="8" w:space="0" w:color="000000"/>
              <w:right w:val="single" w:sz="4" w:space="0" w:color="auto"/>
            </w:tcBorders>
            <w:shd w:val="clear" w:color="auto" w:fill="auto"/>
            <w:vAlign w:val="center"/>
          </w:tcPr>
          <w:p w14:paraId="586878ED"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25:45</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3F50A"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4,85%</w:t>
            </w:r>
          </w:p>
        </w:tc>
      </w:tr>
      <w:tr w:rsidR="00733207" w14:paraId="271C5F3C" w14:textId="77777777" w:rsidTr="000C3528">
        <w:trPr>
          <w:trHeight w:val="315"/>
          <w:jc w:val="center"/>
        </w:trPr>
        <w:tc>
          <w:tcPr>
            <w:tcW w:w="1665" w:type="dxa"/>
            <w:tcBorders>
              <w:top w:val="single" w:sz="4" w:space="0" w:color="auto"/>
              <w:left w:val="single" w:sz="4" w:space="0" w:color="auto"/>
              <w:bottom w:val="single" w:sz="4" w:space="0" w:color="auto"/>
              <w:right w:val="single" w:sz="4" w:space="0" w:color="auto"/>
            </w:tcBorders>
            <w:shd w:val="clear" w:color="auto" w:fill="auto"/>
            <w:vAlign w:val="center"/>
          </w:tcPr>
          <w:p w14:paraId="3EB5DFA0"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color w:val="000000"/>
                <w:sz w:val="24"/>
                <w:szCs w:val="24"/>
              </w:rPr>
              <w:t>Genre</w:t>
            </w:r>
          </w:p>
        </w:tc>
        <w:tc>
          <w:tcPr>
            <w:tcW w:w="1156" w:type="dxa"/>
            <w:tcBorders>
              <w:top w:val="nil"/>
              <w:left w:val="single" w:sz="4" w:space="0" w:color="auto"/>
              <w:bottom w:val="single" w:sz="8" w:space="0" w:color="000000"/>
              <w:right w:val="single" w:sz="8" w:space="0" w:color="000000"/>
            </w:tcBorders>
            <w:shd w:val="clear" w:color="auto" w:fill="auto"/>
            <w:vAlign w:val="center"/>
          </w:tcPr>
          <w:p w14:paraId="6250C6DA"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58" w:type="dxa"/>
            <w:tcBorders>
              <w:top w:val="nil"/>
              <w:left w:val="nil"/>
              <w:bottom w:val="single" w:sz="8" w:space="0" w:color="auto"/>
              <w:right w:val="single" w:sz="8" w:space="0" w:color="000000"/>
            </w:tcBorders>
            <w:shd w:val="clear" w:color="auto" w:fill="auto"/>
            <w:vAlign w:val="center"/>
          </w:tcPr>
          <w:p w14:paraId="4FE98F35"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0,00%</w:t>
            </w:r>
          </w:p>
        </w:tc>
        <w:tc>
          <w:tcPr>
            <w:tcW w:w="1158" w:type="dxa"/>
            <w:tcBorders>
              <w:top w:val="nil"/>
              <w:left w:val="nil"/>
              <w:bottom w:val="single" w:sz="8" w:space="0" w:color="000000"/>
              <w:right w:val="single" w:sz="8" w:space="0" w:color="000000"/>
            </w:tcBorders>
            <w:shd w:val="clear" w:color="auto" w:fill="auto"/>
            <w:vAlign w:val="center"/>
          </w:tcPr>
          <w:p w14:paraId="4E27C150"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232" w:type="dxa"/>
            <w:tcBorders>
              <w:top w:val="nil"/>
              <w:left w:val="nil"/>
              <w:bottom w:val="single" w:sz="8" w:space="0" w:color="000000"/>
              <w:right w:val="single" w:sz="8" w:space="0" w:color="000000"/>
            </w:tcBorders>
            <w:shd w:val="clear" w:color="auto" w:fill="auto"/>
            <w:vAlign w:val="center"/>
          </w:tcPr>
          <w:p w14:paraId="66300AD4"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0,00%</w:t>
            </w:r>
          </w:p>
        </w:tc>
        <w:tc>
          <w:tcPr>
            <w:tcW w:w="1083" w:type="dxa"/>
            <w:tcBorders>
              <w:top w:val="nil"/>
              <w:left w:val="nil"/>
              <w:bottom w:val="single" w:sz="8" w:space="0" w:color="000000"/>
              <w:right w:val="single" w:sz="8" w:space="0" w:color="000000"/>
            </w:tcBorders>
            <w:shd w:val="clear" w:color="auto" w:fill="auto"/>
            <w:vAlign w:val="center"/>
          </w:tcPr>
          <w:p w14:paraId="5C1C4F04" w14:textId="77777777" w:rsidR="00733207" w:rsidRDefault="00912BAE">
            <w:pPr>
              <w:spacing w:before="60" w:after="6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10:33</w:t>
            </w:r>
          </w:p>
        </w:tc>
        <w:tc>
          <w:tcPr>
            <w:tcW w:w="1158" w:type="dxa"/>
            <w:tcBorders>
              <w:top w:val="nil"/>
              <w:left w:val="nil"/>
              <w:bottom w:val="single" w:sz="8" w:space="0" w:color="000000"/>
              <w:right w:val="single" w:sz="8" w:space="0" w:color="auto"/>
            </w:tcBorders>
            <w:shd w:val="clear" w:color="auto" w:fill="auto"/>
            <w:vAlign w:val="center"/>
          </w:tcPr>
          <w:p w14:paraId="45102ACA"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Cs/>
                <w:color w:val="000000"/>
                <w:sz w:val="24"/>
                <w:szCs w:val="24"/>
              </w:rPr>
              <w:t>1,02%</w:t>
            </w:r>
          </w:p>
        </w:tc>
        <w:tc>
          <w:tcPr>
            <w:tcW w:w="1158" w:type="dxa"/>
            <w:tcBorders>
              <w:top w:val="nil"/>
              <w:left w:val="nil"/>
              <w:bottom w:val="single" w:sz="8" w:space="0" w:color="000000"/>
              <w:right w:val="single" w:sz="4" w:space="0" w:color="auto"/>
            </w:tcBorders>
            <w:shd w:val="clear" w:color="auto" w:fill="auto"/>
            <w:vAlign w:val="center"/>
          </w:tcPr>
          <w:p w14:paraId="18465529" w14:textId="77777777" w:rsidR="00733207" w:rsidRDefault="00912BAE">
            <w:pPr>
              <w:spacing w:before="60" w:after="60" w:line="360" w:lineRule="auto"/>
              <w:jc w:val="both"/>
              <w:rPr>
                <w:rFonts w:ascii="Rockwell" w:eastAsia="Times New Roman" w:hAnsi="Rockwell" w:cs="Times New Roman"/>
                <w:bCs/>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DCE33" w14:textId="77777777" w:rsidR="00733207" w:rsidRDefault="00912BAE">
            <w:pPr>
              <w:spacing w:before="60" w:after="60" w:line="360" w:lineRule="auto"/>
              <w:jc w:val="both"/>
              <w:rPr>
                <w:rFonts w:ascii="Rockwell" w:eastAsia="Times New Roman" w:hAnsi="Rockwell" w:cs="Times New Roman"/>
                <w:bCs/>
                <w:color w:val="000000"/>
                <w:sz w:val="24"/>
                <w:szCs w:val="24"/>
              </w:rPr>
            </w:pPr>
            <w:r>
              <w:rPr>
                <w:rFonts w:ascii="Rockwell" w:eastAsia="Times New Roman" w:hAnsi="Rockwell" w:cs="Times New Roman"/>
                <w:bCs/>
                <w:color w:val="000000"/>
                <w:sz w:val="24"/>
                <w:szCs w:val="24"/>
              </w:rPr>
              <w:t>0,00%</w:t>
            </w:r>
          </w:p>
        </w:tc>
      </w:tr>
      <w:tr w:rsidR="00733207" w14:paraId="3782F32C" w14:textId="77777777" w:rsidTr="000C3528">
        <w:trPr>
          <w:trHeight w:val="315"/>
          <w:jc w:val="center"/>
        </w:trPr>
        <w:tc>
          <w:tcPr>
            <w:tcW w:w="1665" w:type="dxa"/>
            <w:tcBorders>
              <w:top w:val="single" w:sz="4" w:space="0" w:color="auto"/>
              <w:left w:val="single" w:sz="8" w:space="0" w:color="000000"/>
              <w:bottom w:val="single" w:sz="8" w:space="0" w:color="000000"/>
              <w:right w:val="single" w:sz="8" w:space="0" w:color="000000"/>
            </w:tcBorders>
            <w:shd w:val="clear" w:color="auto" w:fill="auto"/>
            <w:vAlign w:val="center"/>
          </w:tcPr>
          <w:p w14:paraId="067E3912"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TOTAL</w:t>
            </w:r>
          </w:p>
        </w:tc>
        <w:tc>
          <w:tcPr>
            <w:tcW w:w="1156" w:type="dxa"/>
            <w:tcBorders>
              <w:top w:val="nil"/>
              <w:left w:val="nil"/>
              <w:bottom w:val="single" w:sz="8" w:space="0" w:color="000000"/>
              <w:right w:val="single" w:sz="8" w:space="0" w:color="000000"/>
            </w:tcBorders>
            <w:shd w:val="clear" w:color="auto" w:fill="auto"/>
            <w:vAlign w:val="center"/>
          </w:tcPr>
          <w:p w14:paraId="33602AD3"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05:</w:t>
            </w:r>
            <w:proofErr w:type="gramEnd"/>
            <w:r>
              <w:rPr>
                <w:rFonts w:ascii="Rockwell" w:eastAsia="Times New Roman" w:hAnsi="Rockwell" w:cs="Times New Roman"/>
                <w:b/>
                <w:bCs/>
                <w:color w:val="000000"/>
                <w:sz w:val="24"/>
                <w:szCs w:val="24"/>
              </w:rPr>
              <w:t>54:15</w:t>
            </w:r>
          </w:p>
        </w:tc>
        <w:tc>
          <w:tcPr>
            <w:tcW w:w="1158" w:type="dxa"/>
            <w:tcBorders>
              <w:top w:val="nil"/>
              <w:left w:val="nil"/>
              <w:bottom w:val="single" w:sz="8" w:space="0" w:color="000000"/>
              <w:right w:val="single" w:sz="8" w:space="0" w:color="000000"/>
            </w:tcBorders>
            <w:shd w:val="clear" w:color="auto" w:fill="auto"/>
            <w:vAlign w:val="center"/>
          </w:tcPr>
          <w:p w14:paraId="0B57BED7"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158" w:type="dxa"/>
            <w:tcBorders>
              <w:top w:val="nil"/>
              <w:left w:val="nil"/>
              <w:bottom w:val="single" w:sz="8" w:space="0" w:color="000000"/>
              <w:right w:val="single" w:sz="8" w:space="0" w:color="000000"/>
            </w:tcBorders>
            <w:shd w:val="clear" w:color="auto" w:fill="auto"/>
            <w:vAlign w:val="center"/>
          </w:tcPr>
          <w:p w14:paraId="4040FDF2"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3:</w:t>
            </w:r>
            <w:proofErr w:type="gramEnd"/>
            <w:r>
              <w:rPr>
                <w:rFonts w:ascii="Rockwell" w:eastAsia="Times New Roman" w:hAnsi="Rockwell" w:cs="Times New Roman"/>
                <w:b/>
                <w:bCs/>
                <w:color w:val="000000"/>
                <w:sz w:val="24"/>
                <w:szCs w:val="24"/>
              </w:rPr>
              <w:t>27:37</w:t>
            </w:r>
          </w:p>
        </w:tc>
        <w:tc>
          <w:tcPr>
            <w:tcW w:w="1232" w:type="dxa"/>
            <w:tcBorders>
              <w:top w:val="nil"/>
              <w:left w:val="nil"/>
              <w:bottom w:val="single" w:sz="8" w:space="0" w:color="000000"/>
              <w:right w:val="single" w:sz="8" w:space="0" w:color="000000"/>
            </w:tcBorders>
            <w:shd w:val="clear" w:color="auto" w:fill="auto"/>
            <w:vAlign w:val="center"/>
          </w:tcPr>
          <w:p w14:paraId="185AFD77"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bCs/>
                <w:color w:val="000000"/>
                <w:sz w:val="24"/>
                <w:szCs w:val="24"/>
              </w:rPr>
              <w:t>100,00%</w:t>
            </w:r>
          </w:p>
        </w:tc>
        <w:tc>
          <w:tcPr>
            <w:tcW w:w="1083" w:type="dxa"/>
            <w:tcBorders>
              <w:top w:val="nil"/>
              <w:left w:val="nil"/>
              <w:bottom w:val="single" w:sz="8" w:space="0" w:color="000000"/>
              <w:right w:val="single" w:sz="8" w:space="0" w:color="000000"/>
            </w:tcBorders>
            <w:shd w:val="clear" w:color="auto" w:fill="auto"/>
            <w:vAlign w:val="center"/>
          </w:tcPr>
          <w:p w14:paraId="75BA7BD2"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17:</w:t>
            </w:r>
            <w:proofErr w:type="gramEnd"/>
            <w:r>
              <w:rPr>
                <w:rFonts w:ascii="Rockwell" w:eastAsia="Times New Roman" w:hAnsi="Rockwell" w:cs="Times New Roman"/>
                <w:color w:val="000000"/>
                <w:sz w:val="24"/>
                <w:szCs w:val="24"/>
              </w:rPr>
              <w:t>13:33</w:t>
            </w:r>
          </w:p>
        </w:tc>
        <w:tc>
          <w:tcPr>
            <w:tcW w:w="1158" w:type="dxa"/>
            <w:tcBorders>
              <w:top w:val="nil"/>
              <w:left w:val="nil"/>
              <w:bottom w:val="single" w:sz="8" w:space="0" w:color="000000"/>
              <w:right w:val="single" w:sz="8" w:space="0" w:color="auto"/>
            </w:tcBorders>
            <w:shd w:val="clear" w:color="auto" w:fill="auto"/>
            <w:vAlign w:val="center"/>
          </w:tcPr>
          <w:p w14:paraId="0E2D0CF8" w14:textId="77777777" w:rsidR="00733207" w:rsidRDefault="00912BAE">
            <w:pPr>
              <w:spacing w:before="60" w:after="60" w:line="360" w:lineRule="auto"/>
              <w:jc w:val="both"/>
              <w:rPr>
                <w:rFonts w:ascii="Rockwell" w:eastAsia="Times New Roman" w:hAnsi="Rockwell" w:cs="Times New Roman"/>
                <w:color w:val="000000"/>
                <w:sz w:val="24"/>
                <w:szCs w:val="24"/>
              </w:rPr>
            </w:pPr>
            <w:r>
              <w:rPr>
                <w:rFonts w:ascii="Rockwell" w:eastAsia="Times New Roman" w:hAnsi="Rockwell" w:cs="Times New Roman"/>
                <w:b/>
                <w:bCs/>
                <w:color w:val="000000"/>
                <w:sz w:val="24"/>
                <w:szCs w:val="24"/>
              </w:rPr>
              <w:t>100,00%</w:t>
            </w:r>
          </w:p>
        </w:tc>
        <w:tc>
          <w:tcPr>
            <w:tcW w:w="1158" w:type="dxa"/>
            <w:tcBorders>
              <w:top w:val="nil"/>
              <w:left w:val="nil"/>
              <w:bottom w:val="single" w:sz="8" w:space="0" w:color="000000"/>
              <w:right w:val="single" w:sz="4" w:space="0" w:color="auto"/>
            </w:tcBorders>
            <w:shd w:val="clear" w:color="auto" w:fill="auto"/>
            <w:vAlign w:val="center"/>
          </w:tcPr>
          <w:p w14:paraId="71574C4D" w14:textId="77777777" w:rsidR="00733207" w:rsidRDefault="00912BAE">
            <w:pPr>
              <w:spacing w:before="60" w:after="6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color w:val="000000"/>
                <w:sz w:val="24"/>
                <w:szCs w:val="24"/>
              </w:rPr>
              <w:t>08:</w:t>
            </w:r>
            <w:proofErr w:type="gramEnd"/>
            <w:r>
              <w:rPr>
                <w:rFonts w:ascii="Rockwell" w:eastAsia="Times New Roman" w:hAnsi="Rockwell" w:cs="Times New Roman"/>
                <w:color w:val="000000"/>
                <w:sz w:val="24"/>
                <w:szCs w:val="24"/>
              </w:rPr>
              <w:t>51:11</w:t>
            </w:r>
          </w:p>
        </w:tc>
        <w:tc>
          <w:tcPr>
            <w:tcW w:w="1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170761" w14:textId="77777777" w:rsidR="00733207" w:rsidRDefault="00912BAE">
            <w:pPr>
              <w:spacing w:before="60" w:after="6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r>
    </w:tbl>
    <w:p w14:paraId="35B7BE25" w14:textId="77777777" w:rsidR="00733207" w:rsidRDefault="00912BAE">
      <w:pPr>
        <w:spacing w:before="120" w:after="120" w:line="360" w:lineRule="auto"/>
        <w:ind w:left="-709"/>
        <w:jc w:val="both"/>
        <w:rPr>
          <w:rFonts w:ascii="Rockwell" w:hAnsi="Rockwell" w:cs="Times New Roman"/>
          <w:i/>
        </w:rPr>
      </w:pPr>
      <w:r>
        <w:rPr>
          <w:rFonts w:ascii="Rockwell" w:hAnsi="Rockwell" w:cs="Times New Roman"/>
          <w:b/>
          <w:i/>
          <w:u w:val="single"/>
        </w:rPr>
        <w:t>Source</w:t>
      </w:r>
      <w:r>
        <w:rPr>
          <w:rFonts w:ascii="Rockwell" w:hAnsi="Rockwell" w:cs="Times New Roman"/>
          <w:b/>
          <w:i/>
        </w:rPr>
        <w:t xml:space="preserve"> : </w:t>
      </w:r>
      <w:r>
        <w:rPr>
          <w:rFonts w:ascii="Rockwell" w:hAnsi="Rockwell" w:cs="Times New Roman"/>
          <w:i/>
        </w:rPr>
        <w:t>CSC</w:t>
      </w:r>
    </w:p>
    <w:p w14:paraId="65065F24" w14:textId="77777777" w:rsidR="00733207" w:rsidRDefault="00733207">
      <w:pPr>
        <w:spacing w:before="120" w:after="120" w:line="360" w:lineRule="auto"/>
        <w:ind w:left="-709"/>
        <w:jc w:val="both"/>
        <w:rPr>
          <w:rFonts w:ascii="Rockwell" w:hAnsi="Rockwell" w:cs="Times New Roman"/>
          <w:i/>
        </w:rPr>
      </w:pPr>
    </w:p>
    <w:p w14:paraId="407CCFC7" w14:textId="77777777" w:rsidR="00733207" w:rsidRDefault="00912BAE">
      <w:pPr>
        <w:spacing w:before="120" w:after="120" w:line="360" w:lineRule="auto"/>
        <w:jc w:val="center"/>
        <w:rPr>
          <w:rFonts w:ascii="Rockwell" w:hAnsi="Rockwell" w:cs="Times New Roman"/>
          <w:b/>
          <w:i/>
        </w:rPr>
      </w:pPr>
      <w:r>
        <w:rPr>
          <w:rFonts w:ascii="Rockwell" w:hAnsi="Rockwell" w:cs="Times New Roman"/>
          <w:b/>
          <w:i/>
          <w:u w:val="single"/>
        </w:rPr>
        <w:t>Graphique n°21</w:t>
      </w:r>
      <w:r>
        <w:rPr>
          <w:rFonts w:ascii="Rockwell" w:hAnsi="Rockwell" w:cs="Times New Roman"/>
          <w:b/>
          <w:i/>
        </w:rPr>
        <w:t xml:space="preserve"> : </w:t>
      </w:r>
      <w:r>
        <w:rPr>
          <w:rFonts w:ascii="Rockwell" w:hAnsi="Rockwell" w:cs="Times New Roman"/>
          <w:i/>
        </w:rPr>
        <w:t>Représentation des TA et de TP des thèmes abordés dans les médias audiovisuels publics</w:t>
      </w:r>
    </w:p>
    <w:p w14:paraId="0F3BEE1F" w14:textId="77777777" w:rsidR="00733207" w:rsidRDefault="00912BAE">
      <w:pPr>
        <w:spacing w:before="120" w:after="120" w:line="360" w:lineRule="auto"/>
        <w:jc w:val="center"/>
        <w:rPr>
          <w:rFonts w:ascii="Rockwell" w:hAnsi="Rockwell" w:cs="Times New Roman"/>
          <w:b/>
          <w:sz w:val="26"/>
          <w:szCs w:val="26"/>
        </w:rPr>
      </w:pPr>
      <w:r>
        <w:rPr>
          <w:rFonts w:ascii="Rockwell" w:hAnsi="Rockwell" w:cs="Times New Roman"/>
          <w:b/>
          <w:noProof/>
          <w:sz w:val="26"/>
          <w:szCs w:val="26"/>
          <w:lang w:eastAsia="fr-FR"/>
        </w:rPr>
        <w:drawing>
          <wp:inline distT="0" distB="0" distL="0" distR="0" wp14:anchorId="194E8422" wp14:editId="742FC37F">
            <wp:extent cx="5638800" cy="3609975"/>
            <wp:effectExtent l="0" t="0" r="0" b="9525"/>
            <wp:docPr id="40" name="Graphique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2750C7E3" w14:textId="77777777" w:rsidR="00733207" w:rsidRDefault="00733207">
      <w:pPr>
        <w:spacing w:before="120" w:after="120" w:line="360" w:lineRule="auto"/>
        <w:jc w:val="both"/>
        <w:rPr>
          <w:rFonts w:ascii="Rockwell" w:hAnsi="Rockwell" w:cs="Times New Roman"/>
          <w:b/>
          <w:sz w:val="26"/>
          <w:szCs w:val="26"/>
        </w:rPr>
        <w:sectPr w:rsidR="00733207">
          <w:pgSz w:w="11906" w:h="16838"/>
          <w:pgMar w:top="1417" w:right="1417" w:bottom="1417" w:left="1417" w:header="708" w:footer="708" w:gutter="0"/>
          <w:cols w:space="708"/>
          <w:docGrid w:linePitch="360"/>
        </w:sectPr>
      </w:pPr>
    </w:p>
    <w:p w14:paraId="4AF392B4" w14:textId="77777777" w:rsidR="00733207" w:rsidRDefault="00912BAE">
      <w:pPr>
        <w:pStyle w:val="Titre6"/>
        <w:jc w:val="center"/>
        <w:rPr>
          <w:rFonts w:ascii="Rockwell" w:hAnsi="Rockwell"/>
          <w:b/>
          <w:i/>
          <w:color w:val="auto"/>
          <w:sz w:val="26"/>
          <w:szCs w:val="26"/>
        </w:rPr>
      </w:pPr>
      <w:bookmarkStart w:id="329" w:name="_Toc169855153"/>
      <w:bookmarkStart w:id="330" w:name="_Toc175128522"/>
      <w:r>
        <w:rPr>
          <w:rFonts w:ascii="Rockwell" w:hAnsi="Rockwell"/>
          <w:b/>
          <w:i/>
          <w:color w:val="auto"/>
          <w:sz w:val="26"/>
          <w:szCs w:val="26"/>
        </w:rPr>
        <w:lastRenderedPageBreak/>
        <w:t xml:space="preserve">2.1.2. Appréciation </w:t>
      </w:r>
      <w:bookmarkEnd w:id="329"/>
      <w:r>
        <w:rPr>
          <w:rFonts w:ascii="Rockwell" w:hAnsi="Rockwell"/>
          <w:b/>
          <w:i/>
          <w:color w:val="auto"/>
          <w:sz w:val="26"/>
          <w:szCs w:val="26"/>
        </w:rPr>
        <w:t>dans les médias audiovisuels publics</w:t>
      </w:r>
      <w:bookmarkEnd w:id="330"/>
    </w:p>
    <w:p w14:paraId="7D4FCFD0" w14:textId="77777777" w:rsidR="00733207" w:rsidRDefault="00733207">
      <w:pPr>
        <w:spacing w:before="120" w:after="120" w:line="360" w:lineRule="auto"/>
        <w:jc w:val="both"/>
        <w:rPr>
          <w:rFonts w:ascii="Rockwell" w:hAnsi="Rockwell"/>
          <w:sz w:val="10"/>
          <w:szCs w:val="10"/>
        </w:rPr>
      </w:pPr>
    </w:p>
    <w:p w14:paraId="79E4694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Dans les trois (03) médias publics à savoir les </w:t>
      </w:r>
      <w:r>
        <w:rPr>
          <w:rFonts w:ascii="Rockwell" w:hAnsi="Rockwell" w:cs="Times New Roman"/>
          <w:i/>
          <w:sz w:val="26"/>
          <w:szCs w:val="26"/>
        </w:rPr>
        <w:t xml:space="preserve">radios RTB2 des </w:t>
      </w:r>
      <w:r>
        <w:rPr>
          <w:rFonts w:ascii="Rockwell" w:hAnsi="Rockwell" w:cs="Times New Roman"/>
          <w:sz w:val="26"/>
          <w:szCs w:val="26"/>
        </w:rPr>
        <w:t>Hauts-Bassins, de la Boucle du Mouhoun et du Sud-Ouest, les thèmes abordés par les acteurs sociopolitiques occupent un TA de 17 heures 13 minutes 33 secondes et un TP de 08 heures 51 minutes 11 secondes.</w:t>
      </w:r>
    </w:p>
    <w:p w14:paraId="4AA6C4D8"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Des huit (08) thèmes retenus que sont la </w:t>
      </w:r>
      <w:r>
        <w:rPr>
          <w:rFonts w:ascii="Rockwell" w:hAnsi="Rockwell" w:cs="Times New Roman"/>
          <w:i/>
          <w:sz w:val="26"/>
          <w:szCs w:val="26"/>
        </w:rPr>
        <w:t>politique</w:t>
      </w:r>
      <w:r>
        <w:rPr>
          <w:rFonts w:ascii="Rockwell" w:hAnsi="Rockwell" w:cs="Times New Roman"/>
          <w:sz w:val="26"/>
          <w:szCs w:val="26"/>
        </w:rPr>
        <w:t xml:space="preserve">, la </w:t>
      </w:r>
      <w:r>
        <w:rPr>
          <w:rFonts w:ascii="Rockwell" w:hAnsi="Rockwell" w:cs="Times New Roman"/>
          <w:i/>
          <w:sz w:val="26"/>
          <w:szCs w:val="26"/>
        </w:rPr>
        <w:t>sécurité</w:t>
      </w:r>
      <w:r>
        <w:rPr>
          <w:rFonts w:ascii="Rockwell" w:hAnsi="Rockwell" w:cs="Times New Roman"/>
          <w:sz w:val="26"/>
          <w:szCs w:val="26"/>
        </w:rPr>
        <w:t xml:space="preserve">, la </w:t>
      </w:r>
      <w:r>
        <w:rPr>
          <w:rFonts w:ascii="Rockwell" w:hAnsi="Rockwell" w:cs="Times New Roman"/>
          <w:i/>
          <w:sz w:val="26"/>
          <w:szCs w:val="26"/>
        </w:rPr>
        <w:t>religion</w:t>
      </w:r>
      <w:r>
        <w:rPr>
          <w:rFonts w:ascii="Rockwell" w:hAnsi="Rockwell" w:cs="Times New Roman"/>
          <w:sz w:val="26"/>
          <w:szCs w:val="26"/>
        </w:rPr>
        <w:t xml:space="preserve">, la </w:t>
      </w:r>
      <w:r>
        <w:rPr>
          <w:rFonts w:ascii="Rockwell" w:hAnsi="Rockwell" w:cs="Times New Roman"/>
          <w:i/>
          <w:sz w:val="26"/>
          <w:szCs w:val="26"/>
        </w:rPr>
        <w:t>société</w:t>
      </w:r>
      <w:r>
        <w:rPr>
          <w:rFonts w:ascii="Rockwell" w:hAnsi="Rockwell" w:cs="Times New Roman"/>
          <w:sz w:val="26"/>
          <w:szCs w:val="26"/>
        </w:rPr>
        <w:t>, l’</w:t>
      </w:r>
      <w:r>
        <w:rPr>
          <w:rFonts w:ascii="Rockwell" w:hAnsi="Rockwell" w:cs="Times New Roman"/>
          <w:i/>
          <w:sz w:val="26"/>
          <w:szCs w:val="26"/>
        </w:rPr>
        <w:t>économie</w:t>
      </w:r>
      <w:r>
        <w:rPr>
          <w:rFonts w:ascii="Rockwell" w:hAnsi="Rockwell" w:cs="Times New Roman"/>
          <w:sz w:val="26"/>
          <w:szCs w:val="26"/>
        </w:rPr>
        <w:t xml:space="preserve">, la </w:t>
      </w:r>
      <w:r>
        <w:rPr>
          <w:rFonts w:ascii="Rockwell" w:hAnsi="Rockwell" w:cs="Times New Roman"/>
          <w:i/>
          <w:sz w:val="26"/>
          <w:szCs w:val="26"/>
        </w:rPr>
        <w:t>culture</w:t>
      </w:r>
      <w:r>
        <w:rPr>
          <w:rFonts w:ascii="Rockwell" w:hAnsi="Rockwell" w:cs="Times New Roman"/>
          <w:sz w:val="26"/>
          <w:szCs w:val="26"/>
        </w:rPr>
        <w:t xml:space="preserve">, la </w:t>
      </w:r>
      <w:r>
        <w:rPr>
          <w:rFonts w:ascii="Rockwell" w:hAnsi="Rockwell" w:cs="Times New Roman"/>
          <w:i/>
          <w:sz w:val="26"/>
          <w:szCs w:val="26"/>
        </w:rPr>
        <w:t>santé</w:t>
      </w:r>
      <w:r>
        <w:rPr>
          <w:rFonts w:ascii="Rockwell" w:hAnsi="Rockwell" w:cs="Times New Roman"/>
          <w:sz w:val="26"/>
          <w:szCs w:val="26"/>
        </w:rPr>
        <w:t xml:space="preserve"> et le </w:t>
      </w:r>
      <w:r>
        <w:rPr>
          <w:rFonts w:ascii="Rockwell" w:hAnsi="Rockwell" w:cs="Times New Roman"/>
          <w:i/>
          <w:sz w:val="26"/>
          <w:szCs w:val="26"/>
        </w:rPr>
        <w:t>genre</w:t>
      </w:r>
      <w:r>
        <w:rPr>
          <w:rFonts w:ascii="Rockwell" w:hAnsi="Rockwell" w:cs="Times New Roman"/>
          <w:sz w:val="26"/>
          <w:szCs w:val="26"/>
        </w:rPr>
        <w:t xml:space="preserve">, la thématique politique occupe la première place avec 03 heures 24 minutes 55 secondes de TA, soit un taux de 19,83% et un TP de 01 heure 51 minutes 06 secondes, soit 20,92%. Le thème </w:t>
      </w:r>
      <w:r>
        <w:rPr>
          <w:rFonts w:ascii="Rockwell" w:hAnsi="Rockwell" w:cs="Times New Roman"/>
          <w:i/>
          <w:sz w:val="26"/>
          <w:szCs w:val="26"/>
        </w:rPr>
        <w:t xml:space="preserve">société </w:t>
      </w:r>
      <w:r>
        <w:rPr>
          <w:rFonts w:ascii="Rockwell" w:hAnsi="Rockwell" w:cs="Times New Roman"/>
          <w:sz w:val="26"/>
          <w:szCs w:val="26"/>
        </w:rPr>
        <w:t xml:space="preserve">vient en deuxième position avec 18,57% de TA et 23,08% de TP. Il est suivi de la </w:t>
      </w:r>
      <w:r>
        <w:rPr>
          <w:rFonts w:ascii="Rockwell" w:hAnsi="Rockwell" w:cs="Times New Roman"/>
          <w:i/>
          <w:sz w:val="26"/>
          <w:szCs w:val="26"/>
        </w:rPr>
        <w:t xml:space="preserve">culture </w:t>
      </w:r>
      <w:r>
        <w:rPr>
          <w:rFonts w:ascii="Rockwell" w:hAnsi="Rockwell" w:cs="Times New Roman"/>
          <w:sz w:val="26"/>
          <w:szCs w:val="26"/>
        </w:rPr>
        <w:t>avec 16,62% de TA et 23% de TP. La question sécuritaire avec 12,91% de TA et 14,28% de TP occupe le quatrième rang. Viennent enfin les autres thèmes.</w:t>
      </w:r>
    </w:p>
    <w:p w14:paraId="7ADA7166" w14:textId="77777777" w:rsidR="00733207" w:rsidRDefault="00912BAE">
      <w:pPr>
        <w:spacing w:before="120" w:after="120" w:line="360" w:lineRule="auto"/>
        <w:jc w:val="both"/>
        <w:rPr>
          <w:rFonts w:ascii="Rockwell" w:hAnsi="Rockwell" w:cs="Times New Roman"/>
          <w:i/>
          <w:sz w:val="26"/>
          <w:szCs w:val="26"/>
        </w:rPr>
      </w:pPr>
      <w:r>
        <w:rPr>
          <w:rFonts w:ascii="Rockwell" w:hAnsi="Rockwell" w:cs="Times New Roman"/>
          <w:sz w:val="26"/>
          <w:szCs w:val="26"/>
        </w:rPr>
        <w:t xml:space="preserve">L’appréciation laisse apparaître une pluralité de thèmes abordés avec, toutefois, une large part consacrée aux thématiques </w:t>
      </w:r>
      <w:r>
        <w:rPr>
          <w:rFonts w:ascii="Rockwell" w:hAnsi="Rockwell" w:cs="Times New Roman"/>
          <w:i/>
          <w:sz w:val="26"/>
          <w:szCs w:val="26"/>
        </w:rPr>
        <w:t xml:space="preserve">politique, culture </w:t>
      </w:r>
      <w:r>
        <w:rPr>
          <w:rFonts w:ascii="Rockwell" w:hAnsi="Rockwell" w:cs="Times New Roman"/>
          <w:iCs/>
          <w:sz w:val="26"/>
          <w:szCs w:val="26"/>
        </w:rPr>
        <w:t>et</w:t>
      </w:r>
      <w:r>
        <w:rPr>
          <w:rFonts w:ascii="Rockwell" w:hAnsi="Rockwell" w:cs="Times New Roman"/>
          <w:i/>
          <w:sz w:val="26"/>
          <w:szCs w:val="26"/>
        </w:rPr>
        <w:t xml:space="preserve"> société.</w:t>
      </w:r>
    </w:p>
    <w:p w14:paraId="293D5B94" w14:textId="77777777" w:rsidR="00733207" w:rsidRDefault="00733207">
      <w:pPr>
        <w:spacing w:before="120" w:after="120" w:line="360" w:lineRule="auto"/>
        <w:jc w:val="both"/>
        <w:rPr>
          <w:rFonts w:ascii="Rockwell" w:hAnsi="Rockwell" w:cs="Times New Roman"/>
          <w:sz w:val="26"/>
          <w:szCs w:val="26"/>
        </w:rPr>
      </w:pPr>
    </w:p>
    <w:p w14:paraId="31EF0A9E" w14:textId="77777777" w:rsidR="00733207" w:rsidRDefault="00912BAE">
      <w:pPr>
        <w:pStyle w:val="Titre5"/>
        <w:spacing w:before="120" w:after="120" w:line="360" w:lineRule="auto"/>
        <w:jc w:val="center"/>
        <w:rPr>
          <w:rFonts w:ascii="Rockwell" w:hAnsi="Rockwell"/>
          <w:i w:val="0"/>
          <w:color w:val="auto"/>
          <w:sz w:val="26"/>
          <w:szCs w:val="26"/>
        </w:rPr>
      </w:pPr>
      <w:bookmarkStart w:id="331" w:name="_Toc169855154"/>
      <w:bookmarkStart w:id="332" w:name="_Toc175128523"/>
      <w:r>
        <w:rPr>
          <w:rFonts w:ascii="Rockwell" w:hAnsi="Rockwell"/>
          <w:i w:val="0"/>
          <w:color w:val="auto"/>
          <w:sz w:val="26"/>
          <w:szCs w:val="26"/>
        </w:rPr>
        <w:t>2.2. Statistiques de l’observation des médias audiovisuels privés</w:t>
      </w:r>
      <w:bookmarkEnd w:id="331"/>
      <w:bookmarkEnd w:id="332"/>
    </w:p>
    <w:p w14:paraId="3A771EAC" w14:textId="77777777" w:rsidR="00733207" w:rsidRDefault="00733207">
      <w:pPr>
        <w:spacing w:before="120" w:after="120" w:line="360" w:lineRule="auto"/>
        <w:jc w:val="both"/>
        <w:rPr>
          <w:rFonts w:ascii="Rockwell" w:hAnsi="Rockwell" w:cs="Times New Roman"/>
          <w:sz w:val="6"/>
          <w:szCs w:val="6"/>
        </w:rPr>
      </w:pPr>
    </w:p>
    <w:p w14:paraId="06E08D12" w14:textId="77777777" w:rsidR="00733207" w:rsidRDefault="00912BAE">
      <w:pPr>
        <w:spacing w:before="120" w:after="120" w:line="360" w:lineRule="auto"/>
        <w:jc w:val="both"/>
        <w:rPr>
          <w:rFonts w:ascii="Rockwell" w:hAnsi="Rockwell" w:cs="Times New Roman"/>
          <w:bCs/>
          <w:i/>
          <w:sz w:val="26"/>
          <w:szCs w:val="26"/>
        </w:rPr>
      </w:pPr>
      <w:r>
        <w:rPr>
          <w:rFonts w:ascii="Rockwell" w:hAnsi="Rockwell" w:cs="Times New Roman"/>
          <w:sz w:val="26"/>
          <w:szCs w:val="26"/>
        </w:rPr>
        <w:t>Le pluralisme et l’équilibre de l’information dans le traitement des thèmes retenus ont été observés dans les quatre radios privés que sont </w:t>
      </w:r>
      <w:r>
        <w:rPr>
          <w:rFonts w:ascii="Rockwell" w:hAnsi="Rockwell" w:cs="Times New Roman"/>
          <w:i/>
          <w:sz w:val="26"/>
          <w:szCs w:val="26"/>
        </w:rPr>
        <w:t xml:space="preserve">: </w:t>
      </w:r>
      <w:r>
        <w:rPr>
          <w:rFonts w:ascii="Rockwell" w:hAnsi="Rockwell" w:cs="Times New Roman"/>
          <w:bCs/>
          <w:i/>
          <w:sz w:val="26"/>
          <w:szCs w:val="26"/>
        </w:rPr>
        <w:t>LPC</w:t>
      </w:r>
      <w:r>
        <w:rPr>
          <w:rFonts w:ascii="Rockwell" w:eastAsia="Times New Roman" w:hAnsi="Rockwell" w:cs="Times New Roman"/>
          <w:bCs/>
          <w:i/>
          <w:color w:val="000000"/>
          <w:sz w:val="26"/>
          <w:szCs w:val="26"/>
        </w:rPr>
        <w:t xml:space="preserve">, </w:t>
      </w:r>
      <w:r>
        <w:rPr>
          <w:rFonts w:ascii="Rockwell" w:hAnsi="Rockwell" w:cs="Times New Roman"/>
          <w:bCs/>
          <w:i/>
          <w:sz w:val="26"/>
          <w:szCs w:val="26"/>
        </w:rPr>
        <w:t xml:space="preserve">Omega FM, radio </w:t>
      </w:r>
      <w:proofErr w:type="spellStart"/>
      <w:r>
        <w:rPr>
          <w:rFonts w:ascii="Rockwell" w:hAnsi="Rockwell" w:cs="Times New Roman"/>
          <w:bCs/>
          <w:i/>
          <w:sz w:val="26"/>
          <w:szCs w:val="26"/>
        </w:rPr>
        <w:t>Salaki</w:t>
      </w:r>
      <w:proofErr w:type="spellEnd"/>
      <w:r>
        <w:rPr>
          <w:rFonts w:ascii="Rockwell" w:eastAsia="Times New Roman" w:hAnsi="Rockwell" w:cs="Times New Roman"/>
          <w:bCs/>
          <w:i/>
          <w:color w:val="000000"/>
          <w:sz w:val="26"/>
          <w:szCs w:val="26"/>
        </w:rPr>
        <w:t xml:space="preserve"> et </w:t>
      </w:r>
      <w:r>
        <w:rPr>
          <w:rFonts w:ascii="Rockwell" w:hAnsi="Rockwell" w:cs="Times New Roman"/>
          <w:bCs/>
          <w:i/>
          <w:sz w:val="26"/>
          <w:szCs w:val="26"/>
        </w:rPr>
        <w:t xml:space="preserve">Fréquence </w:t>
      </w:r>
      <w:commentRangeStart w:id="333"/>
      <w:r>
        <w:rPr>
          <w:rFonts w:ascii="Rockwell" w:hAnsi="Rockwell" w:cs="Times New Roman"/>
          <w:bCs/>
          <w:i/>
          <w:sz w:val="26"/>
          <w:szCs w:val="26"/>
        </w:rPr>
        <w:t>Espoir</w:t>
      </w:r>
      <w:commentRangeEnd w:id="333"/>
      <w:r>
        <w:rPr>
          <w:rStyle w:val="Marquedecommentaire"/>
          <w:rFonts w:ascii="Calibri" w:eastAsia="Calibri" w:hAnsi="Calibri" w:cs="Times New Roman"/>
          <w:lang w:eastAsia="fr-FR"/>
        </w:rPr>
        <w:commentReference w:id="333"/>
      </w:r>
      <w:r>
        <w:rPr>
          <w:rFonts w:ascii="Rockwell" w:hAnsi="Rockwell" w:cs="Times New Roman"/>
          <w:bCs/>
          <w:i/>
          <w:sz w:val="26"/>
          <w:szCs w:val="26"/>
        </w:rPr>
        <w:t>.</w:t>
      </w:r>
    </w:p>
    <w:p w14:paraId="6F90A42F" w14:textId="77777777" w:rsidR="00733207" w:rsidRDefault="00733207">
      <w:pPr>
        <w:spacing w:before="120" w:after="120" w:line="360" w:lineRule="auto"/>
        <w:jc w:val="both"/>
        <w:rPr>
          <w:rFonts w:ascii="Rockwell" w:hAnsi="Rockwell" w:cs="Times New Roman"/>
          <w:bCs/>
          <w:i/>
          <w:sz w:val="26"/>
          <w:szCs w:val="26"/>
        </w:rPr>
      </w:pPr>
    </w:p>
    <w:p w14:paraId="10046199" w14:textId="77777777" w:rsidR="00733207" w:rsidRDefault="00733207">
      <w:pPr>
        <w:spacing w:before="120" w:after="120" w:line="360" w:lineRule="auto"/>
        <w:jc w:val="both"/>
        <w:rPr>
          <w:rFonts w:ascii="Rockwell" w:hAnsi="Rockwell" w:cs="Times New Roman"/>
          <w:sz w:val="26"/>
          <w:szCs w:val="26"/>
        </w:rPr>
        <w:sectPr w:rsidR="00733207">
          <w:pgSz w:w="11906" w:h="16838"/>
          <w:pgMar w:top="1417" w:right="1417" w:bottom="1417" w:left="1417" w:header="708" w:footer="708" w:gutter="0"/>
          <w:cols w:space="708"/>
          <w:docGrid w:linePitch="360"/>
        </w:sectPr>
      </w:pPr>
    </w:p>
    <w:p w14:paraId="24BDE58C" w14:textId="77777777" w:rsidR="00733207" w:rsidRDefault="00912BAE">
      <w:pPr>
        <w:spacing w:before="120" w:after="120" w:line="360" w:lineRule="auto"/>
        <w:ind w:left="1418"/>
        <w:jc w:val="center"/>
        <w:rPr>
          <w:rFonts w:ascii="Rockwell" w:hAnsi="Rockwell"/>
          <w:i/>
        </w:rPr>
      </w:pPr>
      <w:r>
        <w:rPr>
          <w:rFonts w:ascii="Rockwell" w:hAnsi="Rockwell"/>
          <w:b/>
          <w:i/>
          <w:u w:val="single"/>
        </w:rPr>
        <w:lastRenderedPageBreak/>
        <w:t>Tableau 24</w:t>
      </w:r>
      <w:r>
        <w:rPr>
          <w:rFonts w:ascii="Rockwell" w:hAnsi="Rockwell"/>
          <w:i/>
          <w:u w:val="single"/>
        </w:rPr>
        <w:t xml:space="preserve"> </w:t>
      </w:r>
      <w:r>
        <w:rPr>
          <w:rFonts w:ascii="Rockwell" w:hAnsi="Rockwell"/>
          <w:i/>
        </w:rPr>
        <w:t xml:space="preserve">: </w:t>
      </w:r>
      <w:r>
        <w:rPr>
          <w:rFonts w:ascii="Rockwell" w:hAnsi="Rockwell" w:cs="Times New Roman"/>
          <w:i/>
        </w:rPr>
        <w:t>Synthèse des TA et TP obtenus par les acteurs sociopolitiques</w:t>
      </w:r>
      <w:r>
        <w:rPr>
          <w:rFonts w:ascii="Rockwell" w:hAnsi="Rockwell"/>
          <w:i/>
        </w:rPr>
        <w:t xml:space="preserve"> dans les radios privées</w:t>
      </w:r>
    </w:p>
    <w:p w14:paraId="241BF48B" w14:textId="77777777" w:rsidR="00733207" w:rsidRDefault="00733207">
      <w:pPr>
        <w:spacing w:before="120" w:after="120" w:line="360" w:lineRule="auto"/>
        <w:jc w:val="both"/>
        <w:rPr>
          <w:rFonts w:ascii="Rockwell" w:hAnsi="Rockwell"/>
          <w:b/>
          <w:sz w:val="10"/>
          <w:szCs w:val="10"/>
          <w:u w:val="single"/>
        </w:rPr>
      </w:pPr>
    </w:p>
    <w:tbl>
      <w:tblPr>
        <w:tblW w:w="12530" w:type="dxa"/>
        <w:jc w:val="center"/>
        <w:tblLayout w:type="fixed"/>
        <w:tblCellMar>
          <w:left w:w="70" w:type="dxa"/>
          <w:right w:w="70" w:type="dxa"/>
        </w:tblCellMar>
        <w:tblLook w:val="04A0" w:firstRow="1" w:lastRow="0" w:firstColumn="1" w:lastColumn="0" w:noHBand="0" w:noVBand="1"/>
      </w:tblPr>
      <w:tblGrid>
        <w:gridCol w:w="2002"/>
        <w:gridCol w:w="1238"/>
        <w:gridCol w:w="1238"/>
        <w:gridCol w:w="1393"/>
        <w:gridCol w:w="1085"/>
        <w:gridCol w:w="1238"/>
        <w:gridCol w:w="1548"/>
        <w:gridCol w:w="1238"/>
        <w:gridCol w:w="1550"/>
      </w:tblGrid>
      <w:tr w:rsidR="00733207" w14:paraId="4B7F5369" w14:textId="77777777">
        <w:trPr>
          <w:trHeight w:val="349"/>
          <w:jc w:val="center"/>
        </w:trPr>
        <w:tc>
          <w:tcPr>
            <w:tcW w:w="2002" w:type="dxa"/>
            <w:tcBorders>
              <w:top w:val="single" w:sz="8" w:space="0" w:color="000000"/>
              <w:left w:val="single" w:sz="8" w:space="0" w:color="000000"/>
              <w:bottom w:val="nil"/>
              <w:right w:val="single" w:sz="8" w:space="0" w:color="000000"/>
              <w:tl2br w:val="single" w:sz="4" w:space="0" w:color="auto"/>
            </w:tcBorders>
            <w:shd w:val="clear" w:color="auto" w:fill="auto"/>
            <w:vAlign w:val="center"/>
          </w:tcPr>
          <w:p w14:paraId="5F813350"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ORGANES</w:t>
            </w:r>
          </w:p>
        </w:tc>
        <w:tc>
          <w:tcPr>
            <w:tcW w:w="4954" w:type="dxa"/>
            <w:gridSpan w:val="4"/>
            <w:tcBorders>
              <w:top w:val="single" w:sz="8" w:space="0" w:color="000000"/>
              <w:left w:val="nil"/>
              <w:bottom w:val="single" w:sz="8" w:space="0" w:color="000000"/>
              <w:right w:val="single" w:sz="8" w:space="0" w:color="000000"/>
            </w:tcBorders>
            <w:shd w:val="clear" w:color="auto" w:fill="auto"/>
            <w:vAlign w:val="center"/>
          </w:tcPr>
          <w:p w14:paraId="7A9A7474"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Radio LPC</w:t>
            </w:r>
          </w:p>
        </w:tc>
        <w:tc>
          <w:tcPr>
            <w:tcW w:w="5574" w:type="dxa"/>
            <w:gridSpan w:val="4"/>
            <w:tcBorders>
              <w:top w:val="single" w:sz="8" w:space="0" w:color="000000"/>
              <w:left w:val="nil"/>
              <w:bottom w:val="single" w:sz="8" w:space="0" w:color="000000"/>
              <w:right w:val="single" w:sz="8" w:space="0" w:color="000000"/>
            </w:tcBorders>
            <w:shd w:val="clear" w:color="auto" w:fill="auto"/>
            <w:vAlign w:val="center"/>
          </w:tcPr>
          <w:p w14:paraId="127271A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Radio Omega</w:t>
            </w:r>
          </w:p>
        </w:tc>
      </w:tr>
      <w:tr w:rsidR="00733207" w14:paraId="54C640D6" w14:textId="77777777">
        <w:trPr>
          <w:trHeight w:val="927"/>
          <w:jc w:val="center"/>
        </w:trPr>
        <w:tc>
          <w:tcPr>
            <w:tcW w:w="2002" w:type="dxa"/>
            <w:tcBorders>
              <w:top w:val="nil"/>
              <w:left w:val="single" w:sz="8" w:space="0" w:color="000000"/>
              <w:bottom w:val="single" w:sz="8" w:space="0" w:color="000000"/>
              <w:right w:val="single" w:sz="8" w:space="0" w:color="000000"/>
              <w:tl2br w:val="single" w:sz="4" w:space="0" w:color="auto"/>
            </w:tcBorders>
            <w:shd w:val="clear" w:color="auto" w:fill="auto"/>
            <w:vAlign w:val="center"/>
          </w:tcPr>
          <w:p w14:paraId="6EAFB603" w14:textId="77777777" w:rsidR="00733207" w:rsidRDefault="00912BAE">
            <w:pPr>
              <w:spacing w:before="120" w:after="120" w:line="360" w:lineRule="auto"/>
              <w:ind w:firstLineChars="200" w:firstLine="482"/>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THEMES</w:t>
            </w:r>
          </w:p>
        </w:tc>
        <w:tc>
          <w:tcPr>
            <w:tcW w:w="1238" w:type="dxa"/>
            <w:tcBorders>
              <w:top w:val="nil"/>
              <w:left w:val="nil"/>
              <w:bottom w:val="single" w:sz="8" w:space="0" w:color="000000"/>
              <w:right w:val="single" w:sz="8" w:space="0" w:color="000000"/>
            </w:tcBorders>
            <w:shd w:val="clear" w:color="auto" w:fill="auto"/>
            <w:vAlign w:val="center"/>
          </w:tcPr>
          <w:p w14:paraId="65E68D3E"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238" w:type="dxa"/>
            <w:tcBorders>
              <w:top w:val="nil"/>
              <w:left w:val="nil"/>
              <w:bottom w:val="single" w:sz="8" w:space="0" w:color="000000"/>
              <w:right w:val="single" w:sz="8" w:space="0" w:color="000000"/>
            </w:tcBorders>
            <w:shd w:val="clear" w:color="auto" w:fill="auto"/>
            <w:vAlign w:val="center"/>
          </w:tcPr>
          <w:p w14:paraId="58C582F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393" w:type="dxa"/>
            <w:tcBorders>
              <w:top w:val="nil"/>
              <w:left w:val="nil"/>
              <w:bottom w:val="single" w:sz="8" w:space="0" w:color="000000"/>
              <w:right w:val="single" w:sz="8" w:space="0" w:color="000000"/>
            </w:tcBorders>
            <w:shd w:val="clear" w:color="auto" w:fill="auto"/>
            <w:vAlign w:val="center"/>
          </w:tcPr>
          <w:p w14:paraId="2C3E8989"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083" w:type="dxa"/>
            <w:tcBorders>
              <w:top w:val="nil"/>
              <w:left w:val="nil"/>
              <w:bottom w:val="single" w:sz="8" w:space="0" w:color="000000"/>
              <w:right w:val="single" w:sz="8" w:space="0" w:color="000000"/>
            </w:tcBorders>
            <w:shd w:val="clear" w:color="auto" w:fill="auto"/>
            <w:vAlign w:val="center"/>
          </w:tcPr>
          <w:p w14:paraId="762F290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238" w:type="dxa"/>
            <w:tcBorders>
              <w:top w:val="nil"/>
              <w:left w:val="nil"/>
              <w:bottom w:val="single" w:sz="8" w:space="0" w:color="000000"/>
              <w:right w:val="single" w:sz="8" w:space="0" w:color="000000"/>
            </w:tcBorders>
            <w:shd w:val="clear" w:color="auto" w:fill="auto"/>
            <w:vAlign w:val="center"/>
          </w:tcPr>
          <w:p w14:paraId="0A44FC3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548" w:type="dxa"/>
            <w:tcBorders>
              <w:top w:val="nil"/>
              <w:left w:val="nil"/>
              <w:bottom w:val="single" w:sz="8" w:space="0" w:color="000000"/>
              <w:right w:val="single" w:sz="8" w:space="0" w:color="000000"/>
            </w:tcBorders>
            <w:shd w:val="clear" w:color="auto" w:fill="auto"/>
            <w:vAlign w:val="center"/>
          </w:tcPr>
          <w:p w14:paraId="138C460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238" w:type="dxa"/>
            <w:tcBorders>
              <w:top w:val="nil"/>
              <w:left w:val="nil"/>
              <w:bottom w:val="single" w:sz="8" w:space="0" w:color="000000"/>
              <w:right w:val="single" w:sz="8" w:space="0" w:color="auto"/>
            </w:tcBorders>
            <w:shd w:val="clear" w:color="auto" w:fill="auto"/>
            <w:vAlign w:val="center"/>
          </w:tcPr>
          <w:p w14:paraId="0766A2E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547" w:type="dxa"/>
            <w:tcBorders>
              <w:top w:val="nil"/>
              <w:left w:val="nil"/>
              <w:bottom w:val="single" w:sz="8" w:space="0" w:color="000000"/>
              <w:right w:val="single" w:sz="8" w:space="0" w:color="auto"/>
            </w:tcBorders>
            <w:shd w:val="clear" w:color="auto" w:fill="auto"/>
            <w:vAlign w:val="center"/>
          </w:tcPr>
          <w:p w14:paraId="078357A6"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r>
      <w:tr w:rsidR="00733207" w14:paraId="666B1D59" w14:textId="77777777">
        <w:trPr>
          <w:trHeight w:val="349"/>
          <w:jc w:val="center"/>
        </w:trPr>
        <w:tc>
          <w:tcPr>
            <w:tcW w:w="2002" w:type="dxa"/>
            <w:tcBorders>
              <w:top w:val="nil"/>
              <w:left w:val="single" w:sz="8" w:space="0" w:color="000000"/>
              <w:bottom w:val="single" w:sz="8" w:space="0" w:color="000000"/>
              <w:right w:val="single" w:sz="8" w:space="0" w:color="000000"/>
            </w:tcBorders>
            <w:shd w:val="clear" w:color="auto" w:fill="auto"/>
            <w:vAlign w:val="center"/>
          </w:tcPr>
          <w:p w14:paraId="54B24129"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Politique</w:t>
            </w:r>
          </w:p>
        </w:tc>
        <w:tc>
          <w:tcPr>
            <w:tcW w:w="1238" w:type="dxa"/>
            <w:tcBorders>
              <w:top w:val="nil"/>
              <w:left w:val="nil"/>
              <w:bottom w:val="single" w:sz="8" w:space="0" w:color="000000"/>
              <w:right w:val="single" w:sz="8" w:space="0" w:color="000000"/>
            </w:tcBorders>
            <w:shd w:val="clear" w:color="auto" w:fill="auto"/>
            <w:vAlign w:val="center"/>
          </w:tcPr>
          <w:p w14:paraId="557A9F8E"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03:</w:t>
            </w:r>
            <w:proofErr w:type="gramEnd"/>
            <w:r>
              <w:rPr>
                <w:rFonts w:ascii="Rockwell" w:eastAsia="Times New Roman" w:hAnsi="Rockwell" w:cs="Times New Roman"/>
                <w:color w:val="000000"/>
                <w:sz w:val="24"/>
                <w:szCs w:val="24"/>
              </w:rPr>
              <w:t>16:24</w:t>
            </w:r>
          </w:p>
        </w:tc>
        <w:tc>
          <w:tcPr>
            <w:tcW w:w="1238" w:type="dxa"/>
            <w:tcBorders>
              <w:top w:val="nil"/>
              <w:left w:val="nil"/>
              <w:bottom w:val="single" w:sz="8" w:space="0" w:color="000000"/>
              <w:right w:val="single" w:sz="8" w:space="0" w:color="000000"/>
            </w:tcBorders>
            <w:shd w:val="clear" w:color="auto" w:fill="auto"/>
            <w:vAlign w:val="center"/>
          </w:tcPr>
          <w:p w14:paraId="5C47E65F"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29,71%</w:t>
            </w:r>
          </w:p>
        </w:tc>
        <w:tc>
          <w:tcPr>
            <w:tcW w:w="1393" w:type="dxa"/>
            <w:tcBorders>
              <w:top w:val="nil"/>
              <w:left w:val="nil"/>
              <w:bottom w:val="single" w:sz="8" w:space="0" w:color="000000"/>
              <w:right w:val="single" w:sz="8" w:space="0" w:color="000000"/>
            </w:tcBorders>
            <w:shd w:val="clear" w:color="auto" w:fill="auto"/>
            <w:vAlign w:val="center"/>
          </w:tcPr>
          <w:p w14:paraId="4D5DB7E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28:12</w:t>
            </w:r>
          </w:p>
        </w:tc>
        <w:tc>
          <w:tcPr>
            <w:tcW w:w="1083" w:type="dxa"/>
            <w:tcBorders>
              <w:top w:val="nil"/>
              <w:left w:val="nil"/>
              <w:bottom w:val="single" w:sz="8" w:space="0" w:color="000000"/>
              <w:right w:val="single" w:sz="8" w:space="0" w:color="000000"/>
            </w:tcBorders>
            <w:shd w:val="clear" w:color="auto" w:fill="auto"/>
            <w:vAlign w:val="center"/>
          </w:tcPr>
          <w:p w14:paraId="1F65209E"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22,35%</w:t>
            </w:r>
          </w:p>
        </w:tc>
        <w:tc>
          <w:tcPr>
            <w:tcW w:w="1238" w:type="dxa"/>
            <w:tcBorders>
              <w:top w:val="nil"/>
              <w:left w:val="nil"/>
              <w:bottom w:val="single" w:sz="8" w:space="0" w:color="000000"/>
              <w:right w:val="single" w:sz="8" w:space="0" w:color="000000"/>
            </w:tcBorders>
            <w:shd w:val="clear" w:color="auto" w:fill="auto"/>
            <w:vAlign w:val="center"/>
          </w:tcPr>
          <w:p w14:paraId="05A0FF0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03:</w:t>
            </w:r>
            <w:proofErr w:type="gramEnd"/>
            <w:r>
              <w:rPr>
                <w:rFonts w:ascii="Rockwell" w:eastAsia="Times New Roman" w:hAnsi="Rockwell" w:cs="Times New Roman"/>
                <w:color w:val="000000"/>
                <w:sz w:val="24"/>
                <w:szCs w:val="24"/>
              </w:rPr>
              <w:t>45:12</w:t>
            </w:r>
          </w:p>
        </w:tc>
        <w:tc>
          <w:tcPr>
            <w:tcW w:w="1548" w:type="dxa"/>
            <w:tcBorders>
              <w:top w:val="nil"/>
              <w:left w:val="nil"/>
              <w:bottom w:val="single" w:sz="8" w:space="0" w:color="000000"/>
              <w:right w:val="single" w:sz="8" w:space="0" w:color="000000"/>
            </w:tcBorders>
            <w:shd w:val="clear" w:color="auto" w:fill="auto"/>
            <w:vAlign w:val="center"/>
          </w:tcPr>
          <w:p w14:paraId="0C638649"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32,53%</w:t>
            </w:r>
          </w:p>
        </w:tc>
        <w:tc>
          <w:tcPr>
            <w:tcW w:w="1238" w:type="dxa"/>
            <w:tcBorders>
              <w:top w:val="nil"/>
              <w:left w:val="nil"/>
              <w:bottom w:val="single" w:sz="8" w:space="0" w:color="000000"/>
              <w:right w:val="single" w:sz="8" w:space="0" w:color="auto"/>
            </w:tcBorders>
            <w:shd w:val="clear" w:color="auto" w:fill="auto"/>
            <w:vAlign w:val="center"/>
          </w:tcPr>
          <w:p w14:paraId="6123457B"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02:</w:t>
            </w:r>
            <w:proofErr w:type="gramEnd"/>
            <w:r>
              <w:rPr>
                <w:rFonts w:ascii="Rockwell" w:eastAsia="Times New Roman" w:hAnsi="Rockwell" w:cs="Times New Roman"/>
                <w:b/>
                <w:bCs/>
                <w:color w:val="000000"/>
                <w:sz w:val="24"/>
                <w:szCs w:val="24"/>
              </w:rPr>
              <w:t>16:33</w:t>
            </w:r>
          </w:p>
        </w:tc>
        <w:tc>
          <w:tcPr>
            <w:tcW w:w="1547" w:type="dxa"/>
            <w:tcBorders>
              <w:top w:val="nil"/>
              <w:left w:val="nil"/>
              <w:bottom w:val="single" w:sz="8" w:space="0" w:color="000000"/>
              <w:right w:val="single" w:sz="8" w:space="0" w:color="auto"/>
            </w:tcBorders>
            <w:shd w:val="clear" w:color="auto" w:fill="auto"/>
            <w:vAlign w:val="center"/>
          </w:tcPr>
          <w:p w14:paraId="212D6AE8"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28,61%</w:t>
            </w:r>
          </w:p>
        </w:tc>
      </w:tr>
      <w:tr w:rsidR="00733207" w14:paraId="62880A62" w14:textId="77777777">
        <w:trPr>
          <w:trHeight w:val="349"/>
          <w:jc w:val="center"/>
        </w:trPr>
        <w:tc>
          <w:tcPr>
            <w:tcW w:w="2002" w:type="dxa"/>
            <w:tcBorders>
              <w:top w:val="nil"/>
              <w:left w:val="single" w:sz="8" w:space="0" w:color="000000"/>
              <w:bottom w:val="single" w:sz="8" w:space="0" w:color="000000"/>
              <w:right w:val="single" w:sz="8" w:space="0" w:color="000000"/>
            </w:tcBorders>
            <w:shd w:val="clear" w:color="auto" w:fill="auto"/>
            <w:vAlign w:val="center"/>
          </w:tcPr>
          <w:p w14:paraId="3651BBB8"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Sécurité</w:t>
            </w:r>
          </w:p>
        </w:tc>
        <w:tc>
          <w:tcPr>
            <w:tcW w:w="1238" w:type="dxa"/>
            <w:tcBorders>
              <w:top w:val="nil"/>
              <w:left w:val="nil"/>
              <w:bottom w:val="single" w:sz="8" w:space="0" w:color="000000"/>
              <w:right w:val="single" w:sz="8" w:space="0" w:color="000000"/>
            </w:tcBorders>
            <w:shd w:val="clear" w:color="auto" w:fill="auto"/>
            <w:vAlign w:val="center"/>
          </w:tcPr>
          <w:p w14:paraId="789B5A42"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19:20</w:t>
            </w:r>
          </w:p>
        </w:tc>
        <w:tc>
          <w:tcPr>
            <w:tcW w:w="1238" w:type="dxa"/>
            <w:tcBorders>
              <w:top w:val="nil"/>
              <w:left w:val="nil"/>
              <w:bottom w:val="single" w:sz="8" w:space="0" w:color="000000"/>
              <w:right w:val="single" w:sz="8" w:space="0" w:color="000000"/>
            </w:tcBorders>
            <w:shd w:val="clear" w:color="auto" w:fill="auto"/>
            <w:vAlign w:val="center"/>
          </w:tcPr>
          <w:p w14:paraId="7AE27CB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12,00%</w:t>
            </w:r>
          </w:p>
        </w:tc>
        <w:tc>
          <w:tcPr>
            <w:tcW w:w="1393" w:type="dxa"/>
            <w:tcBorders>
              <w:top w:val="nil"/>
              <w:left w:val="nil"/>
              <w:bottom w:val="single" w:sz="8" w:space="0" w:color="000000"/>
              <w:right w:val="single" w:sz="8" w:space="0" w:color="000000"/>
            </w:tcBorders>
            <w:shd w:val="clear" w:color="auto" w:fill="auto"/>
            <w:vAlign w:val="center"/>
          </w:tcPr>
          <w:p w14:paraId="5DD6E06D"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49:55</w:t>
            </w:r>
          </w:p>
        </w:tc>
        <w:tc>
          <w:tcPr>
            <w:tcW w:w="1083" w:type="dxa"/>
            <w:tcBorders>
              <w:top w:val="nil"/>
              <w:left w:val="nil"/>
              <w:bottom w:val="single" w:sz="8" w:space="0" w:color="000000"/>
              <w:right w:val="single" w:sz="8" w:space="0" w:color="000000"/>
            </w:tcBorders>
            <w:shd w:val="clear" w:color="auto" w:fill="auto"/>
            <w:vAlign w:val="center"/>
          </w:tcPr>
          <w:p w14:paraId="176CAA1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12,65%</w:t>
            </w:r>
          </w:p>
        </w:tc>
        <w:tc>
          <w:tcPr>
            <w:tcW w:w="1238" w:type="dxa"/>
            <w:tcBorders>
              <w:top w:val="nil"/>
              <w:left w:val="nil"/>
              <w:bottom w:val="single" w:sz="8" w:space="0" w:color="000000"/>
              <w:right w:val="single" w:sz="8" w:space="0" w:color="000000"/>
            </w:tcBorders>
            <w:shd w:val="clear" w:color="auto" w:fill="auto"/>
            <w:vAlign w:val="center"/>
          </w:tcPr>
          <w:p w14:paraId="3EC6DF52"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39:17</w:t>
            </w:r>
          </w:p>
        </w:tc>
        <w:tc>
          <w:tcPr>
            <w:tcW w:w="1548" w:type="dxa"/>
            <w:tcBorders>
              <w:top w:val="nil"/>
              <w:left w:val="nil"/>
              <w:bottom w:val="single" w:sz="8" w:space="0" w:color="000000"/>
              <w:right w:val="single" w:sz="8" w:space="0" w:color="000000"/>
            </w:tcBorders>
            <w:shd w:val="clear" w:color="auto" w:fill="auto"/>
            <w:vAlign w:val="center"/>
          </w:tcPr>
          <w:p w14:paraId="6E721CE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23,01%</w:t>
            </w:r>
          </w:p>
        </w:tc>
        <w:tc>
          <w:tcPr>
            <w:tcW w:w="1238" w:type="dxa"/>
            <w:tcBorders>
              <w:top w:val="nil"/>
              <w:left w:val="nil"/>
              <w:bottom w:val="single" w:sz="8" w:space="0" w:color="000000"/>
              <w:right w:val="single" w:sz="8" w:space="0" w:color="auto"/>
            </w:tcBorders>
            <w:shd w:val="clear" w:color="auto" w:fill="auto"/>
            <w:vAlign w:val="center"/>
          </w:tcPr>
          <w:p w14:paraId="2ACB10F9"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18:19</w:t>
            </w:r>
          </w:p>
        </w:tc>
        <w:tc>
          <w:tcPr>
            <w:tcW w:w="1547" w:type="dxa"/>
            <w:tcBorders>
              <w:top w:val="nil"/>
              <w:left w:val="nil"/>
              <w:bottom w:val="single" w:sz="8" w:space="0" w:color="000000"/>
              <w:right w:val="single" w:sz="8" w:space="0" w:color="auto"/>
            </w:tcBorders>
            <w:shd w:val="clear" w:color="auto" w:fill="auto"/>
            <w:vAlign w:val="center"/>
          </w:tcPr>
          <w:p w14:paraId="4B56F87F"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28,98%</w:t>
            </w:r>
          </w:p>
        </w:tc>
      </w:tr>
      <w:tr w:rsidR="00733207" w14:paraId="040E44B9" w14:textId="77777777">
        <w:trPr>
          <w:trHeight w:val="349"/>
          <w:jc w:val="center"/>
        </w:trPr>
        <w:tc>
          <w:tcPr>
            <w:tcW w:w="2002" w:type="dxa"/>
            <w:tcBorders>
              <w:top w:val="nil"/>
              <w:left w:val="single" w:sz="8" w:space="0" w:color="000000"/>
              <w:bottom w:val="single" w:sz="8" w:space="0" w:color="000000"/>
              <w:right w:val="single" w:sz="8" w:space="0" w:color="000000"/>
            </w:tcBorders>
            <w:shd w:val="clear" w:color="auto" w:fill="auto"/>
            <w:vAlign w:val="center"/>
          </w:tcPr>
          <w:p w14:paraId="1803412C"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Religion</w:t>
            </w:r>
          </w:p>
        </w:tc>
        <w:tc>
          <w:tcPr>
            <w:tcW w:w="1238" w:type="dxa"/>
            <w:tcBorders>
              <w:top w:val="nil"/>
              <w:left w:val="nil"/>
              <w:bottom w:val="single" w:sz="8" w:space="0" w:color="000000"/>
              <w:right w:val="single" w:sz="8" w:space="0" w:color="000000"/>
            </w:tcBorders>
            <w:shd w:val="clear" w:color="auto" w:fill="auto"/>
            <w:vAlign w:val="center"/>
          </w:tcPr>
          <w:p w14:paraId="4FE7FA3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w:t>
            </w:r>
            <w:proofErr w:type="gramEnd"/>
            <w:r>
              <w:rPr>
                <w:rFonts w:ascii="Rockwell" w:eastAsia="Times New Roman" w:hAnsi="Rockwell" w:cs="Times New Roman"/>
                <w:color w:val="000000"/>
                <w:sz w:val="24"/>
                <w:szCs w:val="24"/>
              </w:rPr>
              <w:t>35:55</w:t>
            </w:r>
          </w:p>
        </w:tc>
        <w:tc>
          <w:tcPr>
            <w:tcW w:w="1238" w:type="dxa"/>
            <w:tcBorders>
              <w:top w:val="nil"/>
              <w:left w:val="nil"/>
              <w:bottom w:val="single" w:sz="8" w:space="0" w:color="000000"/>
              <w:right w:val="single" w:sz="8" w:space="0" w:color="000000"/>
            </w:tcBorders>
            <w:shd w:val="clear" w:color="auto" w:fill="auto"/>
            <w:vAlign w:val="center"/>
          </w:tcPr>
          <w:p w14:paraId="117709E4"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5,43%</w:t>
            </w:r>
          </w:p>
        </w:tc>
        <w:tc>
          <w:tcPr>
            <w:tcW w:w="1393" w:type="dxa"/>
            <w:tcBorders>
              <w:top w:val="nil"/>
              <w:left w:val="nil"/>
              <w:bottom w:val="single" w:sz="8" w:space="0" w:color="000000"/>
              <w:right w:val="single" w:sz="8" w:space="0" w:color="000000"/>
            </w:tcBorders>
            <w:shd w:val="clear" w:color="auto" w:fill="auto"/>
            <w:vAlign w:val="center"/>
          </w:tcPr>
          <w:p w14:paraId="1EC3379D"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22:16</w:t>
            </w:r>
          </w:p>
        </w:tc>
        <w:tc>
          <w:tcPr>
            <w:tcW w:w="1083" w:type="dxa"/>
            <w:tcBorders>
              <w:top w:val="nil"/>
              <w:left w:val="nil"/>
              <w:bottom w:val="single" w:sz="8" w:space="0" w:color="000000"/>
              <w:right w:val="single" w:sz="8" w:space="0" w:color="000000"/>
            </w:tcBorders>
            <w:shd w:val="clear" w:color="auto" w:fill="auto"/>
            <w:vAlign w:val="center"/>
          </w:tcPr>
          <w:p w14:paraId="423935F6"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5,64%</w:t>
            </w:r>
          </w:p>
        </w:tc>
        <w:tc>
          <w:tcPr>
            <w:tcW w:w="1238" w:type="dxa"/>
            <w:tcBorders>
              <w:top w:val="nil"/>
              <w:left w:val="nil"/>
              <w:bottom w:val="single" w:sz="8" w:space="0" w:color="000000"/>
              <w:right w:val="single" w:sz="8" w:space="0" w:color="000000"/>
            </w:tcBorders>
            <w:shd w:val="clear" w:color="auto" w:fill="auto"/>
            <w:vAlign w:val="center"/>
          </w:tcPr>
          <w:p w14:paraId="27D7F37D"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26:15</w:t>
            </w:r>
          </w:p>
        </w:tc>
        <w:tc>
          <w:tcPr>
            <w:tcW w:w="1548" w:type="dxa"/>
            <w:tcBorders>
              <w:top w:val="nil"/>
              <w:left w:val="nil"/>
              <w:bottom w:val="single" w:sz="8" w:space="0" w:color="000000"/>
              <w:right w:val="single" w:sz="8" w:space="0" w:color="000000"/>
            </w:tcBorders>
            <w:shd w:val="clear" w:color="auto" w:fill="auto"/>
            <w:vAlign w:val="center"/>
          </w:tcPr>
          <w:p w14:paraId="22A4C31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3,79%</w:t>
            </w:r>
          </w:p>
        </w:tc>
        <w:tc>
          <w:tcPr>
            <w:tcW w:w="1238" w:type="dxa"/>
            <w:tcBorders>
              <w:top w:val="nil"/>
              <w:left w:val="nil"/>
              <w:bottom w:val="single" w:sz="8" w:space="0" w:color="000000"/>
              <w:right w:val="single" w:sz="8" w:space="0" w:color="auto"/>
            </w:tcBorders>
            <w:shd w:val="clear" w:color="auto" w:fill="auto"/>
            <w:vAlign w:val="center"/>
          </w:tcPr>
          <w:p w14:paraId="25DC806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09:40</w:t>
            </w:r>
          </w:p>
        </w:tc>
        <w:tc>
          <w:tcPr>
            <w:tcW w:w="1547" w:type="dxa"/>
            <w:tcBorders>
              <w:top w:val="nil"/>
              <w:left w:val="nil"/>
              <w:bottom w:val="single" w:sz="8" w:space="0" w:color="000000"/>
              <w:right w:val="single" w:sz="8" w:space="0" w:color="auto"/>
            </w:tcBorders>
            <w:shd w:val="clear" w:color="auto" w:fill="auto"/>
            <w:vAlign w:val="center"/>
          </w:tcPr>
          <w:p w14:paraId="1735BFDD"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2,03%</w:t>
            </w:r>
          </w:p>
        </w:tc>
      </w:tr>
      <w:tr w:rsidR="00733207" w14:paraId="5421D647" w14:textId="77777777">
        <w:trPr>
          <w:trHeight w:val="349"/>
          <w:jc w:val="center"/>
        </w:trPr>
        <w:tc>
          <w:tcPr>
            <w:tcW w:w="2002" w:type="dxa"/>
            <w:tcBorders>
              <w:top w:val="nil"/>
              <w:left w:val="single" w:sz="8" w:space="0" w:color="000000"/>
              <w:bottom w:val="single" w:sz="8" w:space="0" w:color="000000"/>
              <w:right w:val="single" w:sz="8" w:space="0" w:color="000000"/>
            </w:tcBorders>
            <w:shd w:val="clear" w:color="auto" w:fill="auto"/>
            <w:vAlign w:val="center"/>
          </w:tcPr>
          <w:p w14:paraId="326F32F7"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Société</w:t>
            </w:r>
          </w:p>
        </w:tc>
        <w:tc>
          <w:tcPr>
            <w:tcW w:w="1238" w:type="dxa"/>
            <w:tcBorders>
              <w:top w:val="nil"/>
              <w:left w:val="nil"/>
              <w:bottom w:val="single" w:sz="8" w:space="0" w:color="000000"/>
              <w:right w:val="single" w:sz="8" w:space="0" w:color="000000"/>
            </w:tcBorders>
            <w:shd w:val="clear" w:color="auto" w:fill="auto"/>
            <w:vAlign w:val="center"/>
          </w:tcPr>
          <w:p w14:paraId="6F030BB0"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24:17</w:t>
            </w:r>
          </w:p>
        </w:tc>
        <w:tc>
          <w:tcPr>
            <w:tcW w:w="1238" w:type="dxa"/>
            <w:tcBorders>
              <w:top w:val="nil"/>
              <w:left w:val="nil"/>
              <w:bottom w:val="single" w:sz="8" w:space="0" w:color="000000"/>
              <w:right w:val="single" w:sz="8" w:space="0" w:color="000000"/>
            </w:tcBorders>
            <w:shd w:val="clear" w:color="auto" w:fill="auto"/>
            <w:vAlign w:val="center"/>
          </w:tcPr>
          <w:p w14:paraId="62E45699"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21,82%</w:t>
            </w:r>
          </w:p>
        </w:tc>
        <w:tc>
          <w:tcPr>
            <w:tcW w:w="1393" w:type="dxa"/>
            <w:tcBorders>
              <w:top w:val="nil"/>
              <w:left w:val="nil"/>
              <w:bottom w:val="single" w:sz="8" w:space="0" w:color="000000"/>
              <w:right w:val="single" w:sz="8" w:space="0" w:color="000000"/>
            </w:tcBorders>
            <w:shd w:val="clear" w:color="auto" w:fill="auto"/>
            <w:vAlign w:val="center"/>
          </w:tcPr>
          <w:p w14:paraId="6CDB089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49:32</w:t>
            </w:r>
          </w:p>
        </w:tc>
        <w:tc>
          <w:tcPr>
            <w:tcW w:w="1083" w:type="dxa"/>
            <w:tcBorders>
              <w:top w:val="nil"/>
              <w:left w:val="nil"/>
              <w:bottom w:val="single" w:sz="8" w:space="0" w:color="000000"/>
              <w:right w:val="single" w:sz="8" w:space="0" w:color="000000"/>
            </w:tcBorders>
            <w:shd w:val="clear" w:color="auto" w:fill="auto"/>
            <w:vAlign w:val="center"/>
          </w:tcPr>
          <w:p w14:paraId="29E48C7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27,75%</w:t>
            </w:r>
          </w:p>
        </w:tc>
        <w:tc>
          <w:tcPr>
            <w:tcW w:w="1238" w:type="dxa"/>
            <w:tcBorders>
              <w:top w:val="nil"/>
              <w:left w:val="nil"/>
              <w:bottom w:val="single" w:sz="8" w:space="0" w:color="000000"/>
              <w:right w:val="single" w:sz="8" w:space="0" w:color="000000"/>
            </w:tcBorders>
            <w:shd w:val="clear" w:color="auto" w:fill="auto"/>
            <w:vAlign w:val="center"/>
          </w:tcPr>
          <w:p w14:paraId="3FEDEA14"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18:26</w:t>
            </w:r>
          </w:p>
        </w:tc>
        <w:tc>
          <w:tcPr>
            <w:tcW w:w="1548" w:type="dxa"/>
            <w:tcBorders>
              <w:top w:val="nil"/>
              <w:left w:val="nil"/>
              <w:bottom w:val="single" w:sz="8" w:space="0" w:color="000000"/>
              <w:right w:val="single" w:sz="8" w:space="0" w:color="000000"/>
            </w:tcBorders>
            <w:shd w:val="clear" w:color="auto" w:fill="auto"/>
            <w:vAlign w:val="center"/>
          </w:tcPr>
          <w:p w14:paraId="2539DF3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11,33%</w:t>
            </w:r>
          </w:p>
        </w:tc>
        <w:tc>
          <w:tcPr>
            <w:tcW w:w="1238" w:type="dxa"/>
            <w:tcBorders>
              <w:top w:val="nil"/>
              <w:left w:val="nil"/>
              <w:bottom w:val="single" w:sz="8" w:space="0" w:color="000000"/>
              <w:right w:val="single" w:sz="8" w:space="0" w:color="auto"/>
            </w:tcBorders>
            <w:shd w:val="clear" w:color="auto" w:fill="auto"/>
            <w:vAlign w:val="center"/>
          </w:tcPr>
          <w:p w14:paraId="3835855E"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55:48</w:t>
            </w:r>
          </w:p>
        </w:tc>
        <w:tc>
          <w:tcPr>
            <w:tcW w:w="1547" w:type="dxa"/>
            <w:tcBorders>
              <w:top w:val="nil"/>
              <w:left w:val="nil"/>
              <w:bottom w:val="single" w:sz="8" w:space="0" w:color="000000"/>
              <w:right w:val="single" w:sz="8" w:space="0" w:color="auto"/>
            </w:tcBorders>
            <w:shd w:val="clear" w:color="auto" w:fill="auto"/>
            <w:vAlign w:val="center"/>
          </w:tcPr>
          <w:p w14:paraId="784A440E"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11,69%</w:t>
            </w:r>
          </w:p>
        </w:tc>
      </w:tr>
      <w:tr w:rsidR="00733207" w14:paraId="3081AB4B" w14:textId="77777777">
        <w:trPr>
          <w:trHeight w:val="349"/>
          <w:jc w:val="center"/>
        </w:trPr>
        <w:tc>
          <w:tcPr>
            <w:tcW w:w="2002" w:type="dxa"/>
            <w:tcBorders>
              <w:top w:val="nil"/>
              <w:left w:val="single" w:sz="8" w:space="0" w:color="000000"/>
              <w:bottom w:val="single" w:sz="8" w:space="0" w:color="auto"/>
              <w:right w:val="single" w:sz="8" w:space="0" w:color="000000"/>
            </w:tcBorders>
            <w:shd w:val="clear" w:color="auto" w:fill="auto"/>
            <w:vAlign w:val="center"/>
          </w:tcPr>
          <w:p w14:paraId="3126521D"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Economie</w:t>
            </w:r>
          </w:p>
        </w:tc>
        <w:tc>
          <w:tcPr>
            <w:tcW w:w="1238" w:type="dxa"/>
            <w:tcBorders>
              <w:top w:val="nil"/>
              <w:left w:val="nil"/>
              <w:bottom w:val="single" w:sz="8" w:space="0" w:color="auto"/>
              <w:right w:val="single" w:sz="8" w:space="0" w:color="000000"/>
            </w:tcBorders>
            <w:shd w:val="clear" w:color="auto" w:fill="auto"/>
            <w:vAlign w:val="center"/>
          </w:tcPr>
          <w:p w14:paraId="2628E0BA"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28:29</w:t>
            </w:r>
          </w:p>
        </w:tc>
        <w:tc>
          <w:tcPr>
            <w:tcW w:w="1238" w:type="dxa"/>
            <w:tcBorders>
              <w:top w:val="nil"/>
              <w:left w:val="nil"/>
              <w:bottom w:val="single" w:sz="8" w:space="0" w:color="000000"/>
              <w:right w:val="single" w:sz="8" w:space="0" w:color="000000"/>
            </w:tcBorders>
            <w:shd w:val="clear" w:color="auto" w:fill="auto"/>
            <w:vAlign w:val="center"/>
          </w:tcPr>
          <w:p w14:paraId="09421046"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13,38%</w:t>
            </w:r>
          </w:p>
        </w:tc>
        <w:tc>
          <w:tcPr>
            <w:tcW w:w="1393" w:type="dxa"/>
            <w:tcBorders>
              <w:top w:val="nil"/>
              <w:left w:val="nil"/>
              <w:bottom w:val="single" w:sz="8" w:space="0" w:color="auto"/>
              <w:right w:val="single" w:sz="8" w:space="0" w:color="000000"/>
            </w:tcBorders>
            <w:shd w:val="clear" w:color="auto" w:fill="auto"/>
            <w:vAlign w:val="center"/>
          </w:tcPr>
          <w:p w14:paraId="4676F29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00:32</w:t>
            </w:r>
          </w:p>
        </w:tc>
        <w:tc>
          <w:tcPr>
            <w:tcW w:w="1083" w:type="dxa"/>
            <w:tcBorders>
              <w:top w:val="nil"/>
              <w:left w:val="nil"/>
              <w:bottom w:val="single" w:sz="8" w:space="0" w:color="auto"/>
              <w:right w:val="single" w:sz="8" w:space="0" w:color="000000"/>
            </w:tcBorders>
            <w:shd w:val="clear" w:color="auto" w:fill="auto"/>
            <w:vAlign w:val="center"/>
          </w:tcPr>
          <w:p w14:paraId="5C458EA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15,34%</w:t>
            </w:r>
          </w:p>
        </w:tc>
        <w:tc>
          <w:tcPr>
            <w:tcW w:w="1238" w:type="dxa"/>
            <w:tcBorders>
              <w:top w:val="nil"/>
              <w:left w:val="nil"/>
              <w:bottom w:val="single" w:sz="8" w:space="0" w:color="auto"/>
              <w:right w:val="single" w:sz="8" w:space="0" w:color="000000"/>
            </w:tcBorders>
            <w:shd w:val="clear" w:color="auto" w:fill="auto"/>
            <w:vAlign w:val="center"/>
          </w:tcPr>
          <w:p w14:paraId="737E89E9"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38:39</w:t>
            </w:r>
          </w:p>
        </w:tc>
        <w:tc>
          <w:tcPr>
            <w:tcW w:w="1548" w:type="dxa"/>
            <w:tcBorders>
              <w:top w:val="nil"/>
              <w:left w:val="nil"/>
              <w:bottom w:val="single" w:sz="8" w:space="0" w:color="000000"/>
              <w:right w:val="single" w:sz="8" w:space="0" w:color="000000"/>
            </w:tcBorders>
            <w:shd w:val="clear" w:color="auto" w:fill="auto"/>
            <w:vAlign w:val="center"/>
          </w:tcPr>
          <w:p w14:paraId="587DA96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14,25%</w:t>
            </w:r>
          </w:p>
        </w:tc>
        <w:tc>
          <w:tcPr>
            <w:tcW w:w="1238" w:type="dxa"/>
            <w:tcBorders>
              <w:top w:val="nil"/>
              <w:left w:val="nil"/>
              <w:bottom w:val="single" w:sz="8" w:space="0" w:color="auto"/>
              <w:right w:val="single" w:sz="8" w:space="0" w:color="auto"/>
            </w:tcBorders>
            <w:shd w:val="clear" w:color="auto" w:fill="auto"/>
            <w:vAlign w:val="center"/>
          </w:tcPr>
          <w:p w14:paraId="67D8B4B3"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18:19</w:t>
            </w:r>
          </w:p>
        </w:tc>
        <w:tc>
          <w:tcPr>
            <w:tcW w:w="1547" w:type="dxa"/>
            <w:tcBorders>
              <w:top w:val="nil"/>
              <w:left w:val="nil"/>
              <w:bottom w:val="single" w:sz="8" w:space="0" w:color="000000"/>
              <w:right w:val="single" w:sz="8" w:space="0" w:color="auto"/>
            </w:tcBorders>
            <w:shd w:val="clear" w:color="auto" w:fill="auto"/>
            <w:vAlign w:val="center"/>
          </w:tcPr>
          <w:p w14:paraId="7F992086"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16,41%</w:t>
            </w:r>
          </w:p>
        </w:tc>
      </w:tr>
      <w:tr w:rsidR="00733207" w14:paraId="750D66CE" w14:textId="77777777">
        <w:trPr>
          <w:trHeight w:val="349"/>
          <w:jc w:val="center"/>
        </w:trPr>
        <w:tc>
          <w:tcPr>
            <w:tcW w:w="2002" w:type="dxa"/>
            <w:tcBorders>
              <w:top w:val="nil"/>
              <w:left w:val="single" w:sz="8" w:space="0" w:color="000000"/>
              <w:bottom w:val="single" w:sz="8" w:space="0" w:color="000000"/>
              <w:right w:val="single" w:sz="8" w:space="0" w:color="000000"/>
            </w:tcBorders>
            <w:shd w:val="clear" w:color="auto" w:fill="auto"/>
            <w:vAlign w:val="center"/>
          </w:tcPr>
          <w:p w14:paraId="79952466"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Culture</w:t>
            </w:r>
          </w:p>
        </w:tc>
        <w:tc>
          <w:tcPr>
            <w:tcW w:w="1238" w:type="dxa"/>
            <w:tcBorders>
              <w:top w:val="nil"/>
              <w:left w:val="nil"/>
              <w:bottom w:val="single" w:sz="8" w:space="0" w:color="auto"/>
              <w:right w:val="single" w:sz="8" w:space="0" w:color="000000"/>
            </w:tcBorders>
            <w:shd w:val="clear" w:color="auto" w:fill="auto"/>
            <w:vAlign w:val="center"/>
          </w:tcPr>
          <w:p w14:paraId="69A25A2F"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34:26</w:t>
            </w:r>
          </w:p>
        </w:tc>
        <w:tc>
          <w:tcPr>
            <w:tcW w:w="1238" w:type="dxa"/>
            <w:tcBorders>
              <w:top w:val="nil"/>
              <w:left w:val="nil"/>
              <w:bottom w:val="single" w:sz="8" w:space="0" w:color="000000"/>
              <w:right w:val="single" w:sz="8" w:space="0" w:color="000000"/>
            </w:tcBorders>
            <w:shd w:val="clear" w:color="auto" w:fill="auto"/>
            <w:vAlign w:val="center"/>
          </w:tcPr>
          <w:p w14:paraId="146AA41B"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5,21%</w:t>
            </w:r>
          </w:p>
        </w:tc>
        <w:tc>
          <w:tcPr>
            <w:tcW w:w="1393" w:type="dxa"/>
            <w:tcBorders>
              <w:top w:val="nil"/>
              <w:left w:val="nil"/>
              <w:bottom w:val="single" w:sz="8" w:space="0" w:color="auto"/>
              <w:right w:val="single" w:sz="8" w:space="0" w:color="000000"/>
            </w:tcBorders>
            <w:shd w:val="clear" w:color="auto" w:fill="auto"/>
            <w:vAlign w:val="center"/>
          </w:tcPr>
          <w:p w14:paraId="5A2649EB"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19:21</w:t>
            </w:r>
          </w:p>
        </w:tc>
        <w:tc>
          <w:tcPr>
            <w:tcW w:w="1083" w:type="dxa"/>
            <w:tcBorders>
              <w:top w:val="nil"/>
              <w:left w:val="nil"/>
              <w:bottom w:val="single" w:sz="8" w:space="0" w:color="auto"/>
              <w:right w:val="single" w:sz="8" w:space="0" w:color="000000"/>
            </w:tcBorders>
            <w:shd w:val="clear" w:color="auto" w:fill="auto"/>
            <w:vAlign w:val="center"/>
          </w:tcPr>
          <w:p w14:paraId="09EE995C"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4,90%</w:t>
            </w:r>
          </w:p>
        </w:tc>
        <w:tc>
          <w:tcPr>
            <w:tcW w:w="1238" w:type="dxa"/>
            <w:tcBorders>
              <w:top w:val="nil"/>
              <w:left w:val="nil"/>
              <w:bottom w:val="single" w:sz="8" w:space="0" w:color="auto"/>
              <w:right w:val="single" w:sz="8" w:space="0" w:color="000000"/>
            </w:tcBorders>
            <w:shd w:val="clear" w:color="auto" w:fill="auto"/>
            <w:vAlign w:val="center"/>
          </w:tcPr>
          <w:p w14:paraId="217E21DC"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32:20</w:t>
            </w:r>
          </w:p>
        </w:tc>
        <w:tc>
          <w:tcPr>
            <w:tcW w:w="1548" w:type="dxa"/>
            <w:tcBorders>
              <w:top w:val="nil"/>
              <w:left w:val="nil"/>
              <w:bottom w:val="single" w:sz="8" w:space="0" w:color="000000"/>
              <w:right w:val="single" w:sz="8" w:space="0" w:color="000000"/>
            </w:tcBorders>
            <w:shd w:val="clear" w:color="auto" w:fill="auto"/>
            <w:vAlign w:val="center"/>
          </w:tcPr>
          <w:p w14:paraId="7EE5BAA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4,67%</w:t>
            </w:r>
          </w:p>
        </w:tc>
        <w:tc>
          <w:tcPr>
            <w:tcW w:w="1238" w:type="dxa"/>
            <w:tcBorders>
              <w:top w:val="nil"/>
              <w:left w:val="nil"/>
              <w:bottom w:val="single" w:sz="8" w:space="0" w:color="auto"/>
              <w:right w:val="single" w:sz="8" w:space="0" w:color="auto"/>
            </w:tcBorders>
            <w:shd w:val="clear" w:color="auto" w:fill="auto"/>
            <w:vAlign w:val="center"/>
          </w:tcPr>
          <w:p w14:paraId="4E37832C"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17:11</w:t>
            </w:r>
          </w:p>
        </w:tc>
        <w:tc>
          <w:tcPr>
            <w:tcW w:w="1547" w:type="dxa"/>
            <w:tcBorders>
              <w:top w:val="nil"/>
              <w:left w:val="nil"/>
              <w:bottom w:val="single" w:sz="8" w:space="0" w:color="000000"/>
              <w:right w:val="single" w:sz="8" w:space="0" w:color="auto"/>
            </w:tcBorders>
            <w:shd w:val="clear" w:color="auto" w:fill="auto"/>
            <w:vAlign w:val="center"/>
          </w:tcPr>
          <w:p w14:paraId="42B0006E"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3,60%</w:t>
            </w:r>
          </w:p>
        </w:tc>
      </w:tr>
      <w:tr w:rsidR="00733207" w14:paraId="5F29E51C" w14:textId="77777777">
        <w:trPr>
          <w:trHeight w:val="349"/>
          <w:jc w:val="center"/>
        </w:trPr>
        <w:tc>
          <w:tcPr>
            <w:tcW w:w="2002" w:type="dxa"/>
            <w:tcBorders>
              <w:top w:val="nil"/>
              <w:left w:val="single" w:sz="8" w:space="0" w:color="000000"/>
              <w:bottom w:val="single" w:sz="8" w:space="0" w:color="auto"/>
              <w:right w:val="single" w:sz="8" w:space="0" w:color="000000"/>
            </w:tcBorders>
            <w:shd w:val="clear" w:color="auto" w:fill="auto"/>
            <w:vAlign w:val="center"/>
          </w:tcPr>
          <w:p w14:paraId="1E2DEDCA"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Santé</w:t>
            </w:r>
          </w:p>
        </w:tc>
        <w:tc>
          <w:tcPr>
            <w:tcW w:w="1238" w:type="dxa"/>
            <w:tcBorders>
              <w:top w:val="nil"/>
              <w:left w:val="nil"/>
              <w:bottom w:val="single" w:sz="8" w:space="0" w:color="auto"/>
              <w:right w:val="single" w:sz="8" w:space="0" w:color="000000"/>
            </w:tcBorders>
            <w:shd w:val="clear" w:color="auto" w:fill="auto"/>
            <w:vAlign w:val="center"/>
          </w:tcPr>
          <w:p w14:paraId="63082916"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22:17</w:t>
            </w:r>
          </w:p>
        </w:tc>
        <w:tc>
          <w:tcPr>
            <w:tcW w:w="1238" w:type="dxa"/>
            <w:tcBorders>
              <w:top w:val="nil"/>
              <w:left w:val="nil"/>
              <w:bottom w:val="single" w:sz="8" w:space="0" w:color="000000"/>
              <w:right w:val="single" w:sz="8" w:space="0" w:color="000000"/>
            </w:tcBorders>
            <w:shd w:val="clear" w:color="auto" w:fill="auto"/>
            <w:vAlign w:val="center"/>
          </w:tcPr>
          <w:p w14:paraId="4B1D0E8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12,45%</w:t>
            </w:r>
          </w:p>
        </w:tc>
        <w:tc>
          <w:tcPr>
            <w:tcW w:w="1393" w:type="dxa"/>
            <w:tcBorders>
              <w:top w:val="nil"/>
              <w:left w:val="nil"/>
              <w:bottom w:val="single" w:sz="8" w:space="0" w:color="auto"/>
              <w:right w:val="single" w:sz="8" w:space="0" w:color="000000"/>
            </w:tcBorders>
            <w:shd w:val="clear" w:color="auto" w:fill="auto"/>
            <w:vAlign w:val="center"/>
          </w:tcPr>
          <w:p w14:paraId="34C238B7"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44:52</w:t>
            </w:r>
          </w:p>
        </w:tc>
        <w:tc>
          <w:tcPr>
            <w:tcW w:w="1083" w:type="dxa"/>
            <w:tcBorders>
              <w:top w:val="nil"/>
              <w:left w:val="nil"/>
              <w:bottom w:val="single" w:sz="8" w:space="0" w:color="auto"/>
              <w:right w:val="single" w:sz="8" w:space="0" w:color="000000"/>
            </w:tcBorders>
            <w:shd w:val="clear" w:color="auto" w:fill="auto"/>
            <w:vAlign w:val="center"/>
          </w:tcPr>
          <w:p w14:paraId="1A0693C2"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11,37%</w:t>
            </w:r>
          </w:p>
        </w:tc>
        <w:tc>
          <w:tcPr>
            <w:tcW w:w="1238" w:type="dxa"/>
            <w:tcBorders>
              <w:top w:val="nil"/>
              <w:left w:val="nil"/>
              <w:bottom w:val="single" w:sz="8" w:space="0" w:color="auto"/>
              <w:right w:val="single" w:sz="8" w:space="0" w:color="000000"/>
            </w:tcBorders>
            <w:shd w:val="clear" w:color="auto" w:fill="auto"/>
            <w:vAlign w:val="center"/>
          </w:tcPr>
          <w:p w14:paraId="095F33B3"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12:13</w:t>
            </w:r>
          </w:p>
        </w:tc>
        <w:tc>
          <w:tcPr>
            <w:tcW w:w="1548" w:type="dxa"/>
            <w:tcBorders>
              <w:top w:val="nil"/>
              <w:left w:val="nil"/>
              <w:bottom w:val="single" w:sz="8" w:space="0" w:color="000000"/>
              <w:right w:val="single" w:sz="8" w:space="0" w:color="000000"/>
            </w:tcBorders>
            <w:shd w:val="clear" w:color="auto" w:fill="auto"/>
            <w:vAlign w:val="center"/>
          </w:tcPr>
          <w:p w14:paraId="244F12A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10,43%</w:t>
            </w:r>
          </w:p>
        </w:tc>
        <w:tc>
          <w:tcPr>
            <w:tcW w:w="1238" w:type="dxa"/>
            <w:tcBorders>
              <w:top w:val="nil"/>
              <w:left w:val="nil"/>
              <w:bottom w:val="single" w:sz="8" w:space="0" w:color="auto"/>
              <w:right w:val="single" w:sz="8" w:space="0" w:color="auto"/>
            </w:tcBorders>
            <w:shd w:val="clear" w:color="auto" w:fill="auto"/>
            <w:vAlign w:val="center"/>
          </w:tcPr>
          <w:p w14:paraId="088C369E"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00:</w:t>
            </w:r>
            <w:proofErr w:type="gramEnd"/>
            <w:r>
              <w:rPr>
                <w:rFonts w:ascii="Rockwell" w:eastAsia="Times New Roman" w:hAnsi="Rockwell" w:cs="Times New Roman"/>
                <w:b/>
                <w:bCs/>
                <w:color w:val="000000"/>
                <w:sz w:val="24"/>
                <w:szCs w:val="24"/>
              </w:rPr>
              <w:t>41:29</w:t>
            </w:r>
          </w:p>
        </w:tc>
        <w:tc>
          <w:tcPr>
            <w:tcW w:w="1547" w:type="dxa"/>
            <w:tcBorders>
              <w:top w:val="nil"/>
              <w:left w:val="nil"/>
              <w:bottom w:val="single" w:sz="8" w:space="0" w:color="000000"/>
              <w:right w:val="single" w:sz="8" w:space="0" w:color="auto"/>
            </w:tcBorders>
            <w:shd w:val="clear" w:color="auto" w:fill="auto"/>
            <w:vAlign w:val="center"/>
          </w:tcPr>
          <w:p w14:paraId="0617EE9E"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8,69%</w:t>
            </w:r>
          </w:p>
        </w:tc>
      </w:tr>
      <w:tr w:rsidR="00733207" w14:paraId="276EDF18" w14:textId="77777777">
        <w:trPr>
          <w:trHeight w:val="349"/>
          <w:jc w:val="center"/>
        </w:trPr>
        <w:tc>
          <w:tcPr>
            <w:tcW w:w="2002" w:type="dxa"/>
            <w:tcBorders>
              <w:top w:val="nil"/>
              <w:left w:val="single" w:sz="8" w:space="0" w:color="000000"/>
              <w:bottom w:val="single" w:sz="8" w:space="0" w:color="auto"/>
              <w:right w:val="single" w:sz="8" w:space="0" w:color="000000"/>
            </w:tcBorders>
            <w:shd w:val="clear" w:color="auto" w:fill="auto"/>
            <w:vAlign w:val="center"/>
          </w:tcPr>
          <w:p w14:paraId="65474879"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Genre</w:t>
            </w:r>
          </w:p>
        </w:tc>
        <w:tc>
          <w:tcPr>
            <w:tcW w:w="1238" w:type="dxa"/>
            <w:tcBorders>
              <w:top w:val="nil"/>
              <w:left w:val="nil"/>
              <w:bottom w:val="single" w:sz="8" w:space="0" w:color="auto"/>
              <w:right w:val="single" w:sz="8" w:space="0" w:color="000000"/>
            </w:tcBorders>
            <w:shd w:val="clear" w:color="auto" w:fill="auto"/>
            <w:vAlign w:val="center"/>
          </w:tcPr>
          <w:p w14:paraId="7AB439F9"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238" w:type="dxa"/>
            <w:tcBorders>
              <w:top w:val="nil"/>
              <w:left w:val="nil"/>
              <w:bottom w:val="single" w:sz="8" w:space="0" w:color="000000"/>
              <w:right w:val="single" w:sz="8" w:space="0" w:color="000000"/>
            </w:tcBorders>
            <w:shd w:val="clear" w:color="auto" w:fill="auto"/>
            <w:vAlign w:val="center"/>
          </w:tcPr>
          <w:p w14:paraId="6F20F480"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393" w:type="dxa"/>
            <w:tcBorders>
              <w:top w:val="nil"/>
              <w:left w:val="nil"/>
              <w:bottom w:val="single" w:sz="8" w:space="0" w:color="auto"/>
              <w:right w:val="single" w:sz="8" w:space="0" w:color="000000"/>
            </w:tcBorders>
            <w:shd w:val="clear" w:color="auto" w:fill="auto"/>
            <w:vAlign w:val="center"/>
          </w:tcPr>
          <w:p w14:paraId="5E50B3D5"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083" w:type="dxa"/>
            <w:tcBorders>
              <w:top w:val="nil"/>
              <w:left w:val="nil"/>
              <w:bottom w:val="single" w:sz="8" w:space="0" w:color="auto"/>
              <w:right w:val="single" w:sz="8" w:space="0" w:color="000000"/>
            </w:tcBorders>
            <w:shd w:val="clear" w:color="auto" w:fill="auto"/>
            <w:vAlign w:val="center"/>
          </w:tcPr>
          <w:p w14:paraId="590FCA6B"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238" w:type="dxa"/>
            <w:tcBorders>
              <w:top w:val="nil"/>
              <w:left w:val="nil"/>
              <w:bottom w:val="single" w:sz="8" w:space="0" w:color="auto"/>
              <w:right w:val="single" w:sz="8" w:space="0" w:color="000000"/>
            </w:tcBorders>
            <w:shd w:val="clear" w:color="auto" w:fill="auto"/>
            <w:vAlign w:val="center"/>
          </w:tcPr>
          <w:p w14:paraId="4DD5551E"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548" w:type="dxa"/>
            <w:tcBorders>
              <w:top w:val="nil"/>
              <w:left w:val="nil"/>
              <w:bottom w:val="single" w:sz="8" w:space="0" w:color="000000"/>
              <w:right w:val="single" w:sz="8" w:space="0" w:color="000000"/>
            </w:tcBorders>
            <w:shd w:val="clear" w:color="auto" w:fill="auto"/>
            <w:vAlign w:val="center"/>
          </w:tcPr>
          <w:p w14:paraId="0C2F4F7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238" w:type="dxa"/>
            <w:tcBorders>
              <w:top w:val="nil"/>
              <w:left w:val="nil"/>
              <w:bottom w:val="single" w:sz="8" w:space="0" w:color="auto"/>
              <w:right w:val="single" w:sz="8" w:space="0" w:color="auto"/>
            </w:tcBorders>
            <w:shd w:val="clear" w:color="auto" w:fill="auto"/>
            <w:vAlign w:val="center"/>
          </w:tcPr>
          <w:p w14:paraId="0E0873D5"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00:</w:t>
            </w:r>
            <w:proofErr w:type="gramEnd"/>
            <w:r>
              <w:rPr>
                <w:rFonts w:ascii="Rockwell" w:eastAsia="Times New Roman" w:hAnsi="Rockwell" w:cs="Times New Roman"/>
                <w:b/>
                <w:bCs/>
                <w:color w:val="000000"/>
                <w:sz w:val="24"/>
                <w:szCs w:val="24"/>
              </w:rPr>
              <w:t>00:00</w:t>
            </w:r>
          </w:p>
        </w:tc>
        <w:tc>
          <w:tcPr>
            <w:tcW w:w="1547" w:type="dxa"/>
            <w:tcBorders>
              <w:top w:val="nil"/>
              <w:left w:val="nil"/>
              <w:bottom w:val="single" w:sz="8" w:space="0" w:color="000000"/>
              <w:right w:val="single" w:sz="8" w:space="0" w:color="auto"/>
            </w:tcBorders>
            <w:shd w:val="clear" w:color="auto" w:fill="auto"/>
            <w:vAlign w:val="center"/>
          </w:tcPr>
          <w:p w14:paraId="75505F8F"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0,00%</w:t>
            </w:r>
          </w:p>
        </w:tc>
      </w:tr>
      <w:tr w:rsidR="00733207" w14:paraId="4895074E" w14:textId="77777777">
        <w:trPr>
          <w:trHeight w:val="349"/>
          <w:jc w:val="center"/>
        </w:trPr>
        <w:tc>
          <w:tcPr>
            <w:tcW w:w="2002" w:type="dxa"/>
            <w:tcBorders>
              <w:top w:val="nil"/>
              <w:left w:val="single" w:sz="8" w:space="0" w:color="000000"/>
              <w:bottom w:val="single" w:sz="8" w:space="0" w:color="000000"/>
              <w:right w:val="single" w:sz="8" w:space="0" w:color="000000"/>
            </w:tcBorders>
            <w:shd w:val="clear" w:color="auto" w:fill="auto"/>
            <w:vAlign w:val="center"/>
          </w:tcPr>
          <w:p w14:paraId="6371762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TOTAL</w:t>
            </w:r>
          </w:p>
        </w:tc>
        <w:tc>
          <w:tcPr>
            <w:tcW w:w="1238" w:type="dxa"/>
            <w:tcBorders>
              <w:top w:val="nil"/>
              <w:left w:val="nil"/>
              <w:bottom w:val="single" w:sz="8" w:space="0" w:color="000000"/>
              <w:right w:val="single" w:sz="8" w:space="0" w:color="000000"/>
            </w:tcBorders>
            <w:shd w:val="clear" w:color="auto" w:fill="auto"/>
            <w:vAlign w:val="center"/>
          </w:tcPr>
          <w:p w14:paraId="12CEBF97"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11:</w:t>
            </w:r>
            <w:proofErr w:type="gramEnd"/>
            <w:r>
              <w:rPr>
                <w:rFonts w:ascii="Rockwell" w:eastAsia="Times New Roman" w:hAnsi="Rockwell" w:cs="Times New Roman"/>
                <w:b/>
                <w:bCs/>
                <w:color w:val="000000"/>
                <w:sz w:val="24"/>
                <w:szCs w:val="24"/>
              </w:rPr>
              <w:t>01:08</w:t>
            </w:r>
          </w:p>
        </w:tc>
        <w:tc>
          <w:tcPr>
            <w:tcW w:w="1238" w:type="dxa"/>
            <w:tcBorders>
              <w:top w:val="nil"/>
              <w:left w:val="nil"/>
              <w:bottom w:val="single" w:sz="8" w:space="0" w:color="000000"/>
              <w:right w:val="single" w:sz="8" w:space="0" w:color="000000"/>
            </w:tcBorders>
            <w:shd w:val="clear" w:color="auto" w:fill="auto"/>
            <w:vAlign w:val="center"/>
          </w:tcPr>
          <w:p w14:paraId="2098BC4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393" w:type="dxa"/>
            <w:tcBorders>
              <w:top w:val="nil"/>
              <w:left w:val="nil"/>
              <w:bottom w:val="single" w:sz="8" w:space="0" w:color="000000"/>
              <w:right w:val="single" w:sz="8" w:space="0" w:color="000000"/>
            </w:tcBorders>
            <w:shd w:val="clear" w:color="auto" w:fill="auto"/>
            <w:vAlign w:val="center"/>
          </w:tcPr>
          <w:p w14:paraId="1E7BC105"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6:</w:t>
            </w:r>
            <w:proofErr w:type="gramEnd"/>
            <w:r>
              <w:rPr>
                <w:rFonts w:ascii="Rockwell" w:eastAsia="Times New Roman" w:hAnsi="Rockwell" w:cs="Times New Roman"/>
                <w:b/>
                <w:bCs/>
                <w:color w:val="000000"/>
                <w:sz w:val="24"/>
                <w:szCs w:val="24"/>
              </w:rPr>
              <w:t>34:40</w:t>
            </w:r>
          </w:p>
        </w:tc>
        <w:tc>
          <w:tcPr>
            <w:tcW w:w="1083" w:type="dxa"/>
            <w:tcBorders>
              <w:top w:val="nil"/>
              <w:left w:val="nil"/>
              <w:bottom w:val="single" w:sz="8" w:space="0" w:color="000000"/>
              <w:right w:val="single" w:sz="8" w:space="0" w:color="000000"/>
            </w:tcBorders>
            <w:shd w:val="clear" w:color="auto" w:fill="auto"/>
            <w:vAlign w:val="center"/>
          </w:tcPr>
          <w:p w14:paraId="0CA88C66"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w:t>
            </w:r>
          </w:p>
        </w:tc>
        <w:tc>
          <w:tcPr>
            <w:tcW w:w="1238" w:type="dxa"/>
            <w:tcBorders>
              <w:top w:val="nil"/>
              <w:left w:val="nil"/>
              <w:bottom w:val="single" w:sz="8" w:space="0" w:color="000000"/>
              <w:right w:val="single" w:sz="8" w:space="0" w:color="000000"/>
            </w:tcBorders>
            <w:shd w:val="clear" w:color="auto" w:fill="auto"/>
            <w:vAlign w:val="center"/>
          </w:tcPr>
          <w:p w14:paraId="391EE5A5"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11:</w:t>
            </w:r>
            <w:proofErr w:type="gramEnd"/>
            <w:r>
              <w:rPr>
                <w:rFonts w:ascii="Rockwell" w:eastAsia="Times New Roman" w:hAnsi="Rockwell" w:cs="Times New Roman"/>
                <w:b/>
                <w:bCs/>
                <w:color w:val="000000"/>
                <w:sz w:val="24"/>
                <w:szCs w:val="24"/>
              </w:rPr>
              <w:t>32:22</w:t>
            </w:r>
          </w:p>
        </w:tc>
        <w:tc>
          <w:tcPr>
            <w:tcW w:w="1548" w:type="dxa"/>
            <w:tcBorders>
              <w:top w:val="nil"/>
              <w:left w:val="nil"/>
              <w:bottom w:val="single" w:sz="8" w:space="0" w:color="000000"/>
              <w:right w:val="single" w:sz="8" w:space="0" w:color="000000"/>
            </w:tcBorders>
            <w:shd w:val="clear" w:color="auto" w:fill="auto"/>
            <w:vAlign w:val="center"/>
          </w:tcPr>
          <w:p w14:paraId="715CB472"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238" w:type="dxa"/>
            <w:tcBorders>
              <w:top w:val="nil"/>
              <w:left w:val="nil"/>
              <w:bottom w:val="single" w:sz="8" w:space="0" w:color="000000"/>
              <w:right w:val="single" w:sz="8" w:space="0" w:color="auto"/>
            </w:tcBorders>
            <w:shd w:val="clear" w:color="auto" w:fill="auto"/>
            <w:vAlign w:val="center"/>
          </w:tcPr>
          <w:p w14:paraId="0C835A86"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7:</w:t>
            </w:r>
            <w:proofErr w:type="gramEnd"/>
            <w:r>
              <w:rPr>
                <w:rFonts w:ascii="Rockwell" w:eastAsia="Times New Roman" w:hAnsi="Rockwell" w:cs="Times New Roman"/>
                <w:b/>
                <w:bCs/>
                <w:color w:val="000000"/>
                <w:sz w:val="24"/>
                <w:szCs w:val="24"/>
              </w:rPr>
              <w:t>57:19</w:t>
            </w:r>
          </w:p>
        </w:tc>
        <w:tc>
          <w:tcPr>
            <w:tcW w:w="1547" w:type="dxa"/>
            <w:tcBorders>
              <w:top w:val="nil"/>
              <w:left w:val="nil"/>
              <w:bottom w:val="single" w:sz="8" w:space="0" w:color="000000"/>
              <w:right w:val="single" w:sz="8" w:space="0" w:color="auto"/>
            </w:tcBorders>
            <w:shd w:val="clear" w:color="auto" w:fill="auto"/>
            <w:vAlign w:val="center"/>
          </w:tcPr>
          <w:p w14:paraId="263489BE" w14:textId="77777777" w:rsidR="00733207" w:rsidRDefault="00912BAE">
            <w:pPr>
              <w:spacing w:before="120" w:after="12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100,00%</w:t>
            </w:r>
          </w:p>
        </w:tc>
      </w:tr>
    </w:tbl>
    <w:p w14:paraId="1846078A" w14:textId="77777777" w:rsidR="00733207" w:rsidRDefault="00912BAE">
      <w:pPr>
        <w:spacing w:before="120" w:after="120" w:line="360" w:lineRule="auto"/>
        <w:ind w:left="851"/>
        <w:jc w:val="both"/>
        <w:rPr>
          <w:rFonts w:ascii="Rockwell" w:hAnsi="Rockwell" w:cs="Times New Roman"/>
          <w:i/>
        </w:rPr>
      </w:pPr>
      <w:r>
        <w:rPr>
          <w:rFonts w:ascii="Rockwell" w:hAnsi="Rockwell" w:cs="Times New Roman"/>
          <w:b/>
          <w:i/>
          <w:u w:val="single"/>
        </w:rPr>
        <w:t>Source</w:t>
      </w:r>
      <w:r>
        <w:rPr>
          <w:rFonts w:ascii="Rockwell" w:hAnsi="Rockwell" w:cs="Times New Roman"/>
          <w:b/>
          <w:i/>
        </w:rPr>
        <w:t xml:space="preserve"> : </w:t>
      </w:r>
      <w:r>
        <w:rPr>
          <w:rFonts w:ascii="Rockwell" w:hAnsi="Rockwell" w:cs="Times New Roman"/>
          <w:i/>
        </w:rPr>
        <w:t>CSC</w:t>
      </w:r>
    </w:p>
    <w:p w14:paraId="63C36AC4" w14:textId="77777777" w:rsidR="00733207" w:rsidRDefault="00733207">
      <w:pPr>
        <w:spacing w:before="120" w:after="120" w:line="360" w:lineRule="auto"/>
        <w:jc w:val="both"/>
        <w:rPr>
          <w:rFonts w:ascii="Rockwell" w:hAnsi="Rockwell" w:cs="Times New Roman"/>
          <w:i/>
        </w:rPr>
      </w:pPr>
    </w:p>
    <w:tbl>
      <w:tblPr>
        <w:tblW w:w="13637" w:type="dxa"/>
        <w:tblInd w:w="-10" w:type="dxa"/>
        <w:tblCellMar>
          <w:left w:w="70" w:type="dxa"/>
          <w:right w:w="70" w:type="dxa"/>
        </w:tblCellMar>
        <w:tblLook w:val="04A0" w:firstRow="1" w:lastRow="0" w:firstColumn="1" w:lastColumn="0" w:noHBand="0" w:noVBand="1"/>
      </w:tblPr>
      <w:tblGrid>
        <w:gridCol w:w="1229"/>
        <w:gridCol w:w="1110"/>
        <w:gridCol w:w="1103"/>
        <w:gridCol w:w="1111"/>
        <w:gridCol w:w="1128"/>
        <w:gridCol w:w="1110"/>
        <w:gridCol w:w="1181"/>
        <w:gridCol w:w="1110"/>
        <w:gridCol w:w="1154"/>
        <w:gridCol w:w="1110"/>
        <w:gridCol w:w="1181"/>
        <w:gridCol w:w="979"/>
        <w:gridCol w:w="131"/>
      </w:tblGrid>
      <w:tr w:rsidR="00733207" w14:paraId="61D79647" w14:textId="77777777">
        <w:trPr>
          <w:gridAfter w:val="1"/>
          <w:wAfter w:w="15" w:type="dxa"/>
          <w:trHeight w:val="512"/>
        </w:trPr>
        <w:tc>
          <w:tcPr>
            <w:tcW w:w="4972"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19C088E"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 xml:space="preserve">Radio </w:t>
            </w:r>
            <w:proofErr w:type="spellStart"/>
            <w:r>
              <w:rPr>
                <w:rFonts w:ascii="Rockwell" w:eastAsia="Times New Roman" w:hAnsi="Rockwell" w:cs="Times New Roman"/>
                <w:b/>
                <w:bCs/>
                <w:color w:val="000000"/>
                <w:sz w:val="24"/>
                <w:szCs w:val="24"/>
              </w:rPr>
              <w:t>Salaki</w:t>
            </w:r>
            <w:proofErr w:type="spellEnd"/>
          </w:p>
        </w:tc>
        <w:tc>
          <w:tcPr>
            <w:tcW w:w="4814" w:type="dxa"/>
            <w:gridSpan w:val="4"/>
            <w:tcBorders>
              <w:top w:val="single" w:sz="8" w:space="0" w:color="000000"/>
              <w:left w:val="nil"/>
              <w:bottom w:val="single" w:sz="8" w:space="0" w:color="000000"/>
              <w:right w:val="single" w:sz="8" w:space="0" w:color="000000"/>
            </w:tcBorders>
            <w:shd w:val="clear" w:color="auto" w:fill="auto"/>
            <w:vAlign w:val="center"/>
          </w:tcPr>
          <w:p w14:paraId="6A011E1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Radio Fréquence Espoir</w:t>
            </w:r>
          </w:p>
        </w:tc>
        <w:tc>
          <w:tcPr>
            <w:tcW w:w="3836" w:type="dxa"/>
            <w:gridSpan w:val="4"/>
            <w:tcBorders>
              <w:top w:val="single" w:sz="8" w:space="0" w:color="000000"/>
              <w:left w:val="nil"/>
              <w:bottom w:val="single" w:sz="8" w:space="0" w:color="000000"/>
              <w:right w:val="single" w:sz="8" w:space="0" w:color="000000"/>
            </w:tcBorders>
            <w:shd w:val="clear" w:color="auto" w:fill="auto"/>
            <w:vAlign w:val="center"/>
          </w:tcPr>
          <w:p w14:paraId="47ECC89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Total</w:t>
            </w:r>
          </w:p>
        </w:tc>
      </w:tr>
      <w:tr w:rsidR="00733207" w14:paraId="25EE45AC" w14:textId="77777777">
        <w:trPr>
          <w:trHeight w:val="227"/>
        </w:trPr>
        <w:tc>
          <w:tcPr>
            <w:tcW w:w="1563" w:type="dxa"/>
            <w:tcBorders>
              <w:top w:val="nil"/>
              <w:left w:val="single" w:sz="8" w:space="0" w:color="000000"/>
              <w:bottom w:val="single" w:sz="8" w:space="0" w:color="000000"/>
              <w:right w:val="single" w:sz="8" w:space="0" w:color="000000"/>
            </w:tcBorders>
            <w:shd w:val="clear" w:color="auto" w:fill="auto"/>
            <w:vAlign w:val="center"/>
          </w:tcPr>
          <w:p w14:paraId="26AD0AB2"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10" w:type="dxa"/>
            <w:tcBorders>
              <w:top w:val="nil"/>
              <w:left w:val="nil"/>
              <w:bottom w:val="single" w:sz="8" w:space="0" w:color="000000"/>
              <w:right w:val="single" w:sz="8" w:space="0" w:color="000000"/>
            </w:tcBorders>
            <w:shd w:val="clear" w:color="auto" w:fill="auto"/>
            <w:vAlign w:val="center"/>
          </w:tcPr>
          <w:p w14:paraId="57800D8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86" w:type="dxa"/>
            <w:tcBorders>
              <w:top w:val="nil"/>
              <w:left w:val="nil"/>
              <w:bottom w:val="single" w:sz="8" w:space="0" w:color="000000"/>
              <w:right w:val="single" w:sz="8" w:space="0" w:color="000000"/>
            </w:tcBorders>
            <w:shd w:val="clear" w:color="auto" w:fill="auto"/>
            <w:vAlign w:val="center"/>
          </w:tcPr>
          <w:p w14:paraId="6693DD1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113" w:type="dxa"/>
            <w:tcBorders>
              <w:top w:val="nil"/>
              <w:left w:val="nil"/>
              <w:bottom w:val="single" w:sz="8" w:space="0" w:color="000000"/>
              <w:right w:val="single" w:sz="8" w:space="0" w:color="000000"/>
            </w:tcBorders>
            <w:shd w:val="clear" w:color="auto" w:fill="auto"/>
            <w:vAlign w:val="center"/>
          </w:tcPr>
          <w:p w14:paraId="5195AE8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261" w:type="dxa"/>
            <w:tcBorders>
              <w:top w:val="nil"/>
              <w:left w:val="nil"/>
              <w:bottom w:val="single" w:sz="8" w:space="0" w:color="000000"/>
              <w:right w:val="single" w:sz="8" w:space="0" w:color="000000"/>
            </w:tcBorders>
            <w:shd w:val="clear" w:color="auto" w:fill="auto"/>
            <w:vAlign w:val="center"/>
          </w:tcPr>
          <w:p w14:paraId="7655051F"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10" w:type="dxa"/>
            <w:tcBorders>
              <w:top w:val="nil"/>
              <w:left w:val="nil"/>
              <w:bottom w:val="single" w:sz="8" w:space="0" w:color="000000"/>
              <w:right w:val="single" w:sz="8" w:space="0" w:color="000000"/>
            </w:tcBorders>
            <w:shd w:val="clear" w:color="auto" w:fill="auto"/>
            <w:vAlign w:val="center"/>
          </w:tcPr>
          <w:p w14:paraId="36B26A2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333" w:type="dxa"/>
            <w:tcBorders>
              <w:top w:val="nil"/>
              <w:left w:val="nil"/>
              <w:bottom w:val="single" w:sz="8" w:space="0" w:color="000000"/>
              <w:right w:val="single" w:sz="8" w:space="0" w:color="auto"/>
            </w:tcBorders>
            <w:shd w:val="clear" w:color="auto" w:fill="auto"/>
            <w:vAlign w:val="center"/>
          </w:tcPr>
          <w:p w14:paraId="75A01A2F"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110" w:type="dxa"/>
            <w:tcBorders>
              <w:top w:val="nil"/>
              <w:left w:val="nil"/>
              <w:bottom w:val="single" w:sz="8" w:space="0" w:color="000000"/>
              <w:right w:val="single" w:sz="8" w:space="0" w:color="auto"/>
            </w:tcBorders>
            <w:shd w:val="clear" w:color="auto" w:fill="auto"/>
            <w:vAlign w:val="center"/>
          </w:tcPr>
          <w:p w14:paraId="1A19751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250" w:type="dxa"/>
            <w:tcBorders>
              <w:top w:val="nil"/>
              <w:left w:val="nil"/>
              <w:bottom w:val="single" w:sz="8" w:space="0" w:color="000000"/>
              <w:right w:val="single" w:sz="8" w:space="0" w:color="000000"/>
            </w:tcBorders>
            <w:shd w:val="clear" w:color="auto" w:fill="auto"/>
            <w:vAlign w:val="center"/>
          </w:tcPr>
          <w:p w14:paraId="5DAE8CB6"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110" w:type="dxa"/>
            <w:tcBorders>
              <w:top w:val="nil"/>
              <w:left w:val="nil"/>
              <w:bottom w:val="single" w:sz="8" w:space="0" w:color="000000"/>
              <w:right w:val="single" w:sz="8" w:space="0" w:color="000000"/>
            </w:tcBorders>
            <w:shd w:val="clear" w:color="auto" w:fill="auto"/>
            <w:vAlign w:val="center"/>
          </w:tcPr>
          <w:p w14:paraId="0C58FE4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%TA</w:t>
            </w:r>
          </w:p>
        </w:tc>
        <w:tc>
          <w:tcPr>
            <w:tcW w:w="1331" w:type="dxa"/>
            <w:tcBorders>
              <w:top w:val="nil"/>
              <w:left w:val="nil"/>
              <w:bottom w:val="single" w:sz="8" w:space="0" w:color="000000"/>
              <w:right w:val="single" w:sz="8" w:space="0" w:color="auto"/>
            </w:tcBorders>
            <w:shd w:val="clear" w:color="auto" w:fill="auto"/>
            <w:vAlign w:val="center"/>
          </w:tcPr>
          <w:p w14:paraId="4D1FD3AB"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c>
          <w:tcPr>
            <w:tcW w:w="160" w:type="dxa"/>
            <w:gridSpan w:val="2"/>
            <w:tcBorders>
              <w:top w:val="nil"/>
              <w:left w:val="nil"/>
              <w:bottom w:val="single" w:sz="8" w:space="0" w:color="000000"/>
              <w:right w:val="single" w:sz="8" w:space="0" w:color="auto"/>
            </w:tcBorders>
            <w:shd w:val="clear" w:color="auto" w:fill="auto"/>
            <w:vAlign w:val="center"/>
          </w:tcPr>
          <w:p w14:paraId="590813D9"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%TP</w:t>
            </w:r>
          </w:p>
        </w:tc>
      </w:tr>
      <w:tr w:rsidR="00733207" w14:paraId="0A310735" w14:textId="77777777">
        <w:trPr>
          <w:trHeight w:val="227"/>
        </w:trPr>
        <w:tc>
          <w:tcPr>
            <w:tcW w:w="1563" w:type="dxa"/>
            <w:tcBorders>
              <w:top w:val="nil"/>
              <w:left w:val="single" w:sz="8" w:space="0" w:color="000000"/>
              <w:bottom w:val="single" w:sz="8" w:space="0" w:color="000000"/>
              <w:right w:val="single" w:sz="8" w:space="0" w:color="000000"/>
            </w:tcBorders>
            <w:shd w:val="clear" w:color="auto" w:fill="auto"/>
            <w:vAlign w:val="center"/>
          </w:tcPr>
          <w:p w14:paraId="40F3A92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10" w:type="dxa"/>
            <w:tcBorders>
              <w:top w:val="nil"/>
              <w:left w:val="nil"/>
              <w:bottom w:val="single" w:sz="8" w:space="0" w:color="000000"/>
              <w:right w:val="single" w:sz="8" w:space="0" w:color="000000"/>
            </w:tcBorders>
            <w:shd w:val="clear" w:color="auto" w:fill="auto"/>
            <w:vAlign w:val="center"/>
          </w:tcPr>
          <w:p w14:paraId="5EAD3CEB"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186" w:type="dxa"/>
            <w:tcBorders>
              <w:top w:val="nil"/>
              <w:left w:val="nil"/>
              <w:bottom w:val="single" w:sz="8" w:space="0" w:color="000000"/>
              <w:right w:val="single" w:sz="8" w:space="0" w:color="000000"/>
            </w:tcBorders>
            <w:shd w:val="clear" w:color="auto" w:fill="auto"/>
            <w:vAlign w:val="center"/>
          </w:tcPr>
          <w:p w14:paraId="3706F7F6"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13" w:type="dxa"/>
            <w:tcBorders>
              <w:top w:val="nil"/>
              <w:left w:val="nil"/>
              <w:bottom w:val="single" w:sz="8" w:space="0" w:color="000000"/>
              <w:right w:val="single" w:sz="8" w:space="0" w:color="000000"/>
            </w:tcBorders>
            <w:shd w:val="clear" w:color="auto" w:fill="auto"/>
            <w:vAlign w:val="center"/>
          </w:tcPr>
          <w:p w14:paraId="2163641F"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261" w:type="dxa"/>
            <w:tcBorders>
              <w:top w:val="nil"/>
              <w:left w:val="nil"/>
              <w:bottom w:val="single" w:sz="8" w:space="0" w:color="000000"/>
              <w:right w:val="single" w:sz="8" w:space="0" w:color="000000"/>
            </w:tcBorders>
            <w:shd w:val="clear" w:color="auto" w:fill="auto"/>
            <w:vAlign w:val="center"/>
          </w:tcPr>
          <w:p w14:paraId="7D04C53C"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10" w:type="dxa"/>
            <w:tcBorders>
              <w:top w:val="nil"/>
              <w:left w:val="nil"/>
              <w:bottom w:val="single" w:sz="8" w:space="0" w:color="000000"/>
              <w:right w:val="single" w:sz="8" w:space="0" w:color="000000"/>
            </w:tcBorders>
            <w:shd w:val="clear" w:color="auto" w:fill="auto"/>
            <w:vAlign w:val="center"/>
          </w:tcPr>
          <w:p w14:paraId="3B0F960B"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333" w:type="dxa"/>
            <w:tcBorders>
              <w:top w:val="nil"/>
              <w:left w:val="nil"/>
              <w:bottom w:val="single" w:sz="8" w:space="0" w:color="000000"/>
              <w:right w:val="single" w:sz="8" w:space="0" w:color="auto"/>
            </w:tcBorders>
            <w:shd w:val="clear" w:color="auto" w:fill="auto"/>
            <w:vAlign w:val="center"/>
          </w:tcPr>
          <w:p w14:paraId="5FFBF897"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10" w:type="dxa"/>
            <w:tcBorders>
              <w:top w:val="nil"/>
              <w:left w:val="nil"/>
              <w:bottom w:val="single" w:sz="8" w:space="0" w:color="000000"/>
              <w:right w:val="single" w:sz="8" w:space="0" w:color="auto"/>
            </w:tcBorders>
            <w:shd w:val="clear" w:color="auto" w:fill="auto"/>
            <w:vAlign w:val="center"/>
          </w:tcPr>
          <w:p w14:paraId="607C957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250" w:type="dxa"/>
            <w:tcBorders>
              <w:top w:val="nil"/>
              <w:left w:val="nil"/>
              <w:bottom w:val="single" w:sz="8" w:space="0" w:color="000000"/>
              <w:right w:val="single" w:sz="8" w:space="0" w:color="000000"/>
            </w:tcBorders>
            <w:shd w:val="clear" w:color="auto" w:fill="auto"/>
            <w:vAlign w:val="center"/>
          </w:tcPr>
          <w:p w14:paraId="267EE38D"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07:</w:t>
            </w:r>
            <w:proofErr w:type="gramEnd"/>
            <w:r>
              <w:rPr>
                <w:rFonts w:ascii="Rockwell" w:eastAsia="Times New Roman" w:hAnsi="Rockwell" w:cs="Times New Roman"/>
                <w:color w:val="000000"/>
                <w:sz w:val="24"/>
                <w:szCs w:val="24"/>
              </w:rPr>
              <w:t>01:36</w:t>
            </w:r>
          </w:p>
        </w:tc>
        <w:tc>
          <w:tcPr>
            <w:tcW w:w="1110" w:type="dxa"/>
            <w:tcBorders>
              <w:top w:val="nil"/>
              <w:left w:val="nil"/>
              <w:bottom w:val="single" w:sz="8" w:space="0" w:color="000000"/>
              <w:right w:val="single" w:sz="8" w:space="0" w:color="000000"/>
            </w:tcBorders>
            <w:shd w:val="clear" w:color="auto" w:fill="auto"/>
            <w:vAlign w:val="center"/>
          </w:tcPr>
          <w:p w14:paraId="6CEC729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25,60%</w:t>
            </w:r>
          </w:p>
        </w:tc>
        <w:tc>
          <w:tcPr>
            <w:tcW w:w="1331" w:type="dxa"/>
            <w:tcBorders>
              <w:top w:val="nil"/>
              <w:left w:val="nil"/>
              <w:bottom w:val="single" w:sz="8" w:space="0" w:color="000000"/>
              <w:right w:val="single" w:sz="8" w:space="0" w:color="auto"/>
            </w:tcBorders>
            <w:shd w:val="clear" w:color="auto" w:fill="auto"/>
            <w:vAlign w:val="center"/>
          </w:tcPr>
          <w:p w14:paraId="45F4C094"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03:</w:t>
            </w:r>
            <w:proofErr w:type="gramEnd"/>
            <w:r>
              <w:rPr>
                <w:rFonts w:ascii="Rockwell" w:eastAsia="Times New Roman" w:hAnsi="Rockwell" w:cs="Times New Roman"/>
                <w:b/>
                <w:bCs/>
                <w:color w:val="000000"/>
                <w:sz w:val="24"/>
                <w:szCs w:val="24"/>
              </w:rPr>
              <w:t>44:45</w:t>
            </w:r>
          </w:p>
        </w:tc>
        <w:tc>
          <w:tcPr>
            <w:tcW w:w="160" w:type="dxa"/>
            <w:gridSpan w:val="2"/>
            <w:tcBorders>
              <w:top w:val="nil"/>
              <w:left w:val="nil"/>
              <w:bottom w:val="single" w:sz="8" w:space="0" w:color="000000"/>
              <w:right w:val="single" w:sz="8" w:space="0" w:color="auto"/>
            </w:tcBorders>
            <w:shd w:val="clear" w:color="auto" w:fill="auto"/>
            <w:vAlign w:val="center"/>
          </w:tcPr>
          <w:p w14:paraId="598CD0BF"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21,84%</w:t>
            </w:r>
          </w:p>
        </w:tc>
      </w:tr>
      <w:tr w:rsidR="00733207" w14:paraId="30E1A554" w14:textId="77777777">
        <w:trPr>
          <w:trHeight w:val="227"/>
        </w:trPr>
        <w:tc>
          <w:tcPr>
            <w:tcW w:w="1563" w:type="dxa"/>
            <w:tcBorders>
              <w:top w:val="nil"/>
              <w:left w:val="single" w:sz="8" w:space="0" w:color="000000"/>
              <w:bottom w:val="single" w:sz="8" w:space="0" w:color="000000"/>
              <w:right w:val="single" w:sz="8" w:space="0" w:color="000000"/>
            </w:tcBorders>
            <w:shd w:val="clear" w:color="auto" w:fill="auto"/>
            <w:vAlign w:val="center"/>
          </w:tcPr>
          <w:p w14:paraId="15EE2B3D"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09:16</w:t>
            </w:r>
          </w:p>
        </w:tc>
        <w:tc>
          <w:tcPr>
            <w:tcW w:w="1110" w:type="dxa"/>
            <w:tcBorders>
              <w:top w:val="nil"/>
              <w:left w:val="nil"/>
              <w:bottom w:val="single" w:sz="8" w:space="0" w:color="000000"/>
              <w:right w:val="single" w:sz="8" w:space="0" w:color="000000"/>
            </w:tcBorders>
            <w:shd w:val="clear" w:color="auto" w:fill="auto"/>
            <w:vAlign w:val="center"/>
          </w:tcPr>
          <w:p w14:paraId="6CFD725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6,40%</w:t>
            </w:r>
          </w:p>
        </w:tc>
        <w:tc>
          <w:tcPr>
            <w:tcW w:w="1186" w:type="dxa"/>
            <w:tcBorders>
              <w:top w:val="nil"/>
              <w:left w:val="nil"/>
              <w:bottom w:val="single" w:sz="8" w:space="0" w:color="000000"/>
              <w:right w:val="single" w:sz="8" w:space="0" w:color="000000"/>
            </w:tcBorders>
            <w:shd w:val="clear" w:color="auto" w:fill="auto"/>
            <w:vAlign w:val="center"/>
          </w:tcPr>
          <w:p w14:paraId="52194442"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00:00</w:t>
            </w:r>
          </w:p>
        </w:tc>
        <w:tc>
          <w:tcPr>
            <w:tcW w:w="1113" w:type="dxa"/>
            <w:tcBorders>
              <w:top w:val="nil"/>
              <w:left w:val="nil"/>
              <w:bottom w:val="single" w:sz="8" w:space="0" w:color="000000"/>
              <w:right w:val="single" w:sz="8" w:space="0" w:color="000000"/>
            </w:tcBorders>
            <w:shd w:val="clear" w:color="auto" w:fill="auto"/>
            <w:vAlign w:val="center"/>
          </w:tcPr>
          <w:p w14:paraId="2E5C762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261" w:type="dxa"/>
            <w:tcBorders>
              <w:top w:val="nil"/>
              <w:left w:val="nil"/>
              <w:bottom w:val="single" w:sz="8" w:space="0" w:color="000000"/>
              <w:right w:val="single" w:sz="8" w:space="0" w:color="000000"/>
            </w:tcBorders>
            <w:shd w:val="clear" w:color="auto" w:fill="auto"/>
            <w:vAlign w:val="center"/>
          </w:tcPr>
          <w:p w14:paraId="2C2DE919"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05:21</w:t>
            </w:r>
          </w:p>
        </w:tc>
        <w:tc>
          <w:tcPr>
            <w:tcW w:w="1110" w:type="dxa"/>
            <w:tcBorders>
              <w:top w:val="nil"/>
              <w:left w:val="nil"/>
              <w:bottom w:val="single" w:sz="8" w:space="0" w:color="000000"/>
              <w:right w:val="single" w:sz="8" w:space="0" w:color="000000"/>
            </w:tcBorders>
            <w:shd w:val="clear" w:color="auto" w:fill="auto"/>
            <w:vAlign w:val="center"/>
          </w:tcPr>
          <w:p w14:paraId="785434A0"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3,60%</w:t>
            </w:r>
          </w:p>
        </w:tc>
        <w:tc>
          <w:tcPr>
            <w:tcW w:w="1333" w:type="dxa"/>
            <w:tcBorders>
              <w:top w:val="nil"/>
              <w:left w:val="nil"/>
              <w:bottom w:val="single" w:sz="8" w:space="0" w:color="000000"/>
              <w:right w:val="single" w:sz="8" w:space="0" w:color="auto"/>
            </w:tcBorders>
            <w:shd w:val="clear" w:color="auto" w:fill="auto"/>
            <w:vAlign w:val="center"/>
          </w:tcPr>
          <w:p w14:paraId="5173E87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02:16</w:t>
            </w:r>
          </w:p>
        </w:tc>
        <w:tc>
          <w:tcPr>
            <w:tcW w:w="1110" w:type="dxa"/>
            <w:tcBorders>
              <w:top w:val="nil"/>
              <w:left w:val="nil"/>
              <w:bottom w:val="single" w:sz="8" w:space="0" w:color="000000"/>
              <w:right w:val="single" w:sz="8" w:space="0" w:color="auto"/>
            </w:tcBorders>
            <w:shd w:val="clear" w:color="auto" w:fill="auto"/>
            <w:vAlign w:val="center"/>
          </w:tcPr>
          <w:p w14:paraId="66A91CE0"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2,98%</w:t>
            </w:r>
          </w:p>
        </w:tc>
        <w:tc>
          <w:tcPr>
            <w:tcW w:w="1250" w:type="dxa"/>
            <w:tcBorders>
              <w:top w:val="nil"/>
              <w:left w:val="nil"/>
              <w:bottom w:val="single" w:sz="8" w:space="0" w:color="000000"/>
              <w:right w:val="single" w:sz="8" w:space="0" w:color="000000"/>
            </w:tcBorders>
            <w:shd w:val="clear" w:color="auto" w:fill="auto"/>
            <w:vAlign w:val="center"/>
          </w:tcPr>
          <w:p w14:paraId="00C5B7D0"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04:</w:t>
            </w:r>
            <w:proofErr w:type="gramEnd"/>
            <w:r>
              <w:rPr>
                <w:rFonts w:ascii="Rockwell" w:eastAsia="Times New Roman" w:hAnsi="Rockwell" w:cs="Times New Roman"/>
                <w:color w:val="000000"/>
                <w:sz w:val="24"/>
                <w:szCs w:val="24"/>
              </w:rPr>
              <w:t>13:14</w:t>
            </w:r>
          </w:p>
        </w:tc>
        <w:tc>
          <w:tcPr>
            <w:tcW w:w="1110" w:type="dxa"/>
            <w:tcBorders>
              <w:top w:val="nil"/>
              <w:left w:val="nil"/>
              <w:bottom w:val="single" w:sz="8" w:space="0" w:color="000000"/>
              <w:right w:val="single" w:sz="8" w:space="0" w:color="000000"/>
            </w:tcBorders>
            <w:shd w:val="clear" w:color="auto" w:fill="auto"/>
            <w:vAlign w:val="center"/>
          </w:tcPr>
          <w:p w14:paraId="3C29526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15,38%</w:t>
            </w:r>
          </w:p>
        </w:tc>
        <w:tc>
          <w:tcPr>
            <w:tcW w:w="1331" w:type="dxa"/>
            <w:tcBorders>
              <w:top w:val="nil"/>
              <w:left w:val="nil"/>
              <w:bottom w:val="single" w:sz="8" w:space="0" w:color="000000"/>
              <w:right w:val="single" w:sz="8" w:space="0" w:color="auto"/>
            </w:tcBorders>
            <w:shd w:val="clear" w:color="auto" w:fill="auto"/>
            <w:vAlign w:val="center"/>
          </w:tcPr>
          <w:p w14:paraId="184AD080"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03:</w:t>
            </w:r>
            <w:proofErr w:type="gramEnd"/>
            <w:r>
              <w:rPr>
                <w:rFonts w:ascii="Rockwell" w:eastAsia="Times New Roman" w:hAnsi="Rockwell" w:cs="Times New Roman"/>
                <w:b/>
                <w:bCs/>
                <w:color w:val="000000"/>
                <w:sz w:val="24"/>
                <w:szCs w:val="24"/>
              </w:rPr>
              <w:t>10:30</w:t>
            </w:r>
          </w:p>
        </w:tc>
        <w:tc>
          <w:tcPr>
            <w:tcW w:w="160" w:type="dxa"/>
            <w:gridSpan w:val="2"/>
            <w:tcBorders>
              <w:top w:val="nil"/>
              <w:left w:val="nil"/>
              <w:bottom w:val="single" w:sz="8" w:space="0" w:color="000000"/>
              <w:right w:val="single" w:sz="8" w:space="0" w:color="auto"/>
            </w:tcBorders>
            <w:shd w:val="clear" w:color="auto" w:fill="auto"/>
            <w:vAlign w:val="center"/>
          </w:tcPr>
          <w:p w14:paraId="092D7B58"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18,51%</w:t>
            </w:r>
          </w:p>
        </w:tc>
      </w:tr>
      <w:tr w:rsidR="00733207" w14:paraId="2789E329" w14:textId="77777777">
        <w:trPr>
          <w:trHeight w:val="227"/>
        </w:trPr>
        <w:tc>
          <w:tcPr>
            <w:tcW w:w="1563" w:type="dxa"/>
            <w:tcBorders>
              <w:top w:val="nil"/>
              <w:left w:val="single" w:sz="8" w:space="0" w:color="000000"/>
              <w:bottom w:val="single" w:sz="8" w:space="0" w:color="000000"/>
              <w:right w:val="single" w:sz="8" w:space="0" w:color="000000"/>
            </w:tcBorders>
            <w:shd w:val="clear" w:color="auto" w:fill="auto"/>
            <w:vAlign w:val="center"/>
          </w:tcPr>
          <w:p w14:paraId="5B90507F"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07:47</w:t>
            </w:r>
          </w:p>
        </w:tc>
        <w:tc>
          <w:tcPr>
            <w:tcW w:w="1110" w:type="dxa"/>
            <w:tcBorders>
              <w:top w:val="nil"/>
              <w:left w:val="nil"/>
              <w:bottom w:val="single" w:sz="8" w:space="0" w:color="000000"/>
              <w:right w:val="single" w:sz="8" w:space="0" w:color="000000"/>
            </w:tcBorders>
            <w:shd w:val="clear" w:color="auto" w:fill="auto"/>
            <w:vAlign w:val="center"/>
          </w:tcPr>
          <w:p w14:paraId="4A6CEED4"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5,38%</w:t>
            </w:r>
          </w:p>
        </w:tc>
        <w:tc>
          <w:tcPr>
            <w:tcW w:w="1186" w:type="dxa"/>
            <w:tcBorders>
              <w:top w:val="nil"/>
              <w:left w:val="nil"/>
              <w:bottom w:val="single" w:sz="8" w:space="0" w:color="000000"/>
              <w:right w:val="single" w:sz="8" w:space="0" w:color="000000"/>
            </w:tcBorders>
            <w:shd w:val="clear" w:color="auto" w:fill="auto"/>
            <w:vAlign w:val="center"/>
          </w:tcPr>
          <w:p w14:paraId="50131AEC"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03:27</w:t>
            </w:r>
          </w:p>
        </w:tc>
        <w:tc>
          <w:tcPr>
            <w:tcW w:w="1113" w:type="dxa"/>
            <w:tcBorders>
              <w:top w:val="nil"/>
              <w:left w:val="nil"/>
              <w:bottom w:val="single" w:sz="8" w:space="0" w:color="000000"/>
              <w:right w:val="single" w:sz="8" w:space="0" w:color="000000"/>
            </w:tcBorders>
            <w:shd w:val="clear" w:color="auto" w:fill="auto"/>
            <w:vAlign w:val="center"/>
          </w:tcPr>
          <w:p w14:paraId="07FCBCC2"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4,26%</w:t>
            </w:r>
          </w:p>
        </w:tc>
        <w:tc>
          <w:tcPr>
            <w:tcW w:w="1261" w:type="dxa"/>
            <w:tcBorders>
              <w:top w:val="nil"/>
              <w:left w:val="nil"/>
              <w:bottom w:val="single" w:sz="8" w:space="0" w:color="000000"/>
              <w:right w:val="single" w:sz="8" w:space="0" w:color="000000"/>
            </w:tcBorders>
            <w:shd w:val="clear" w:color="auto" w:fill="auto"/>
            <w:vAlign w:val="center"/>
          </w:tcPr>
          <w:p w14:paraId="05E21CF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53:21</w:t>
            </w:r>
          </w:p>
        </w:tc>
        <w:tc>
          <w:tcPr>
            <w:tcW w:w="1110" w:type="dxa"/>
            <w:tcBorders>
              <w:top w:val="nil"/>
              <w:left w:val="nil"/>
              <w:bottom w:val="single" w:sz="8" w:space="0" w:color="000000"/>
              <w:right w:val="single" w:sz="8" w:space="0" w:color="000000"/>
            </w:tcBorders>
            <w:shd w:val="clear" w:color="auto" w:fill="auto"/>
            <w:vAlign w:val="center"/>
          </w:tcPr>
          <w:p w14:paraId="4E7E1C4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35,87%</w:t>
            </w:r>
          </w:p>
        </w:tc>
        <w:tc>
          <w:tcPr>
            <w:tcW w:w="1333" w:type="dxa"/>
            <w:tcBorders>
              <w:top w:val="nil"/>
              <w:left w:val="nil"/>
              <w:bottom w:val="single" w:sz="8" w:space="0" w:color="000000"/>
              <w:right w:val="single" w:sz="8" w:space="0" w:color="auto"/>
            </w:tcBorders>
            <w:shd w:val="clear" w:color="auto" w:fill="auto"/>
            <w:vAlign w:val="center"/>
          </w:tcPr>
          <w:p w14:paraId="5710976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33:26</w:t>
            </w:r>
          </w:p>
        </w:tc>
        <w:tc>
          <w:tcPr>
            <w:tcW w:w="1110" w:type="dxa"/>
            <w:tcBorders>
              <w:top w:val="nil"/>
              <w:left w:val="nil"/>
              <w:bottom w:val="single" w:sz="8" w:space="0" w:color="000000"/>
              <w:right w:val="single" w:sz="8" w:space="0" w:color="auto"/>
            </w:tcBorders>
            <w:shd w:val="clear" w:color="auto" w:fill="auto"/>
            <w:vAlign w:val="center"/>
          </w:tcPr>
          <w:p w14:paraId="328C432C"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43,96%</w:t>
            </w:r>
          </w:p>
        </w:tc>
        <w:tc>
          <w:tcPr>
            <w:tcW w:w="1250" w:type="dxa"/>
            <w:tcBorders>
              <w:top w:val="nil"/>
              <w:left w:val="nil"/>
              <w:bottom w:val="single" w:sz="8" w:space="0" w:color="000000"/>
              <w:right w:val="single" w:sz="8" w:space="0" w:color="000000"/>
            </w:tcBorders>
            <w:shd w:val="clear" w:color="auto" w:fill="auto"/>
            <w:vAlign w:val="center"/>
          </w:tcPr>
          <w:p w14:paraId="49F9CE25"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02:</w:t>
            </w:r>
            <w:proofErr w:type="gramEnd"/>
            <w:r>
              <w:rPr>
                <w:rFonts w:ascii="Rockwell" w:eastAsia="Times New Roman" w:hAnsi="Rockwell" w:cs="Times New Roman"/>
                <w:color w:val="000000"/>
                <w:sz w:val="24"/>
                <w:szCs w:val="24"/>
              </w:rPr>
              <w:t>03:18</w:t>
            </w:r>
          </w:p>
        </w:tc>
        <w:tc>
          <w:tcPr>
            <w:tcW w:w="1110" w:type="dxa"/>
            <w:tcBorders>
              <w:top w:val="nil"/>
              <w:left w:val="nil"/>
              <w:bottom w:val="single" w:sz="8" w:space="0" w:color="000000"/>
              <w:right w:val="single" w:sz="8" w:space="0" w:color="000000"/>
            </w:tcBorders>
            <w:shd w:val="clear" w:color="auto" w:fill="auto"/>
            <w:vAlign w:val="center"/>
          </w:tcPr>
          <w:p w14:paraId="0F662F2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7,49%</w:t>
            </w:r>
          </w:p>
        </w:tc>
        <w:tc>
          <w:tcPr>
            <w:tcW w:w="1331" w:type="dxa"/>
            <w:tcBorders>
              <w:top w:val="nil"/>
              <w:left w:val="nil"/>
              <w:bottom w:val="single" w:sz="8" w:space="0" w:color="000000"/>
              <w:right w:val="single" w:sz="8" w:space="0" w:color="auto"/>
            </w:tcBorders>
            <w:shd w:val="clear" w:color="auto" w:fill="auto"/>
            <w:vAlign w:val="center"/>
          </w:tcPr>
          <w:p w14:paraId="5E2B5FC7"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01:</w:t>
            </w:r>
            <w:proofErr w:type="gramEnd"/>
            <w:r>
              <w:rPr>
                <w:rFonts w:ascii="Rockwell" w:eastAsia="Times New Roman" w:hAnsi="Rockwell" w:cs="Times New Roman"/>
                <w:b/>
                <w:bCs/>
                <w:color w:val="000000"/>
                <w:sz w:val="24"/>
                <w:szCs w:val="24"/>
              </w:rPr>
              <w:t>08:49</w:t>
            </w:r>
          </w:p>
        </w:tc>
        <w:tc>
          <w:tcPr>
            <w:tcW w:w="160" w:type="dxa"/>
            <w:gridSpan w:val="2"/>
            <w:tcBorders>
              <w:top w:val="nil"/>
              <w:left w:val="nil"/>
              <w:bottom w:val="single" w:sz="8" w:space="0" w:color="000000"/>
              <w:right w:val="single" w:sz="8" w:space="0" w:color="auto"/>
            </w:tcBorders>
            <w:shd w:val="clear" w:color="auto" w:fill="auto"/>
            <w:vAlign w:val="center"/>
          </w:tcPr>
          <w:p w14:paraId="41063E1E"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6,69%</w:t>
            </w:r>
          </w:p>
        </w:tc>
      </w:tr>
      <w:tr w:rsidR="00733207" w14:paraId="53F67E90" w14:textId="77777777">
        <w:trPr>
          <w:trHeight w:val="227"/>
        </w:trPr>
        <w:tc>
          <w:tcPr>
            <w:tcW w:w="1563" w:type="dxa"/>
            <w:tcBorders>
              <w:top w:val="nil"/>
              <w:left w:val="single" w:sz="8" w:space="0" w:color="000000"/>
              <w:bottom w:val="single" w:sz="8" w:space="0" w:color="000000"/>
              <w:right w:val="single" w:sz="8" w:space="0" w:color="000000"/>
            </w:tcBorders>
            <w:shd w:val="clear" w:color="auto" w:fill="auto"/>
            <w:vAlign w:val="center"/>
          </w:tcPr>
          <w:p w14:paraId="6FDC62B3"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03:24</w:t>
            </w:r>
          </w:p>
        </w:tc>
        <w:tc>
          <w:tcPr>
            <w:tcW w:w="1110" w:type="dxa"/>
            <w:tcBorders>
              <w:top w:val="nil"/>
              <w:left w:val="nil"/>
              <w:bottom w:val="single" w:sz="8" w:space="0" w:color="000000"/>
              <w:right w:val="single" w:sz="8" w:space="0" w:color="000000"/>
            </w:tcBorders>
            <w:shd w:val="clear" w:color="auto" w:fill="auto"/>
            <w:vAlign w:val="center"/>
          </w:tcPr>
          <w:p w14:paraId="74C35FD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43,78%</w:t>
            </w:r>
          </w:p>
        </w:tc>
        <w:tc>
          <w:tcPr>
            <w:tcW w:w="1186" w:type="dxa"/>
            <w:tcBorders>
              <w:top w:val="nil"/>
              <w:left w:val="nil"/>
              <w:bottom w:val="single" w:sz="8" w:space="0" w:color="000000"/>
              <w:right w:val="single" w:sz="8" w:space="0" w:color="000000"/>
            </w:tcBorders>
            <w:shd w:val="clear" w:color="auto" w:fill="auto"/>
            <w:vAlign w:val="center"/>
          </w:tcPr>
          <w:p w14:paraId="063FB942"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38:31</w:t>
            </w:r>
          </w:p>
        </w:tc>
        <w:tc>
          <w:tcPr>
            <w:tcW w:w="1113" w:type="dxa"/>
            <w:tcBorders>
              <w:top w:val="nil"/>
              <w:left w:val="nil"/>
              <w:bottom w:val="single" w:sz="8" w:space="0" w:color="000000"/>
              <w:right w:val="single" w:sz="8" w:space="0" w:color="000000"/>
            </w:tcBorders>
            <w:shd w:val="clear" w:color="auto" w:fill="auto"/>
            <w:vAlign w:val="center"/>
          </w:tcPr>
          <w:p w14:paraId="55B2D4D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47,52%</w:t>
            </w:r>
          </w:p>
        </w:tc>
        <w:tc>
          <w:tcPr>
            <w:tcW w:w="1261" w:type="dxa"/>
            <w:tcBorders>
              <w:top w:val="nil"/>
              <w:left w:val="nil"/>
              <w:bottom w:val="single" w:sz="8" w:space="0" w:color="000000"/>
              <w:right w:val="single" w:sz="8" w:space="0" w:color="000000"/>
            </w:tcBorders>
            <w:shd w:val="clear" w:color="auto" w:fill="auto"/>
            <w:vAlign w:val="center"/>
          </w:tcPr>
          <w:p w14:paraId="489C4154"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33:49</w:t>
            </w:r>
          </w:p>
        </w:tc>
        <w:tc>
          <w:tcPr>
            <w:tcW w:w="1110" w:type="dxa"/>
            <w:tcBorders>
              <w:top w:val="nil"/>
              <w:left w:val="nil"/>
              <w:bottom w:val="single" w:sz="8" w:space="0" w:color="000000"/>
              <w:right w:val="single" w:sz="8" w:space="0" w:color="000000"/>
            </w:tcBorders>
            <w:shd w:val="clear" w:color="auto" w:fill="auto"/>
            <w:vAlign w:val="center"/>
          </w:tcPr>
          <w:p w14:paraId="2D830BB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22,74%</w:t>
            </w:r>
          </w:p>
        </w:tc>
        <w:tc>
          <w:tcPr>
            <w:tcW w:w="1333" w:type="dxa"/>
            <w:tcBorders>
              <w:top w:val="nil"/>
              <w:left w:val="nil"/>
              <w:bottom w:val="single" w:sz="8" w:space="0" w:color="000000"/>
              <w:right w:val="single" w:sz="8" w:space="0" w:color="auto"/>
            </w:tcBorders>
            <w:shd w:val="clear" w:color="auto" w:fill="auto"/>
            <w:vAlign w:val="center"/>
          </w:tcPr>
          <w:p w14:paraId="1764F094"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19:23</w:t>
            </w:r>
          </w:p>
        </w:tc>
        <w:tc>
          <w:tcPr>
            <w:tcW w:w="1110" w:type="dxa"/>
            <w:tcBorders>
              <w:top w:val="nil"/>
              <w:left w:val="nil"/>
              <w:bottom w:val="single" w:sz="8" w:space="0" w:color="000000"/>
              <w:right w:val="single" w:sz="8" w:space="0" w:color="auto"/>
            </w:tcBorders>
            <w:shd w:val="clear" w:color="auto" w:fill="auto"/>
            <w:vAlign w:val="center"/>
          </w:tcPr>
          <w:p w14:paraId="166E1EBB"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25,49%</w:t>
            </w:r>
          </w:p>
        </w:tc>
        <w:tc>
          <w:tcPr>
            <w:tcW w:w="1250" w:type="dxa"/>
            <w:tcBorders>
              <w:top w:val="nil"/>
              <w:left w:val="nil"/>
              <w:bottom w:val="single" w:sz="8" w:space="0" w:color="000000"/>
              <w:right w:val="single" w:sz="8" w:space="0" w:color="000000"/>
            </w:tcBorders>
            <w:shd w:val="clear" w:color="auto" w:fill="auto"/>
            <w:vAlign w:val="center"/>
          </w:tcPr>
          <w:p w14:paraId="199DB1EB"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05:</w:t>
            </w:r>
            <w:proofErr w:type="gramEnd"/>
            <w:r>
              <w:rPr>
                <w:rFonts w:ascii="Rockwell" w:eastAsia="Times New Roman" w:hAnsi="Rockwell" w:cs="Times New Roman"/>
                <w:color w:val="000000"/>
                <w:sz w:val="24"/>
                <w:szCs w:val="24"/>
              </w:rPr>
              <w:t>19:56</w:t>
            </w:r>
          </w:p>
        </w:tc>
        <w:tc>
          <w:tcPr>
            <w:tcW w:w="1110" w:type="dxa"/>
            <w:tcBorders>
              <w:top w:val="nil"/>
              <w:left w:val="nil"/>
              <w:bottom w:val="single" w:sz="8" w:space="0" w:color="000000"/>
              <w:right w:val="single" w:sz="8" w:space="0" w:color="000000"/>
            </w:tcBorders>
            <w:shd w:val="clear" w:color="auto" w:fill="auto"/>
            <w:vAlign w:val="center"/>
          </w:tcPr>
          <w:p w14:paraId="51BF50DF"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19,43%</w:t>
            </w:r>
          </w:p>
        </w:tc>
        <w:tc>
          <w:tcPr>
            <w:tcW w:w="1331" w:type="dxa"/>
            <w:tcBorders>
              <w:top w:val="nil"/>
              <w:left w:val="nil"/>
              <w:bottom w:val="single" w:sz="8" w:space="0" w:color="000000"/>
              <w:right w:val="single" w:sz="8" w:space="0" w:color="auto"/>
            </w:tcBorders>
            <w:shd w:val="clear" w:color="auto" w:fill="auto"/>
            <w:vAlign w:val="center"/>
          </w:tcPr>
          <w:p w14:paraId="338E664F"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03:</w:t>
            </w:r>
            <w:proofErr w:type="gramEnd"/>
            <w:r>
              <w:rPr>
                <w:rFonts w:ascii="Rockwell" w:eastAsia="Times New Roman" w:hAnsi="Rockwell" w:cs="Times New Roman"/>
                <w:b/>
                <w:bCs/>
                <w:color w:val="000000"/>
                <w:sz w:val="24"/>
                <w:szCs w:val="24"/>
              </w:rPr>
              <w:t>43:14</w:t>
            </w:r>
          </w:p>
        </w:tc>
        <w:tc>
          <w:tcPr>
            <w:tcW w:w="160" w:type="dxa"/>
            <w:gridSpan w:val="2"/>
            <w:tcBorders>
              <w:top w:val="nil"/>
              <w:left w:val="nil"/>
              <w:bottom w:val="single" w:sz="8" w:space="0" w:color="000000"/>
              <w:right w:val="single" w:sz="8" w:space="0" w:color="auto"/>
            </w:tcBorders>
            <w:shd w:val="clear" w:color="auto" w:fill="auto"/>
            <w:vAlign w:val="center"/>
          </w:tcPr>
          <w:p w14:paraId="78F7C2BB"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21,69%</w:t>
            </w:r>
          </w:p>
        </w:tc>
      </w:tr>
      <w:tr w:rsidR="00733207" w14:paraId="03F99396" w14:textId="77777777">
        <w:trPr>
          <w:trHeight w:val="227"/>
        </w:trPr>
        <w:tc>
          <w:tcPr>
            <w:tcW w:w="1563" w:type="dxa"/>
            <w:tcBorders>
              <w:top w:val="nil"/>
              <w:left w:val="single" w:sz="8" w:space="0" w:color="000000"/>
              <w:bottom w:val="single" w:sz="8" w:space="0" w:color="auto"/>
              <w:right w:val="single" w:sz="8" w:space="0" w:color="000000"/>
            </w:tcBorders>
            <w:shd w:val="clear" w:color="auto" w:fill="auto"/>
            <w:vAlign w:val="center"/>
          </w:tcPr>
          <w:p w14:paraId="3262334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09:54</w:t>
            </w:r>
          </w:p>
        </w:tc>
        <w:tc>
          <w:tcPr>
            <w:tcW w:w="1110" w:type="dxa"/>
            <w:tcBorders>
              <w:top w:val="nil"/>
              <w:left w:val="nil"/>
              <w:bottom w:val="single" w:sz="8" w:space="0" w:color="000000"/>
              <w:right w:val="single" w:sz="8" w:space="0" w:color="000000"/>
            </w:tcBorders>
            <w:shd w:val="clear" w:color="auto" w:fill="auto"/>
            <w:vAlign w:val="center"/>
          </w:tcPr>
          <w:p w14:paraId="7C550F6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6,84%</w:t>
            </w:r>
          </w:p>
        </w:tc>
        <w:tc>
          <w:tcPr>
            <w:tcW w:w="1186" w:type="dxa"/>
            <w:tcBorders>
              <w:top w:val="nil"/>
              <w:left w:val="nil"/>
              <w:bottom w:val="single" w:sz="8" w:space="0" w:color="auto"/>
              <w:right w:val="single" w:sz="8" w:space="0" w:color="000000"/>
            </w:tcBorders>
            <w:shd w:val="clear" w:color="auto" w:fill="auto"/>
            <w:vAlign w:val="center"/>
          </w:tcPr>
          <w:p w14:paraId="663C53CE"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01:43</w:t>
            </w:r>
          </w:p>
        </w:tc>
        <w:tc>
          <w:tcPr>
            <w:tcW w:w="1113" w:type="dxa"/>
            <w:tcBorders>
              <w:top w:val="nil"/>
              <w:left w:val="nil"/>
              <w:bottom w:val="single" w:sz="8" w:space="0" w:color="000000"/>
              <w:right w:val="single" w:sz="8" w:space="0" w:color="000000"/>
            </w:tcBorders>
            <w:shd w:val="clear" w:color="auto" w:fill="auto"/>
            <w:vAlign w:val="center"/>
          </w:tcPr>
          <w:p w14:paraId="3367F60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2,12%</w:t>
            </w:r>
          </w:p>
        </w:tc>
        <w:tc>
          <w:tcPr>
            <w:tcW w:w="1261" w:type="dxa"/>
            <w:tcBorders>
              <w:top w:val="nil"/>
              <w:left w:val="nil"/>
              <w:bottom w:val="single" w:sz="8" w:space="0" w:color="auto"/>
              <w:right w:val="single" w:sz="8" w:space="0" w:color="000000"/>
            </w:tcBorders>
            <w:shd w:val="clear" w:color="auto" w:fill="auto"/>
            <w:vAlign w:val="center"/>
          </w:tcPr>
          <w:p w14:paraId="36555AFB"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20:04</w:t>
            </w:r>
          </w:p>
        </w:tc>
        <w:tc>
          <w:tcPr>
            <w:tcW w:w="1110" w:type="dxa"/>
            <w:tcBorders>
              <w:top w:val="nil"/>
              <w:left w:val="nil"/>
              <w:bottom w:val="single" w:sz="8" w:space="0" w:color="000000"/>
              <w:right w:val="single" w:sz="8" w:space="0" w:color="000000"/>
            </w:tcBorders>
            <w:shd w:val="clear" w:color="auto" w:fill="auto"/>
            <w:vAlign w:val="center"/>
          </w:tcPr>
          <w:p w14:paraId="0390282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13,49%</w:t>
            </w:r>
          </w:p>
        </w:tc>
        <w:tc>
          <w:tcPr>
            <w:tcW w:w="1333" w:type="dxa"/>
            <w:tcBorders>
              <w:top w:val="nil"/>
              <w:left w:val="nil"/>
              <w:bottom w:val="single" w:sz="8" w:space="0" w:color="auto"/>
              <w:right w:val="single" w:sz="8" w:space="0" w:color="auto"/>
            </w:tcBorders>
            <w:shd w:val="clear" w:color="auto" w:fill="auto"/>
            <w:vAlign w:val="center"/>
          </w:tcPr>
          <w:p w14:paraId="4C601E67"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03:29</w:t>
            </w:r>
          </w:p>
        </w:tc>
        <w:tc>
          <w:tcPr>
            <w:tcW w:w="1110" w:type="dxa"/>
            <w:tcBorders>
              <w:top w:val="nil"/>
              <w:left w:val="nil"/>
              <w:bottom w:val="single" w:sz="8" w:space="0" w:color="000000"/>
              <w:right w:val="single" w:sz="8" w:space="0" w:color="auto"/>
            </w:tcBorders>
            <w:shd w:val="clear" w:color="auto" w:fill="auto"/>
            <w:vAlign w:val="center"/>
          </w:tcPr>
          <w:p w14:paraId="1E7B39E6"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4,58%</w:t>
            </w:r>
          </w:p>
        </w:tc>
        <w:tc>
          <w:tcPr>
            <w:tcW w:w="1250" w:type="dxa"/>
            <w:tcBorders>
              <w:top w:val="nil"/>
              <w:left w:val="nil"/>
              <w:bottom w:val="single" w:sz="8" w:space="0" w:color="000000"/>
              <w:right w:val="single" w:sz="8" w:space="0" w:color="000000"/>
            </w:tcBorders>
            <w:shd w:val="clear" w:color="auto" w:fill="auto"/>
            <w:vAlign w:val="center"/>
          </w:tcPr>
          <w:p w14:paraId="7868F64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03:</w:t>
            </w:r>
            <w:proofErr w:type="gramEnd"/>
            <w:r>
              <w:rPr>
                <w:rFonts w:ascii="Rockwell" w:eastAsia="Times New Roman" w:hAnsi="Rockwell" w:cs="Times New Roman"/>
                <w:color w:val="000000"/>
                <w:sz w:val="24"/>
                <w:szCs w:val="24"/>
              </w:rPr>
              <w:t>37:06</w:t>
            </w:r>
          </w:p>
        </w:tc>
        <w:tc>
          <w:tcPr>
            <w:tcW w:w="1110" w:type="dxa"/>
            <w:tcBorders>
              <w:top w:val="nil"/>
              <w:left w:val="nil"/>
              <w:bottom w:val="single" w:sz="8" w:space="0" w:color="000000"/>
              <w:right w:val="single" w:sz="8" w:space="0" w:color="000000"/>
            </w:tcBorders>
            <w:shd w:val="clear" w:color="auto" w:fill="auto"/>
            <w:vAlign w:val="center"/>
          </w:tcPr>
          <w:p w14:paraId="6DBD1E2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13,18%</w:t>
            </w:r>
          </w:p>
        </w:tc>
        <w:tc>
          <w:tcPr>
            <w:tcW w:w="1331" w:type="dxa"/>
            <w:tcBorders>
              <w:top w:val="nil"/>
              <w:left w:val="nil"/>
              <w:bottom w:val="single" w:sz="8" w:space="0" w:color="000000"/>
              <w:right w:val="single" w:sz="8" w:space="0" w:color="auto"/>
            </w:tcBorders>
            <w:shd w:val="clear" w:color="auto" w:fill="auto"/>
            <w:vAlign w:val="center"/>
          </w:tcPr>
          <w:p w14:paraId="0B3B34C3"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02:</w:t>
            </w:r>
            <w:proofErr w:type="gramEnd"/>
            <w:r>
              <w:rPr>
                <w:rFonts w:ascii="Rockwell" w:eastAsia="Times New Roman" w:hAnsi="Rockwell" w:cs="Times New Roman"/>
                <w:b/>
                <w:bCs/>
                <w:color w:val="000000"/>
                <w:sz w:val="24"/>
                <w:szCs w:val="24"/>
              </w:rPr>
              <w:t>24:03</w:t>
            </w:r>
          </w:p>
        </w:tc>
        <w:tc>
          <w:tcPr>
            <w:tcW w:w="160" w:type="dxa"/>
            <w:gridSpan w:val="2"/>
            <w:tcBorders>
              <w:top w:val="nil"/>
              <w:left w:val="nil"/>
              <w:bottom w:val="single" w:sz="8" w:space="0" w:color="000000"/>
              <w:right w:val="single" w:sz="8" w:space="0" w:color="auto"/>
            </w:tcBorders>
            <w:shd w:val="clear" w:color="auto" w:fill="auto"/>
            <w:vAlign w:val="center"/>
          </w:tcPr>
          <w:p w14:paraId="7963C7EC"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14,00%</w:t>
            </w:r>
          </w:p>
        </w:tc>
      </w:tr>
      <w:tr w:rsidR="00733207" w14:paraId="3AD513EE" w14:textId="77777777">
        <w:trPr>
          <w:trHeight w:val="227"/>
        </w:trPr>
        <w:tc>
          <w:tcPr>
            <w:tcW w:w="1563" w:type="dxa"/>
            <w:tcBorders>
              <w:top w:val="nil"/>
              <w:left w:val="single" w:sz="8" w:space="0" w:color="000000"/>
              <w:bottom w:val="single" w:sz="8" w:space="0" w:color="auto"/>
              <w:right w:val="single" w:sz="8" w:space="0" w:color="000000"/>
            </w:tcBorders>
            <w:shd w:val="clear" w:color="auto" w:fill="auto"/>
            <w:vAlign w:val="center"/>
          </w:tcPr>
          <w:p w14:paraId="189F95DF"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12:37</w:t>
            </w:r>
          </w:p>
        </w:tc>
        <w:tc>
          <w:tcPr>
            <w:tcW w:w="1110" w:type="dxa"/>
            <w:tcBorders>
              <w:top w:val="nil"/>
              <w:left w:val="nil"/>
              <w:bottom w:val="single" w:sz="8" w:space="0" w:color="000000"/>
              <w:right w:val="single" w:sz="8" w:space="0" w:color="000000"/>
            </w:tcBorders>
            <w:shd w:val="clear" w:color="auto" w:fill="auto"/>
            <w:vAlign w:val="center"/>
          </w:tcPr>
          <w:p w14:paraId="3D453E3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8,71%</w:t>
            </w:r>
          </w:p>
        </w:tc>
        <w:tc>
          <w:tcPr>
            <w:tcW w:w="1186" w:type="dxa"/>
            <w:tcBorders>
              <w:top w:val="nil"/>
              <w:left w:val="nil"/>
              <w:bottom w:val="single" w:sz="8" w:space="0" w:color="auto"/>
              <w:right w:val="single" w:sz="8" w:space="0" w:color="000000"/>
            </w:tcBorders>
            <w:shd w:val="clear" w:color="auto" w:fill="auto"/>
            <w:vAlign w:val="center"/>
          </w:tcPr>
          <w:p w14:paraId="2470924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09:03</w:t>
            </w:r>
          </w:p>
        </w:tc>
        <w:tc>
          <w:tcPr>
            <w:tcW w:w="1113" w:type="dxa"/>
            <w:tcBorders>
              <w:top w:val="nil"/>
              <w:left w:val="nil"/>
              <w:bottom w:val="single" w:sz="8" w:space="0" w:color="000000"/>
              <w:right w:val="single" w:sz="8" w:space="0" w:color="000000"/>
            </w:tcBorders>
            <w:shd w:val="clear" w:color="auto" w:fill="auto"/>
            <w:vAlign w:val="center"/>
          </w:tcPr>
          <w:p w14:paraId="0DA8A6E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11,17%</w:t>
            </w:r>
          </w:p>
        </w:tc>
        <w:tc>
          <w:tcPr>
            <w:tcW w:w="1261" w:type="dxa"/>
            <w:tcBorders>
              <w:top w:val="nil"/>
              <w:left w:val="nil"/>
              <w:bottom w:val="single" w:sz="8" w:space="0" w:color="auto"/>
              <w:right w:val="single" w:sz="8" w:space="0" w:color="000000"/>
            </w:tcBorders>
            <w:shd w:val="clear" w:color="auto" w:fill="auto"/>
            <w:vAlign w:val="center"/>
          </w:tcPr>
          <w:p w14:paraId="1A16CD99"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16:29</w:t>
            </w:r>
          </w:p>
        </w:tc>
        <w:tc>
          <w:tcPr>
            <w:tcW w:w="1110" w:type="dxa"/>
            <w:tcBorders>
              <w:top w:val="nil"/>
              <w:left w:val="nil"/>
              <w:bottom w:val="single" w:sz="8" w:space="0" w:color="000000"/>
              <w:right w:val="single" w:sz="8" w:space="0" w:color="000000"/>
            </w:tcBorders>
            <w:shd w:val="clear" w:color="auto" w:fill="auto"/>
            <w:vAlign w:val="center"/>
          </w:tcPr>
          <w:p w14:paraId="77DA2179"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11,08%</w:t>
            </w:r>
          </w:p>
        </w:tc>
        <w:tc>
          <w:tcPr>
            <w:tcW w:w="1333" w:type="dxa"/>
            <w:tcBorders>
              <w:top w:val="nil"/>
              <w:left w:val="nil"/>
              <w:bottom w:val="single" w:sz="8" w:space="0" w:color="auto"/>
              <w:right w:val="single" w:sz="8" w:space="0" w:color="auto"/>
            </w:tcBorders>
            <w:shd w:val="clear" w:color="auto" w:fill="auto"/>
            <w:vAlign w:val="center"/>
          </w:tcPr>
          <w:p w14:paraId="06431652"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11:31</w:t>
            </w:r>
          </w:p>
        </w:tc>
        <w:tc>
          <w:tcPr>
            <w:tcW w:w="1110" w:type="dxa"/>
            <w:tcBorders>
              <w:top w:val="nil"/>
              <w:left w:val="nil"/>
              <w:bottom w:val="single" w:sz="8" w:space="0" w:color="000000"/>
              <w:right w:val="single" w:sz="8" w:space="0" w:color="auto"/>
            </w:tcBorders>
            <w:shd w:val="clear" w:color="auto" w:fill="auto"/>
            <w:vAlign w:val="center"/>
          </w:tcPr>
          <w:p w14:paraId="56BC08E7"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15,14%</w:t>
            </w:r>
          </w:p>
        </w:tc>
        <w:tc>
          <w:tcPr>
            <w:tcW w:w="1250" w:type="dxa"/>
            <w:tcBorders>
              <w:top w:val="nil"/>
              <w:left w:val="nil"/>
              <w:bottom w:val="single" w:sz="8" w:space="0" w:color="000000"/>
              <w:right w:val="single" w:sz="8" w:space="0" w:color="000000"/>
            </w:tcBorders>
            <w:shd w:val="clear" w:color="auto" w:fill="auto"/>
            <w:vAlign w:val="center"/>
          </w:tcPr>
          <w:p w14:paraId="06AE59D7"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01:</w:t>
            </w:r>
            <w:proofErr w:type="gramEnd"/>
            <w:r>
              <w:rPr>
                <w:rFonts w:ascii="Rockwell" w:eastAsia="Times New Roman" w:hAnsi="Rockwell" w:cs="Times New Roman"/>
                <w:color w:val="000000"/>
                <w:sz w:val="24"/>
                <w:szCs w:val="24"/>
              </w:rPr>
              <w:t>35:52</w:t>
            </w:r>
          </w:p>
        </w:tc>
        <w:tc>
          <w:tcPr>
            <w:tcW w:w="1110" w:type="dxa"/>
            <w:tcBorders>
              <w:top w:val="nil"/>
              <w:left w:val="nil"/>
              <w:bottom w:val="single" w:sz="8" w:space="0" w:color="000000"/>
              <w:right w:val="single" w:sz="8" w:space="0" w:color="000000"/>
            </w:tcBorders>
            <w:shd w:val="clear" w:color="auto" w:fill="auto"/>
            <w:vAlign w:val="center"/>
          </w:tcPr>
          <w:p w14:paraId="69B9515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5,82%</w:t>
            </w:r>
          </w:p>
        </w:tc>
        <w:tc>
          <w:tcPr>
            <w:tcW w:w="1331" w:type="dxa"/>
            <w:tcBorders>
              <w:top w:val="nil"/>
              <w:left w:val="nil"/>
              <w:bottom w:val="single" w:sz="8" w:space="0" w:color="000000"/>
              <w:right w:val="single" w:sz="8" w:space="0" w:color="auto"/>
            </w:tcBorders>
            <w:shd w:val="clear" w:color="auto" w:fill="auto"/>
            <w:vAlign w:val="center"/>
          </w:tcPr>
          <w:p w14:paraId="057348D6"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00:</w:t>
            </w:r>
            <w:proofErr w:type="gramEnd"/>
            <w:r>
              <w:rPr>
                <w:rFonts w:ascii="Rockwell" w:eastAsia="Times New Roman" w:hAnsi="Rockwell" w:cs="Times New Roman"/>
                <w:b/>
                <w:bCs/>
                <w:color w:val="000000"/>
                <w:sz w:val="24"/>
                <w:szCs w:val="24"/>
              </w:rPr>
              <w:t>57:06</w:t>
            </w:r>
          </w:p>
        </w:tc>
        <w:tc>
          <w:tcPr>
            <w:tcW w:w="160" w:type="dxa"/>
            <w:gridSpan w:val="2"/>
            <w:tcBorders>
              <w:top w:val="nil"/>
              <w:left w:val="nil"/>
              <w:bottom w:val="single" w:sz="8" w:space="0" w:color="000000"/>
              <w:right w:val="single" w:sz="8" w:space="0" w:color="auto"/>
            </w:tcBorders>
            <w:shd w:val="clear" w:color="auto" w:fill="auto"/>
            <w:vAlign w:val="center"/>
          </w:tcPr>
          <w:p w14:paraId="32BDEA5F"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5,55%</w:t>
            </w:r>
          </w:p>
        </w:tc>
      </w:tr>
      <w:tr w:rsidR="00733207" w14:paraId="1CABDC2C" w14:textId="77777777">
        <w:trPr>
          <w:trHeight w:val="227"/>
        </w:trPr>
        <w:tc>
          <w:tcPr>
            <w:tcW w:w="1563" w:type="dxa"/>
            <w:tcBorders>
              <w:top w:val="nil"/>
              <w:left w:val="single" w:sz="8" w:space="0" w:color="000000"/>
              <w:bottom w:val="single" w:sz="8" w:space="0" w:color="auto"/>
              <w:right w:val="single" w:sz="8" w:space="0" w:color="000000"/>
            </w:tcBorders>
            <w:shd w:val="clear" w:color="auto" w:fill="auto"/>
            <w:vAlign w:val="center"/>
          </w:tcPr>
          <w:p w14:paraId="1B6A6E00"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22:18</w:t>
            </w:r>
          </w:p>
        </w:tc>
        <w:tc>
          <w:tcPr>
            <w:tcW w:w="1110" w:type="dxa"/>
            <w:tcBorders>
              <w:top w:val="nil"/>
              <w:left w:val="nil"/>
              <w:bottom w:val="single" w:sz="8" w:space="0" w:color="000000"/>
              <w:right w:val="single" w:sz="8" w:space="0" w:color="000000"/>
            </w:tcBorders>
            <w:shd w:val="clear" w:color="auto" w:fill="auto"/>
            <w:vAlign w:val="center"/>
          </w:tcPr>
          <w:p w14:paraId="5D0AB5F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15,40%</w:t>
            </w:r>
          </w:p>
        </w:tc>
        <w:tc>
          <w:tcPr>
            <w:tcW w:w="1186" w:type="dxa"/>
            <w:tcBorders>
              <w:top w:val="nil"/>
              <w:left w:val="nil"/>
              <w:bottom w:val="single" w:sz="8" w:space="0" w:color="auto"/>
              <w:right w:val="single" w:sz="8" w:space="0" w:color="000000"/>
            </w:tcBorders>
            <w:shd w:val="clear" w:color="auto" w:fill="auto"/>
            <w:vAlign w:val="center"/>
          </w:tcPr>
          <w:p w14:paraId="7EF48964"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15:46</w:t>
            </w:r>
          </w:p>
        </w:tc>
        <w:tc>
          <w:tcPr>
            <w:tcW w:w="1113" w:type="dxa"/>
            <w:tcBorders>
              <w:top w:val="nil"/>
              <w:left w:val="nil"/>
              <w:bottom w:val="single" w:sz="8" w:space="0" w:color="000000"/>
              <w:right w:val="single" w:sz="8" w:space="0" w:color="000000"/>
            </w:tcBorders>
            <w:shd w:val="clear" w:color="auto" w:fill="auto"/>
            <w:vAlign w:val="center"/>
          </w:tcPr>
          <w:p w14:paraId="0647C36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19,45%</w:t>
            </w:r>
          </w:p>
        </w:tc>
        <w:tc>
          <w:tcPr>
            <w:tcW w:w="1261" w:type="dxa"/>
            <w:tcBorders>
              <w:top w:val="nil"/>
              <w:left w:val="nil"/>
              <w:bottom w:val="single" w:sz="8" w:space="0" w:color="auto"/>
              <w:right w:val="single" w:sz="8" w:space="0" w:color="000000"/>
            </w:tcBorders>
            <w:shd w:val="clear" w:color="auto" w:fill="auto"/>
            <w:vAlign w:val="center"/>
          </w:tcPr>
          <w:p w14:paraId="0A202CD9"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18:07</w:t>
            </w:r>
          </w:p>
        </w:tc>
        <w:tc>
          <w:tcPr>
            <w:tcW w:w="1110" w:type="dxa"/>
            <w:tcBorders>
              <w:top w:val="nil"/>
              <w:left w:val="nil"/>
              <w:bottom w:val="single" w:sz="8" w:space="0" w:color="000000"/>
              <w:right w:val="single" w:sz="8" w:space="0" w:color="000000"/>
            </w:tcBorders>
            <w:shd w:val="clear" w:color="auto" w:fill="auto"/>
            <w:vAlign w:val="center"/>
          </w:tcPr>
          <w:p w14:paraId="0F653FE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12,18%</w:t>
            </w:r>
          </w:p>
        </w:tc>
        <w:tc>
          <w:tcPr>
            <w:tcW w:w="1333" w:type="dxa"/>
            <w:tcBorders>
              <w:top w:val="nil"/>
              <w:left w:val="nil"/>
              <w:bottom w:val="single" w:sz="8" w:space="0" w:color="auto"/>
              <w:right w:val="single" w:sz="8" w:space="0" w:color="auto"/>
            </w:tcBorders>
            <w:shd w:val="clear" w:color="auto" w:fill="auto"/>
            <w:vAlign w:val="center"/>
          </w:tcPr>
          <w:p w14:paraId="3A521854"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05:58</w:t>
            </w:r>
          </w:p>
        </w:tc>
        <w:tc>
          <w:tcPr>
            <w:tcW w:w="1110" w:type="dxa"/>
            <w:tcBorders>
              <w:top w:val="nil"/>
              <w:left w:val="nil"/>
              <w:bottom w:val="single" w:sz="8" w:space="0" w:color="000000"/>
              <w:right w:val="single" w:sz="8" w:space="0" w:color="auto"/>
            </w:tcBorders>
            <w:shd w:val="clear" w:color="auto" w:fill="auto"/>
            <w:vAlign w:val="center"/>
          </w:tcPr>
          <w:p w14:paraId="7A7C0EF3"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7,85%</w:t>
            </w:r>
          </w:p>
        </w:tc>
        <w:tc>
          <w:tcPr>
            <w:tcW w:w="1250" w:type="dxa"/>
            <w:tcBorders>
              <w:top w:val="nil"/>
              <w:left w:val="nil"/>
              <w:bottom w:val="single" w:sz="8" w:space="0" w:color="000000"/>
              <w:right w:val="single" w:sz="8" w:space="0" w:color="000000"/>
            </w:tcBorders>
            <w:shd w:val="clear" w:color="auto" w:fill="auto"/>
            <w:vAlign w:val="center"/>
          </w:tcPr>
          <w:p w14:paraId="04568893"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03:</w:t>
            </w:r>
            <w:proofErr w:type="gramEnd"/>
            <w:r>
              <w:rPr>
                <w:rFonts w:ascii="Rockwell" w:eastAsia="Times New Roman" w:hAnsi="Rockwell" w:cs="Times New Roman"/>
                <w:color w:val="000000"/>
                <w:sz w:val="24"/>
                <w:szCs w:val="24"/>
              </w:rPr>
              <w:t>14:55</w:t>
            </w:r>
          </w:p>
        </w:tc>
        <w:tc>
          <w:tcPr>
            <w:tcW w:w="1110" w:type="dxa"/>
            <w:tcBorders>
              <w:top w:val="nil"/>
              <w:left w:val="nil"/>
              <w:bottom w:val="single" w:sz="8" w:space="0" w:color="000000"/>
              <w:right w:val="single" w:sz="8" w:space="0" w:color="000000"/>
            </w:tcBorders>
            <w:shd w:val="clear" w:color="auto" w:fill="auto"/>
            <w:vAlign w:val="center"/>
          </w:tcPr>
          <w:p w14:paraId="06C2327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11,83%</w:t>
            </w:r>
          </w:p>
        </w:tc>
        <w:tc>
          <w:tcPr>
            <w:tcW w:w="1331" w:type="dxa"/>
            <w:tcBorders>
              <w:top w:val="nil"/>
              <w:left w:val="nil"/>
              <w:bottom w:val="single" w:sz="8" w:space="0" w:color="000000"/>
              <w:right w:val="single" w:sz="8" w:space="0" w:color="auto"/>
            </w:tcBorders>
            <w:shd w:val="clear" w:color="auto" w:fill="auto"/>
            <w:vAlign w:val="center"/>
          </w:tcPr>
          <w:p w14:paraId="6316C882"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01:</w:t>
            </w:r>
            <w:proofErr w:type="gramEnd"/>
            <w:r>
              <w:rPr>
                <w:rFonts w:ascii="Rockwell" w:eastAsia="Times New Roman" w:hAnsi="Rockwell" w:cs="Times New Roman"/>
                <w:b/>
                <w:bCs/>
                <w:color w:val="000000"/>
                <w:sz w:val="24"/>
                <w:szCs w:val="24"/>
              </w:rPr>
              <w:t>48:05</w:t>
            </w:r>
          </w:p>
        </w:tc>
        <w:tc>
          <w:tcPr>
            <w:tcW w:w="160" w:type="dxa"/>
            <w:gridSpan w:val="2"/>
            <w:tcBorders>
              <w:top w:val="nil"/>
              <w:left w:val="nil"/>
              <w:bottom w:val="single" w:sz="8" w:space="0" w:color="000000"/>
              <w:right w:val="single" w:sz="8" w:space="0" w:color="auto"/>
            </w:tcBorders>
            <w:shd w:val="clear" w:color="auto" w:fill="auto"/>
            <w:vAlign w:val="center"/>
          </w:tcPr>
          <w:p w14:paraId="7C1715CA"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10,50%</w:t>
            </w:r>
          </w:p>
        </w:tc>
      </w:tr>
      <w:tr w:rsidR="00733207" w14:paraId="1887F24F" w14:textId="77777777">
        <w:trPr>
          <w:trHeight w:val="227"/>
        </w:trPr>
        <w:tc>
          <w:tcPr>
            <w:tcW w:w="1563" w:type="dxa"/>
            <w:tcBorders>
              <w:top w:val="nil"/>
              <w:left w:val="single" w:sz="8" w:space="0" w:color="000000"/>
              <w:bottom w:val="single" w:sz="8" w:space="0" w:color="auto"/>
              <w:right w:val="single" w:sz="8" w:space="0" w:color="000000"/>
            </w:tcBorders>
            <w:shd w:val="clear" w:color="auto" w:fill="auto"/>
            <w:vAlign w:val="center"/>
          </w:tcPr>
          <w:p w14:paraId="082A4C25"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19:32</w:t>
            </w:r>
          </w:p>
        </w:tc>
        <w:tc>
          <w:tcPr>
            <w:tcW w:w="1110" w:type="dxa"/>
            <w:tcBorders>
              <w:top w:val="nil"/>
              <w:left w:val="nil"/>
              <w:bottom w:val="single" w:sz="8" w:space="0" w:color="000000"/>
              <w:right w:val="single" w:sz="8" w:space="0" w:color="000000"/>
            </w:tcBorders>
            <w:shd w:val="clear" w:color="auto" w:fill="auto"/>
            <w:vAlign w:val="center"/>
          </w:tcPr>
          <w:p w14:paraId="59B7D7D8"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13,49%</w:t>
            </w:r>
          </w:p>
        </w:tc>
        <w:tc>
          <w:tcPr>
            <w:tcW w:w="1186" w:type="dxa"/>
            <w:tcBorders>
              <w:top w:val="nil"/>
              <w:left w:val="nil"/>
              <w:bottom w:val="single" w:sz="8" w:space="0" w:color="auto"/>
              <w:right w:val="single" w:sz="8" w:space="0" w:color="000000"/>
            </w:tcBorders>
            <w:shd w:val="clear" w:color="auto" w:fill="auto"/>
            <w:vAlign w:val="center"/>
          </w:tcPr>
          <w:p w14:paraId="7CE06058"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12:33</w:t>
            </w:r>
          </w:p>
        </w:tc>
        <w:tc>
          <w:tcPr>
            <w:tcW w:w="1113" w:type="dxa"/>
            <w:tcBorders>
              <w:top w:val="nil"/>
              <w:left w:val="nil"/>
              <w:bottom w:val="single" w:sz="8" w:space="0" w:color="000000"/>
              <w:right w:val="single" w:sz="8" w:space="0" w:color="000000"/>
            </w:tcBorders>
            <w:shd w:val="clear" w:color="auto" w:fill="auto"/>
            <w:vAlign w:val="center"/>
          </w:tcPr>
          <w:p w14:paraId="46DCF8DE"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15,48%</w:t>
            </w:r>
          </w:p>
        </w:tc>
        <w:tc>
          <w:tcPr>
            <w:tcW w:w="1261" w:type="dxa"/>
            <w:tcBorders>
              <w:top w:val="nil"/>
              <w:left w:val="nil"/>
              <w:bottom w:val="single" w:sz="8" w:space="0" w:color="auto"/>
              <w:right w:val="single" w:sz="8" w:space="0" w:color="000000"/>
            </w:tcBorders>
            <w:shd w:val="clear" w:color="auto" w:fill="auto"/>
            <w:vAlign w:val="center"/>
          </w:tcPr>
          <w:p w14:paraId="264441E1"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01:32</w:t>
            </w:r>
          </w:p>
        </w:tc>
        <w:tc>
          <w:tcPr>
            <w:tcW w:w="1110" w:type="dxa"/>
            <w:tcBorders>
              <w:top w:val="nil"/>
              <w:left w:val="nil"/>
              <w:bottom w:val="single" w:sz="8" w:space="0" w:color="000000"/>
              <w:right w:val="single" w:sz="8" w:space="0" w:color="000000"/>
            </w:tcBorders>
            <w:shd w:val="clear" w:color="auto" w:fill="auto"/>
            <w:vAlign w:val="center"/>
          </w:tcPr>
          <w:p w14:paraId="23A0176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1,03%</w:t>
            </w:r>
          </w:p>
        </w:tc>
        <w:tc>
          <w:tcPr>
            <w:tcW w:w="1333" w:type="dxa"/>
            <w:tcBorders>
              <w:top w:val="nil"/>
              <w:left w:val="nil"/>
              <w:bottom w:val="single" w:sz="8" w:space="0" w:color="auto"/>
              <w:right w:val="single" w:sz="8" w:space="0" w:color="auto"/>
            </w:tcBorders>
            <w:shd w:val="clear" w:color="auto" w:fill="auto"/>
            <w:vAlign w:val="center"/>
          </w:tcPr>
          <w:p w14:paraId="4FAF7D66"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00:</w:t>
            </w:r>
            <w:proofErr w:type="gramEnd"/>
            <w:r>
              <w:rPr>
                <w:rFonts w:ascii="Rockwell" w:eastAsia="Times New Roman" w:hAnsi="Rockwell" w:cs="Times New Roman"/>
                <w:b/>
                <w:bCs/>
                <w:color w:val="000000"/>
                <w:sz w:val="24"/>
                <w:szCs w:val="24"/>
              </w:rPr>
              <w:t>00:00</w:t>
            </w:r>
          </w:p>
        </w:tc>
        <w:tc>
          <w:tcPr>
            <w:tcW w:w="1110" w:type="dxa"/>
            <w:tcBorders>
              <w:top w:val="nil"/>
              <w:left w:val="nil"/>
              <w:bottom w:val="single" w:sz="8" w:space="0" w:color="000000"/>
              <w:right w:val="single" w:sz="8" w:space="0" w:color="auto"/>
            </w:tcBorders>
            <w:shd w:val="clear" w:color="auto" w:fill="auto"/>
            <w:vAlign w:val="center"/>
          </w:tcPr>
          <w:p w14:paraId="1A6A92D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0,00%</w:t>
            </w:r>
          </w:p>
        </w:tc>
        <w:tc>
          <w:tcPr>
            <w:tcW w:w="1250" w:type="dxa"/>
            <w:tcBorders>
              <w:top w:val="nil"/>
              <w:left w:val="nil"/>
              <w:bottom w:val="single" w:sz="8" w:space="0" w:color="000000"/>
              <w:right w:val="single" w:sz="8" w:space="0" w:color="000000"/>
            </w:tcBorders>
            <w:shd w:val="clear" w:color="auto" w:fill="auto"/>
            <w:vAlign w:val="center"/>
          </w:tcPr>
          <w:p w14:paraId="0590F5D7" w14:textId="77777777" w:rsidR="00733207" w:rsidRDefault="00912BAE">
            <w:pPr>
              <w:spacing w:before="120" w:after="120" w:line="360" w:lineRule="auto"/>
              <w:jc w:val="both"/>
              <w:rPr>
                <w:rFonts w:ascii="Rockwell" w:eastAsia="Times New Roman" w:hAnsi="Rockwell" w:cs="Times New Roman"/>
                <w:color w:val="000000"/>
                <w:sz w:val="24"/>
                <w:szCs w:val="24"/>
              </w:rPr>
            </w:pPr>
            <w:proofErr w:type="gramStart"/>
            <w:r>
              <w:rPr>
                <w:rFonts w:ascii="Rockwell" w:eastAsia="Times New Roman" w:hAnsi="Rockwell" w:cs="Times New Roman"/>
                <w:color w:val="000000"/>
                <w:sz w:val="24"/>
                <w:szCs w:val="24"/>
              </w:rPr>
              <w:t>00:</w:t>
            </w:r>
            <w:proofErr w:type="gramEnd"/>
            <w:r>
              <w:rPr>
                <w:rFonts w:ascii="Rockwell" w:eastAsia="Times New Roman" w:hAnsi="Rockwell" w:cs="Times New Roman"/>
                <w:color w:val="000000"/>
                <w:sz w:val="24"/>
                <w:szCs w:val="24"/>
              </w:rPr>
              <w:t>21:04</w:t>
            </w:r>
          </w:p>
        </w:tc>
        <w:tc>
          <w:tcPr>
            <w:tcW w:w="1110" w:type="dxa"/>
            <w:tcBorders>
              <w:top w:val="nil"/>
              <w:left w:val="nil"/>
              <w:bottom w:val="single" w:sz="8" w:space="0" w:color="000000"/>
              <w:right w:val="single" w:sz="8" w:space="0" w:color="000000"/>
            </w:tcBorders>
            <w:shd w:val="clear" w:color="auto" w:fill="auto"/>
            <w:vAlign w:val="center"/>
          </w:tcPr>
          <w:p w14:paraId="2533EC82"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1,28%</w:t>
            </w:r>
          </w:p>
        </w:tc>
        <w:tc>
          <w:tcPr>
            <w:tcW w:w="1331" w:type="dxa"/>
            <w:tcBorders>
              <w:top w:val="nil"/>
              <w:left w:val="nil"/>
              <w:bottom w:val="single" w:sz="8" w:space="0" w:color="000000"/>
              <w:right w:val="single" w:sz="8" w:space="0" w:color="auto"/>
            </w:tcBorders>
            <w:shd w:val="clear" w:color="auto" w:fill="auto"/>
            <w:vAlign w:val="center"/>
          </w:tcPr>
          <w:p w14:paraId="540501EE"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00:</w:t>
            </w:r>
            <w:proofErr w:type="gramEnd"/>
            <w:r>
              <w:rPr>
                <w:rFonts w:ascii="Rockwell" w:eastAsia="Times New Roman" w:hAnsi="Rockwell" w:cs="Times New Roman"/>
                <w:b/>
                <w:bCs/>
                <w:color w:val="000000"/>
                <w:sz w:val="24"/>
                <w:szCs w:val="24"/>
              </w:rPr>
              <w:t>12:33</w:t>
            </w:r>
          </w:p>
        </w:tc>
        <w:tc>
          <w:tcPr>
            <w:tcW w:w="160" w:type="dxa"/>
            <w:gridSpan w:val="2"/>
            <w:tcBorders>
              <w:top w:val="nil"/>
              <w:left w:val="nil"/>
              <w:bottom w:val="single" w:sz="8" w:space="0" w:color="000000"/>
              <w:right w:val="single" w:sz="8" w:space="0" w:color="auto"/>
            </w:tcBorders>
            <w:shd w:val="clear" w:color="auto" w:fill="auto"/>
            <w:vAlign w:val="center"/>
          </w:tcPr>
          <w:p w14:paraId="5F27E4F8" w14:textId="77777777" w:rsidR="00733207" w:rsidRDefault="00912BAE">
            <w:pPr>
              <w:spacing w:before="120" w:after="120" w:line="360" w:lineRule="auto"/>
              <w:jc w:val="both"/>
              <w:rPr>
                <w:rFonts w:ascii="Rockwell" w:eastAsia="Times New Roman" w:hAnsi="Rockwell" w:cs="Times New Roman"/>
                <w:color w:val="000000"/>
                <w:sz w:val="24"/>
                <w:szCs w:val="24"/>
              </w:rPr>
            </w:pPr>
            <w:r>
              <w:rPr>
                <w:rFonts w:ascii="Rockwell" w:eastAsia="Times New Roman" w:hAnsi="Rockwell" w:cs="Times New Roman"/>
                <w:color w:val="000000"/>
                <w:sz w:val="24"/>
                <w:szCs w:val="24"/>
              </w:rPr>
              <w:t>1,22%</w:t>
            </w:r>
          </w:p>
        </w:tc>
      </w:tr>
      <w:tr w:rsidR="00733207" w14:paraId="27C3AA4C" w14:textId="77777777">
        <w:trPr>
          <w:trHeight w:val="227"/>
        </w:trPr>
        <w:tc>
          <w:tcPr>
            <w:tcW w:w="1563" w:type="dxa"/>
            <w:tcBorders>
              <w:top w:val="nil"/>
              <w:left w:val="single" w:sz="8" w:space="0" w:color="000000"/>
              <w:bottom w:val="single" w:sz="8" w:space="0" w:color="000000"/>
              <w:right w:val="single" w:sz="8" w:space="0" w:color="000000"/>
            </w:tcBorders>
            <w:shd w:val="clear" w:color="auto" w:fill="auto"/>
            <w:vAlign w:val="center"/>
          </w:tcPr>
          <w:p w14:paraId="32678FF9"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2:</w:t>
            </w:r>
            <w:proofErr w:type="gramEnd"/>
            <w:r>
              <w:rPr>
                <w:rFonts w:ascii="Rockwell" w:eastAsia="Times New Roman" w:hAnsi="Rockwell" w:cs="Times New Roman"/>
                <w:b/>
                <w:bCs/>
                <w:color w:val="000000"/>
                <w:sz w:val="24"/>
                <w:szCs w:val="24"/>
              </w:rPr>
              <w:t>24:48</w:t>
            </w:r>
          </w:p>
        </w:tc>
        <w:tc>
          <w:tcPr>
            <w:tcW w:w="1110" w:type="dxa"/>
            <w:tcBorders>
              <w:top w:val="nil"/>
              <w:left w:val="nil"/>
              <w:bottom w:val="single" w:sz="8" w:space="0" w:color="000000"/>
              <w:right w:val="single" w:sz="8" w:space="0" w:color="000000"/>
            </w:tcBorders>
            <w:shd w:val="clear" w:color="auto" w:fill="auto"/>
            <w:vAlign w:val="center"/>
          </w:tcPr>
          <w:p w14:paraId="4A0B240A"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186" w:type="dxa"/>
            <w:tcBorders>
              <w:top w:val="nil"/>
              <w:left w:val="nil"/>
              <w:bottom w:val="single" w:sz="8" w:space="0" w:color="000000"/>
              <w:right w:val="single" w:sz="8" w:space="0" w:color="000000"/>
            </w:tcBorders>
            <w:shd w:val="clear" w:color="auto" w:fill="auto"/>
            <w:vAlign w:val="center"/>
          </w:tcPr>
          <w:p w14:paraId="287272A5"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1:</w:t>
            </w:r>
            <w:proofErr w:type="gramEnd"/>
            <w:r>
              <w:rPr>
                <w:rFonts w:ascii="Rockwell" w:eastAsia="Times New Roman" w:hAnsi="Rockwell" w:cs="Times New Roman"/>
                <w:b/>
                <w:bCs/>
                <w:color w:val="000000"/>
                <w:sz w:val="24"/>
                <w:szCs w:val="24"/>
              </w:rPr>
              <w:t>21:03</w:t>
            </w:r>
          </w:p>
        </w:tc>
        <w:tc>
          <w:tcPr>
            <w:tcW w:w="1113" w:type="dxa"/>
            <w:tcBorders>
              <w:top w:val="nil"/>
              <w:left w:val="nil"/>
              <w:bottom w:val="single" w:sz="8" w:space="0" w:color="000000"/>
              <w:right w:val="single" w:sz="8" w:space="0" w:color="000000"/>
            </w:tcBorders>
            <w:shd w:val="clear" w:color="auto" w:fill="auto"/>
            <w:vAlign w:val="center"/>
          </w:tcPr>
          <w:p w14:paraId="49A4E3B5"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261" w:type="dxa"/>
            <w:tcBorders>
              <w:top w:val="nil"/>
              <w:left w:val="nil"/>
              <w:bottom w:val="single" w:sz="8" w:space="0" w:color="000000"/>
              <w:right w:val="single" w:sz="8" w:space="0" w:color="000000"/>
            </w:tcBorders>
            <w:shd w:val="clear" w:color="auto" w:fill="auto"/>
            <w:vAlign w:val="center"/>
          </w:tcPr>
          <w:p w14:paraId="55C06055" w14:textId="77777777" w:rsidR="00733207" w:rsidRDefault="00912BAE">
            <w:pPr>
              <w:spacing w:before="120" w:after="120" w:line="360" w:lineRule="auto"/>
              <w:jc w:val="both"/>
              <w:rPr>
                <w:rFonts w:ascii="Rockwell" w:eastAsia="Times New Roman" w:hAnsi="Rockwell" w:cs="Times New Roman"/>
                <w:b/>
                <w:color w:val="000000"/>
                <w:sz w:val="24"/>
                <w:szCs w:val="24"/>
              </w:rPr>
            </w:pPr>
            <w:proofErr w:type="gramStart"/>
            <w:r>
              <w:rPr>
                <w:rFonts w:ascii="Rockwell" w:eastAsia="Times New Roman" w:hAnsi="Rockwell" w:cs="Times New Roman"/>
                <w:b/>
                <w:color w:val="000000"/>
                <w:sz w:val="24"/>
                <w:szCs w:val="24"/>
              </w:rPr>
              <w:t>2:</w:t>
            </w:r>
            <w:proofErr w:type="gramEnd"/>
            <w:r>
              <w:rPr>
                <w:rFonts w:ascii="Rockwell" w:eastAsia="Times New Roman" w:hAnsi="Rockwell" w:cs="Times New Roman"/>
                <w:b/>
                <w:color w:val="000000"/>
                <w:sz w:val="24"/>
                <w:szCs w:val="24"/>
              </w:rPr>
              <w:t>28:43</w:t>
            </w:r>
          </w:p>
        </w:tc>
        <w:tc>
          <w:tcPr>
            <w:tcW w:w="1110" w:type="dxa"/>
            <w:tcBorders>
              <w:top w:val="nil"/>
              <w:left w:val="nil"/>
              <w:bottom w:val="single" w:sz="8" w:space="0" w:color="000000"/>
              <w:right w:val="single" w:sz="8" w:space="0" w:color="000000"/>
            </w:tcBorders>
            <w:shd w:val="clear" w:color="auto" w:fill="auto"/>
            <w:vAlign w:val="center"/>
          </w:tcPr>
          <w:p w14:paraId="503C84F4"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333" w:type="dxa"/>
            <w:tcBorders>
              <w:top w:val="nil"/>
              <w:left w:val="nil"/>
              <w:bottom w:val="single" w:sz="8" w:space="0" w:color="000000"/>
              <w:right w:val="single" w:sz="8" w:space="0" w:color="auto"/>
            </w:tcBorders>
            <w:shd w:val="clear" w:color="auto" w:fill="auto"/>
            <w:vAlign w:val="center"/>
          </w:tcPr>
          <w:p w14:paraId="3CC569F2"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1:</w:t>
            </w:r>
            <w:proofErr w:type="gramEnd"/>
            <w:r>
              <w:rPr>
                <w:rFonts w:ascii="Rockwell" w:eastAsia="Times New Roman" w:hAnsi="Rockwell" w:cs="Times New Roman"/>
                <w:b/>
                <w:bCs/>
                <w:color w:val="000000"/>
                <w:sz w:val="24"/>
                <w:szCs w:val="24"/>
              </w:rPr>
              <w:t>16:03</w:t>
            </w:r>
          </w:p>
        </w:tc>
        <w:tc>
          <w:tcPr>
            <w:tcW w:w="1110" w:type="dxa"/>
            <w:tcBorders>
              <w:top w:val="nil"/>
              <w:left w:val="nil"/>
              <w:bottom w:val="single" w:sz="8" w:space="0" w:color="000000"/>
              <w:right w:val="single" w:sz="8" w:space="0" w:color="auto"/>
            </w:tcBorders>
            <w:shd w:val="clear" w:color="auto" w:fill="auto"/>
            <w:vAlign w:val="center"/>
          </w:tcPr>
          <w:p w14:paraId="7C7E3291"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250" w:type="dxa"/>
            <w:tcBorders>
              <w:top w:val="nil"/>
              <w:left w:val="nil"/>
              <w:bottom w:val="single" w:sz="8" w:space="0" w:color="000000"/>
              <w:right w:val="single" w:sz="8" w:space="0" w:color="000000"/>
            </w:tcBorders>
            <w:shd w:val="clear" w:color="auto" w:fill="auto"/>
            <w:vAlign w:val="center"/>
          </w:tcPr>
          <w:p w14:paraId="1066D3B9" w14:textId="77777777" w:rsidR="00733207" w:rsidRDefault="00912BAE">
            <w:pPr>
              <w:spacing w:before="120" w:after="120" w:line="360" w:lineRule="auto"/>
              <w:jc w:val="both"/>
              <w:rPr>
                <w:rFonts w:ascii="Rockwell" w:eastAsia="Times New Roman" w:hAnsi="Rockwell" w:cs="Times New Roman"/>
                <w:b/>
                <w:color w:val="FF0000"/>
                <w:sz w:val="24"/>
                <w:szCs w:val="24"/>
              </w:rPr>
            </w:pPr>
            <w:proofErr w:type="gramStart"/>
            <w:r>
              <w:rPr>
                <w:rFonts w:ascii="Rockwell" w:eastAsia="Times New Roman" w:hAnsi="Rockwell" w:cs="Times New Roman"/>
                <w:b/>
                <w:color w:val="000000" w:themeColor="text1"/>
                <w:sz w:val="24"/>
                <w:szCs w:val="24"/>
              </w:rPr>
              <w:t>27:</w:t>
            </w:r>
            <w:proofErr w:type="gramEnd"/>
            <w:r>
              <w:rPr>
                <w:rFonts w:ascii="Rockwell" w:eastAsia="Times New Roman" w:hAnsi="Rockwell" w:cs="Times New Roman"/>
                <w:b/>
                <w:color w:val="000000" w:themeColor="text1"/>
                <w:sz w:val="24"/>
                <w:szCs w:val="24"/>
              </w:rPr>
              <w:t>27:01</w:t>
            </w:r>
          </w:p>
        </w:tc>
        <w:tc>
          <w:tcPr>
            <w:tcW w:w="1110" w:type="dxa"/>
            <w:tcBorders>
              <w:top w:val="nil"/>
              <w:left w:val="nil"/>
              <w:bottom w:val="single" w:sz="8" w:space="0" w:color="000000"/>
              <w:right w:val="single" w:sz="8" w:space="0" w:color="000000"/>
            </w:tcBorders>
            <w:shd w:val="clear" w:color="auto" w:fill="auto"/>
            <w:vAlign w:val="center"/>
          </w:tcPr>
          <w:p w14:paraId="53D51B2D" w14:textId="77777777" w:rsidR="00733207" w:rsidRDefault="00912BAE">
            <w:pPr>
              <w:spacing w:before="120" w:after="120" w:line="360" w:lineRule="auto"/>
              <w:jc w:val="both"/>
              <w:rPr>
                <w:rFonts w:ascii="Rockwell" w:eastAsia="Times New Roman" w:hAnsi="Rockwell" w:cs="Times New Roman"/>
                <w:b/>
                <w:bCs/>
                <w:color w:val="000000"/>
                <w:sz w:val="24"/>
                <w:szCs w:val="24"/>
              </w:rPr>
            </w:pPr>
            <w:r>
              <w:rPr>
                <w:rFonts w:ascii="Rockwell" w:eastAsia="Times New Roman" w:hAnsi="Rockwell" w:cs="Times New Roman"/>
                <w:b/>
                <w:bCs/>
                <w:color w:val="000000"/>
                <w:sz w:val="24"/>
                <w:szCs w:val="24"/>
              </w:rPr>
              <w:t>100,00%</w:t>
            </w:r>
          </w:p>
        </w:tc>
        <w:tc>
          <w:tcPr>
            <w:tcW w:w="1331" w:type="dxa"/>
            <w:tcBorders>
              <w:top w:val="nil"/>
              <w:left w:val="nil"/>
              <w:bottom w:val="single" w:sz="8" w:space="0" w:color="000000"/>
              <w:right w:val="single" w:sz="8" w:space="0" w:color="auto"/>
            </w:tcBorders>
            <w:shd w:val="clear" w:color="auto" w:fill="auto"/>
            <w:vAlign w:val="center"/>
          </w:tcPr>
          <w:p w14:paraId="31806551" w14:textId="77777777" w:rsidR="00733207" w:rsidRDefault="00912BAE">
            <w:pPr>
              <w:spacing w:before="120" w:after="120" w:line="360" w:lineRule="auto"/>
              <w:jc w:val="both"/>
              <w:rPr>
                <w:rFonts w:ascii="Rockwell" w:eastAsia="Times New Roman" w:hAnsi="Rockwell" w:cs="Times New Roman"/>
                <w:b/>
                <w:bCs/>
                <w:color w:val="000000"/>
                <w:sz w:val="24"/>
                <w:szCs w:val="24"/>
              </w:rPr>
            </w:pPr>
            <w:proofErr w:type="gramStart"/>
            <w:r>
              <w:rPr>
                <w:rFonts w:ascii="Rockwell" w:eastAsia="Times New Roman" w:hAnsi="Rockwell" w:cs="Times New Roman"/>
                <w:b/>
                <w:bCs/>
                <w:color w:val="000000"/>
                <w:sz w:val="24"/>
                <w:szCs w:val="24"/>
              </w:rPr>
              <w:t>17:</w:t>
            </w:r>
            <w:proofErr w:type="gramEnd"/>
            <w:r>
              <w:rPr>
                <w:rFonts w:ascii="Rockwell" w:eastAsia="Times New Roman" w:hAnsi="Rockwell" w:cs="Times New Roman"/>
                <w:b/>
                <w:bCs/>
                <w:color w:val="000000"/>
                <w:sz w:val="24"/>
                <w:szCs w:val="24"/>
              </w:rPr>
              <w:t>09:05</w:t>
            </w:r>
          </w:p>
        </w:tc>
        <w:tc>
          <w:tcPr>
            <w:tcW w:w="160" w:type="dxa"/>
            <w:gridSpan w:val="2"/>
            <w:tcBorders>
              <w:top w:val="nil"/>
              <w:left w:val="nil"/>
              <w:bottom w:val="single" w:sz="8" w:space="0" w:color="000000"/>
              <w:right w:val="single" w:sz="8" w:space="0" w:color="auto"/>
            </w:tcBorders>
            <w:shd w:val="clear" w:color="auto" w:fill="auto"/>
            <w:vAlign w:val="center"/>
          </w:tcPr>
          <w:p w14:paraId="25BB9158" w14:textId="77777777" w:rsidR="00733207" w:rsidRDefault="00912BAE">
            <w:pPr>
              <w:spacing w:before="120" w:after="120" w:line="360" w:lineRule="auto"/>
              <w:jc w:val="both"/>
              <w:rPr>
                <w:rFonts w:ascii="Rockwell" w:eastAsia="Times New Roman" w:hAnsi="Rockwell" w:cs="Times New Roman"/>
                <w:b/>
                <w:color w:val="000000"/>
                <w:sz w:val="24"/>
                <w:szCs w:val="24"/>
              </w:rPr>
            </w:pPr>
            <w:r>
              <w:rPr>
                <w:rFonts w:ascii="Rockwell" w:eastAsia="Times New Roman" w:hAnsi="Rockwell" w:cs="Times New Roman"/>
                <w:b/>
                <w:color w:val="000000"/>
                <w:sz w:val="24"/>
                <w:szCs w:val="24"/>
              </w:rPr>
              <w:t>100,00%</w:t>
            </w:r>
          </w:p>
        </w:tc>
      </w:tr>
    </w:tbl>
    <w:p w14:paraId="6127F7C2" w14:textId="77777777" w:rsidR="00733207" w:rsidRDefault="00912BAE">
      <w:pPr>
        <w:spacing w:before="120" w:after="120" w:line="360" w:lineRule="auto"/>
        <w:ind w:left="142"/>
        <w:jc w:val="both"/>
        <w:rPr>
          <w:rFonts w:ascii="Rockwell" w:hAnsi="Rockwell"/>
          <w:i/>
        </w:rPr>
        <w:sectPr w:rsidR="00733207">
          <w:pgSz w:w="16838" w:h="11906" w:orient="landscape"/>
          <w:pgMar w:top="1417" w:right="1417" w:bottom="1417" w:left="1417" w:header="708" w:footer="708" w:gutter="0"/>
          <w:cols w:space="708"/>
          <w:docGrid w:linePitch="360"/>
        </w:sectPr>
      </w:pPr>
      <w:r>
        <w:rPr>
          <w:rFonts w:ascii="Rockwell" w:hAnsi="Rockwell"/>
          <w:b/>
          <w:i/>
          <w:u w:val="single"/>
        </w:rPr>
        <w:t>Source</w:t>
      </w:r>
      <w:r>
        <w:rPr>
          <w:rFonts w:ascii="Rockwell" w:hAnsi="Rockwell"/>
          <w:i/>
        </w:rPr>
        <w:t> : CSC</w:t>
      </w:r>
    </w:p>
    <w:p w14:paraId="3062ADE2" w14:textId="51A1D348" w:rsidR="00733207" w:rsidRDefault="00912BAE">
      <w:pPr>
        <w:spacing w:before="120" w:after="120" w:line="240" w:lineRule="auto"/>
        <w:ind w:left="1418" w:right="-1134" w:hanging="851"/>
        <w:jc w:val="center"/>
        <w:rPr>
          <w:rFonts w:ascii="Rockwell" w:hAnsi="Rockwell" w:cs="Times New Roman"/>
          <w:i/>
        </w:rPr>
      </w:pPr>
      <w:r>
        <w:rPr>
          <w:rFonts w:ascii="Rockwell" w:hAnsi="Rockwell" w:cs="Times New Roman"/>
          <w:b/>
          <w:i/>
          <w:u w:val="single"/>
        </w:rPr>
        <w:lastRenderedPageBreak/>
        <w:t>Graphique n°22</w:t>
      </w:r>
      <w:r>
        <w:rPr>
          <w:rFonts w:ascii="Rockwell" w:hAnsi="Rockwell" w:cs="Times New Roman"/>
          <w:i/>
        </w:rPr>
        <w:t xml:space="preserve"> :</w:t>
      </w:r>
      <w:r>
        <w:rPr>
          <w:rFonts w:ascii="Rockwell" w:hAnsi="Rockwell" w:cs="Times New Roman"/>
          <w:b/>
          <w:i/>
        </w:rPr>
        <w:t xml:space="preserve"> </w:t>
      </w:r>
      <w:r>
        <w:rPr>
          <w:rFonts w:ascii="Rockwell" w:hAnsi="Rockwell" w:cs="Times New Roman"/>
          <w:i/>
        </w:rPr>
        <w:t xml:space="preserve">Représentation des TA et TP </w:t>
      </w:r>
      <w:r w:rsidR="00794AA1" w:rsidRPr="00794AA1">
        <w:rPr>
          <w:rFonts w:ascii="Rockwell" w:hAnsi="Rockwell" w:cs="Times New Roman"/>
          <w:i/>
        </w:rPr>
        <w:t xml:space="preserve">des thèmes abordés </w:t>
      </w:r>
      <w:r>
        <w:rPr>
          <w:rFonts w:ascii="Rockwell" w:hAnsi="Rockwell" w:cs="Times New Roman"/>
          <w:i/>
        </w:rPr>
        <w:t>dans les médias audiovisuels privés</w:t>
      </w:r>
    </w:p>
    <w:p w14:paraId="74301110" w14:textId="77777777" w:rsidR="00733207" w:rsidRDefault="00733207">
      <w:pPr>
        <w:spacing w:before="120" w:after="120" w:line="240" w:lineRule="auto"/>
        <w:ind w:left="1418" w:right="-1134" w:hanging="851"/>
        <w:jc w:val="center"/>
        <w:rPr>
          <w:rFonts w:ascii="Rockwell" w:hAnsi="Rockwell" w:cs="Times New Roman"/>
          <w:i/>
        </w:rPr>
      </w:pPr>
    </w:p>
    <w:p w14:paraId="3DA633C8" w14:textId="77777777" w:rsidR="00733207" w:rsidRDefault="00912BAE">
      <w:pPr>
        <w:spacing w:before="120" w:after="120" w:line="240" w:lineRule="auto"/>
        <w:ind w:left="709"/>
        <w:rPr>
          <w:rFonts w:ascii="Rockwell" w:hAnsi="Rockwell" w:cs="Times New Roman"/>
          <w:i/>
          <w:sz w:val="18"/>
          <w:szCs w:val="18"/>
        </w:rPr>
      </w:pPr>
      <w:r>
        <w:rPr>
          <w:rFonts w:ascii="Rockwell" w:hAnsi="Rockwell" w:cs="Times New Roman"/>
          <w:i/>
          <w:sz w:val="18"/>
          <w:szCs w:val="18"/>
        </w:rPr>
        <w:t xml:space="preserve">        </w:t>
      </w:r>
      <w:r>
        <w:rPr>
          <w:rFonts w:ascii="Rockwell" w:hAnsi="Rockwell" w:cs="Times New Roman"/>
          <w:b/>
          <w:noProof/>
          <w:sz w:val="26"/>
          <w:szCs w:val="26"/>
          <w:lang w:eastAsia="fr-FR"/>
        </w:rPr>
        <w:drawing>
          <wp:inline distT="0" distB="0" distL="0" distR="0" wp14:anchorId="676BD359" wp14:editId="2E97F30C">
            <wp:extent cx="5514975" cy="4467225"/>
            <wp:effectExtent l="0" t="0" r="9525" b="9525"/>
            <wp:docPr id="69" name="Graphique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2C1D5813" w14:textId="77777777" w:rsidR="00733207" w:rsidRDefault="00733207">
      <w:pPr>
        <w:spacing w:before="120" w:after="120" w:line="360" w:lineRule="auto"/>
        <w:ind w:left="-567"/>
        <w:jc w:val="center"/>
        <w:rPr>
          <w:rFonts w:ascii="Rockwell" w:hAnsi="Rockwell" w:cs="Times New Roman"/>
          <w:b/>
          <w:sz w:val="26"/>
          <w:szCs w:val="26"/>
        </w:rPr>
      </w:pPr>
    </w:p>
    <w:p w14:paraId="3624C9F2" w14:textId="77777777" w:rsidR="00733207" w:rsidRDefault="00912BAE">
      <w:pPr>
        <w:spacing w:before="120" w:after="120" w:line="360" w:lineRule="auto"/>
        <w:ind w:left="142"/>
        <w:jc w:val="both"/>
        <w:rPr>
          <w:rFonts w:ascii="Rockwell" w:hAnsi="Rockwell" w:cs="Times New Roman"/>
          <w:b/>
          <w:sz w:val="26"/>
          <w:szCs w:val="26"/>
        </w:rPr>
        <w:sectPr w:rsidR="00733207">
          <w:pgSz w:w="11906" w:h="16838"/>
          <w:pgMar w:top="1418" w:right="2550" w:bottom="1418" w:left="1418" w:header="709" w:footer="709" w:gutter="0"/>
          <w:cols w:space="708"/>
          <w:docGrid w:linePitch="360"/>
        </w:sectPr>
      </w:pPr>
      <w:r>
        <w:rPr>
          <w:rFonts w:ascii="Rockwell" w:hAnsi="Rockwell" w:cs="Times New Roman"/>
          <w:b/>
          <w:sz w:val="26"/>
          <w:szCs w:val="26"/>
        </w:rPr>
        <w:br w:type="page"/>
      </w:r>
    </w:p>
    <w:p w14:paraId="3579B8AB" w14:textId="77777777" w:rsidR="00733207" w:rsidRDefault="00912BAE">
      <w:pPr>
        <w:pStyle w:val="Titre5"/>
        <w:numPr>
          <w:ilvl w:val="1"/>
          <w:numId w:val="29"/>
        </w:numPr>
        <w:spacing w:before="120" w:after="120" w:line="360" w:lineRule="auto"/>
        <w:jc w:val="center"/>
        <w:rPr>
          <w:rFonts w:ascii="Rockwell" w:hAnsi="Rockwell" w:cs="Times New Roman"/>
          <w:i w:val="0"/>
          <w:color w:val="auto"/>
          <w:sz w:val="26"/>
          <w:szCs w:val="26"/>
        </w:rPr>
      </w:pPr>
      <w:bookmarkStart w:id="334" w:name="_Toc169855155"/>
      <w:bookmarkStart w:id="335" w:name="_Toc175128524"/>
      <w:r>
        <w:rPr>
          <w:rFonts w:ascii="Rockwell" w:hAnsi="Rockwell"/>
          <w:i w:val="0"/>
          <w:color w:val="auto"/>
          <w:sz w:val="26"/>
          <w:szCs w:val="26"/>
        </w:rPr>
        <w:lastRenderedPageBreak/>
        <w:t xml:space="preserve">Appréciation dans les </w:t>
      </w:r>
      <w:r>
        <w:rPr>
          <w:rFonts w:ascii="Rockwell" w:hAnsi="Rockwell" w:cs="Times New Roman"/>
          <w:i w:val="0"/>
          <w:color w:val="auto"/>
          <w:sz w:val="26"/>
          <w:szCs w:val="26"/>
        </w:rPr>
        <w:t>médias audiovisuels privés de l’Ouest</w:t>
      </w:r>
      <w:bookmarkEnd w:id="334"/>
      <w:bookmarkEnd w:id="335"/>
    </w:p>
    <w:p w14:paraId="19AE3F61" w14:textId="77777777" w:rsidR="00733207" w:rsidRDefault="00733207">
      <w:pPr>
        <w:spacing w:before="120" w:after="120" w:line="360" w:lineRule="auto"/>
        <w:jc w:val="both"/>
        <w:rPr>
          <w:rFonts w:ascii="Rockwell" w:hAnsi="Rockwell"/>
          <w:sz w:val="10"/>
          <w:szCs w:val="10"/>
        </w:rPr>
      </w:pPr>
    </w:p>
    <w:p w14:paraId="4CC23C1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Les médias privés ont consacré un TA de 27 heures 27 minutes 01 seconde et un TP de 17 heures 09 minutes 05 secondes au traitement des thèmes retenus.</w:t>
      </w:r>
    </w:p>
    <w:p w14:paraId="5288F02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La thématique </w:t>
      </w:r>
      <w:r>
        <w:rPr>
          <w:rFonts w:ascii="Rockwell" w:hAnsi="Rockwell" w:cs="Times New Roman"/>
          <w:i/>
          <w:sz w:val="26"/>
          <w:szCs w:val="26"/>
        </w:rPr>
        <w:t>politique</w:t>
      </w:r>
      <w:r>
        <w:rPr>
          <w:rFonts w:ascii="Rockwell" w:hAnsi="Rockwell" w:cs="Times New Roman"/>
          <w:sz w:val="26"/>
          <w:szCs w:val="26"/>
        </w:rPr>
        <w:t xml:space="preserve">, en tête, a obtenu un TA de 07 heures 01 minute 36 secondes soit un taux de 25,60% et un TP de 03 heures 44 minutes 45 secondes, soit 21,84%. La question sociétale occupe la deuxième place avec un TA de 05 heures 19 minutes 56 secondes soit 19,43% et un TP de 03 heures 43 minutes 14 secondes, soit 21,69%. Au troisième rang, la </w:t>
      </w:r>
      <w:r>
        <w:rPr>
          <w:rFonts w:ascii="Rockwell" w:hAnsi="Rockwell" w:cs="Times New Roman"/>
          <w:i/>
          <w:sz w:val="26"/>
          <w:szCs w:val="26"/>
        </w:rPr>
        <w:t>sécurité</w:t>
      </w:r>
      <w:r>
        <w:rPr>
          <w:rFonts w:ascii="Rockwell" w:hAnsi="Rockwell" w:cs="Times New Roman"/>
          <w:sz w:val="26"/>
          <w:szCs w:val="26"/>
        </w:rPr>
        <w:t xml:space="preserve"> occupe 04 heures 13 minutes 14 secondes soit 15,38% de TA et 03 heures 10 minutes 30 secondes soit 18,51% de TP.</w:t>
      </w:r>
    </w:p>
    <w:p w14:paraId="6A71531E"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Il résulte donc de l’appréciation dans les médias audiovisuels privés de l’Ouest, une pluralité de thèmes abordés avec une prédominance des questions politiques, sociales et sécuritaires.</w:t>
      </w:r>
    </w:p>
    <w:p w14:paraId="188E8F07" w14:textId="77777777" w:rsidR="00733207" w:rsidRDefault="00733207">
      <w:pPr>
        <w:spacing w:before="120" w:after="120" w:line="360" w:lineRule="auto"/>
        <w:jc w:val="both"/>
        <w:rPr>
          <w:rFonts w:ascii="Rockwell" w:hAnsi="Rockwell" w:cs="Times New Roman"/>
          <w:sz w:val="26"/>
          <w:szCs w:val="26"/>
        </w:rPr>
      </w:pPr>
    </w:p>
    <w:p w14:paraId="3011ACF3" w14:textId="77777777" w:rsidR="00733207" w:rsidRDefault="00733207">
      <w:pPr>
        <w:jc w:val="both"/>
        <w:rPr>
          <w:rFonts w:ascii="Rockwell" w:hAnsi="Rockwell"/>
        </w:rPr>
      </w:pPr>
    </w:p>
    <w:p w14:paraId="3124C2F7" w14:textId="77777777" w:rsidR="00733207" w:rsidRDefault="00733207">
      <w:pPr>
        <w:jc w:val="both"/>
        <w:rPr>
          <w:rFonts w:ascii="Rockwell" w:hAnsi="Rockwell"/>
        </w:rPr>
      </w:pPr>
    </w:p>
    <w:p w14:paraId="6A584BA7" w14:textId="77777777" w:rsidR="00733207" w:rsidRDefault="00912BAE">
      <w:pPr>
        <w:spacing w:before="120" w:after="120" w:line="360" w:lineRule="auto"/>
        <w:ind w:left="-142"/>
        <w:jc w:val="both"/>
        <w:rPr>
          <w:rFonts w:ascii="Rockwell" w:eastAsia="Times New Roman" w:hAnsi="Rockwell"/>
          <w:bCs/>
          <w:iCs/>
          <w:sz w:val="26"/>
          <w:szCs w:val="26"/>
        </w:rPr>
      </w:pPr>
      <w:r>
        <w:rPr>
          <w:rFonts w:ascii="Rockwell" w:eastAsia="Times New Roman" w:hAnsi="Rockwell"/>
          <w:bCs/>
          <w:iCs/>
          <w:sz w:val="26"/>
          <w:szCs w:val="26"/>
        </w:rPr>
        <w:t xml:space="preserve">. </w:t>
      </w:r>
    </w:p>
    <w:p w14:paraId="584D677E" w14:textId="77777777" w:rsidR="00733207" w:rsidRDefault="00733207">
      <w:pPr>
        <w:spacing w:before="120" w:after="120" w:line="360" w:lineRule="auto"/>
        <w:jc w:val="both"/>
        <w:rPr>
          <w:rFonts w:ascii="Rockwell" w:hAnsi="Rockwell"/>
          <w:bCs/>
          <w:iCs/>
          <w:sz w:val="26"/>
          <w:szCs w:val="26"/>
        </w:rPr>
        <w:sectPr w:rsidR="00733207">
          <w:footerReference w:type="default" r:id="rId57"/>
          <w:pgSz w:w="11906" w:h="16838"/>
          <w:pgMar w:top="1417" w:right="1417" w:bottom="1417" w:left="1417" w:header="708" w:footer="708" w:gutter="0"/>
          <w:cols w:space="708"/>
          <w:docGrid w:linePitch="360"/>
        </w:sectPr>
      </w:pPr>
    </w:p>
    <w:p w14:paraId="400A53E4" w14:textId="77777777" w:rsidR="00733207" w:rsidRDefault="00912BAE">
      <w:pPr>
        <w:pStyle w:val="Titre2"/>
        <w:spacing w:before="240" w:after="240" w:line="360" w:lineRule="auto"/>
        <w:jc w:val="center"/>
        <w:rPr>
          <w:rFonts w:ascii="Rockwell" w:hAnsi="Rockwell"/>
          <w:b/>
          <w:color w:val="auto"/>
          <w:sz w:val="30"/>
          <w:szCs w:val="30"/>
        </w:rPr>
      </w:pPr>
      <w:bookmarkStart w:id="336" w:name="_Toc175128525"/>
      <w:bookmarkStart w:id="337" w:name="_Toc170209341"/>
      <w:bookmarkStart w:id="338" w:name="_Toc169855169"/>
      <w:bookmarkStart w:id="339" w:name="_Toc169854380"/>
      <w:r>
        <w:rPr>
          <w:rFonts w:ascii="Rockwell" w:hAnsi="Rockwell"/>
          <w:b/>
          <w:color w:val="auto"/>
          <w:sz w:val="30"/>
          <w:szCs w:val="30"/>
        </w:rPr>
        <w:lastRenderedPageBreak/>
        <w:t>CHAPITRE VI : MANQUEMENTS A LA LOI, A L’ETHIQUE ET A LA DEONTOLOGIE</w:t>
      </w:r>
      <w:bookmarkEnd w:id="336"/>
      <w:bookmarkEnd w:id="337"/>
      <w:bookmarkEnd w:id="338"/>
      <w:bookmarkEnd w:id="339"/>
    </w:p>
    <w:p w14:paraId="67413136" w14:textId="77777777" w:rsidR="00733207" w:rsidRDefault="00733207">
      <w:pPr>
        <w:jc w:val="both"/>
        <w:rPr>
          <w:rFonts w:ascii="Rockwell" w:hAnsi="Rockwell"/>
          <w:sz w:val="10"/>
          <w:szCs w:val="10"/>
        </w:rPr>
      </w:pPr>
    </w:p>
    <w:p w14:paraId="4B09C739" w14:textId="4CD04765"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La régulation de la communication au public s’est poursuivie, durant l’année 2023 et a donné lieu à des saisines et auto</w:t>
      </w:r>
      <w:r w:rsidR="00102E79">
        <w:rPr>
          <w:rFonts w:ascii="Rockwell" w:hAnsi="Rockwell" w:cs="Times New Roman"/>
          <w:sz w:val="26"/>
          <w:szCs w:val="26"/>
        </w:rPr>
        <w:t>-</w:t>
      </w:r>
      <w:r>
        <w:rPr>
          <w:rFonts w:ascii="Rockwell" w:hAnsi="Rockwell" w:cs="Times New Roman"/>
          <w:sz w:val="26"/>
          <w:szCs w:val="26"/>
        </w:rPr>
        <w:t>saisines. Des rencontres d’échanges et de sensibilisation ont également été organisées dans l’optique de l’amélioration de l’offre médiatique.</w:t>
      </w:r>
    </w:p>
    <w:p w14:paraId="512CB10B" w14:textId="77777777" w:rsidR="00733207" w:rsidRDefault="00733207">
      <w:pPr>
        <w:spacing w:before="120" w:after="120" w:line="360" w:lineRule="auto"/>
        <w:jc w:val="both"/>
        <w:rPr>
          <w:rFonts w:ascii="Rockwell" w:hAnsi="Rockwell" w:cs="Times New Roman"/>
          <w:sz w:val="26"/>
          <w:szCs w:val="26"/>
        </w:rPr>
      </w:pPr>
    </w:p>
    <w:p w14:paraId="3A90DCF2" w14:textId="77777777" w:rsidR="00733207" w:rsidRPr="005927C6" w:rsidRDefault="00912BAE">
      <w:pPr>
        <w:pStyle w:val="Titre3"/>
        <w:spacing w:before="240" w:after="240" w:line="360" w:lineRule="auto"/>
        <w:jc w:val="center"/>
        <w:rPr>
          <w:rFonts w:ascii="Rockwell" w:hAnsi="Rockwell"/>
          <w:b/>
          <w:i/>
          <w:color w:val="auto"/>
          <w:sz w:val="28"/>
          <w:szCs w:val="28"/>
        </w:rPr>
      </w:pPr>
      <w:bookmarkStart w:id="340" w:name="_Toc169855170"/>
      <w:bookmarkStart w:id="341" w:name="_Toc175128526"/>
      <w:bookmarkStart w:id="342" w:name="_Toc170209342"/>
      <w:bookmarkStart w:id="343" w:name="_Toc169854381"/>
      <w:r w:rsidRPr="005927C6">
        <w:rPr>
          <w:rFonts w:ascii="Rockwell" w:hAnsi="Rockwell"/>
          <w:b/>
          <w:i/>
          <w:color w:val="auto"/>
          <w:sz w:val="28"/>
          <w:szCs w:val="28"/>
        </w:rPr>
        <w:t>SECTION 1 : AUTO SAISINES</w:t>
      </w:r>
      <w:bookmarkEnd w:id="340"/>
      <w:bookmarkEnd w:id="341"/>
      <w:bookmarkEnd w:id="342"/>
      <w:bookmarkEnd w:id="343"/>
    </w:p>
    <w:p w14:paraId="6279039B" w14:textId="6D4FD7F0" w:rsidR="00733207" w:rsidRDefault="00912BAE">
      <w:pPr>
        <w:spacing w:before="120" w:after="120" w:line="360" w:lineRule="auto"/>
        <w:jc w:val="both"/>
        <w:rPr>
          <w:rFonts w:ascii="Rockwell" w:hAnsi="Rockwell"/>
          <w:sz w:val="26"/>
          <w:szCs w:val="26"/>
        </w:rPr>
      </w:pPr>
      <w:r>
        <w:rPr>
          <w:rFonts w:ascii="Rockwell" w:hAnsi="Rockwell"/>
          <w:sz w:val="26"/>
          <w:szCs w:val="26"/>
        </w:rPr>
        <w:t>Les auto saisines ont porté sur des cas de violation de la loi, de l’éthique et de la déontologie professionnelle</w:t>
      </w:r>
      <w:r w:rsidR="00102E79">
        <w:rPr>
          <w:rFonts w:ascii="Rockwell" w:hAnsi="Rockwell"/>
          <w:sz w:val="26"/>
          <w:szCs w:val="26"/>
        </w:rPr>
        <w:t>s</w:t>
      </w:r>
      <w:r>
        <w:rPr>
          <w:rFonts w:ascii="Rockwell" w:hAnsi="Rockwell"/>
          <w:sz w:val="26"/>
          <w:szCs w:val="26"/>
        </w:rPr>
        <w:t>.  Il s’agit précisément de la diffusion de fausses nouvelles, de pièces fabriquées, falsifiées ou mensongères, de la protection des enfants et des adolescents, de l’atteinte à l’image et à la dignité de la personne, de l’appel, à la sédition et/ou à la révolte et de l’intolérance religieuse.</w:t>
      </w:r>
    </w:p>
    <w:p w14:paraId="578C4D6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Ces manquements ont concerné six (06) médias qui sont : </w:t>
      </w:r>
      <w:r>
        <w:rPr>
          <w:rFonts w:ascii="Rockwell" w:hAnsi="Rockwell"/>
          <w:i/>
          <w:sz w:val="26"/>
          <w:szCs w:val="26"/>
        </w:rPr>
        <w:t>Netafrique.net</w:t>
      </w:r>
      <w:r>
        <w:rPr>
          <w:rFonts w:ascii="Rockwell" w:hAnsi="Rockwell"/>
          <w:sz w:val="26"/>
          <w:szCs w:val="26"/>
        </w:rPr>
        <w:t xml:space="preserve">, </w:t>
      </w:r>
      <w:r>
        <w:rPr>
          <w:rFonts w:ascii="Rockwell" w:hAnsi="Rockwell"/>
          <w:i/>
          <w:sz w:val="26"/>
          <w:szCs w:val="26"/>
        </w:rPr>
        <w:t>RTB</w:t>
      </w:r>
      <w:r>
        <w:rPr>
          <w:rFonts w:ascii="Rockwell" w:hAnsi="Rockwell"/>
          <w:sz w:val="26"/>
          <w:szCs w:val="26"/>
        </w:rPr>
        <w:t xml:space="preserve">, </w:t>
      </w:r>
      <w:r>
        <w:rPr>
          <w:rFonts w:ascii="Rockwell" w:hAnsi="Rockwell"/>
          <w:i/>
          <w:sz w:val="26"/>
          <w:szCs w:val="26"/>
        </w:rPr>
        <w:t>BF1</w:t>
      </w:r>
      <w:r>
        <w:rPr>
          <w:rFonts w:ascii="Rockwell" w:hAnsi="Rockwell"/>
          <w:sz w:val="26"/>
          <w:szCs w:val="26"/>
        </w:rPr>
        <w:t xml:space="preserve">, </w:t>
      </w:r>
      <w:r>
        <w:rPr>
          <w:rFonts w:ascii="Rockwell" w:hAnsi="Rockwell"/>
          <w:i/>
          <w:sz w:val="26"/>
          <w:szCs w:val="26"/>
        </w:rPr>
        <w:t>CANAL 3</w:t>
      </w:r>
      <w:r>
        <w:rPr>
          <w:rFonts w:ascii="Rockwell" w:hAnsi="Rockwell"/>
          <w:sz w:val="26"/>
          <w:szCs w:val="26"/>
        </w:rPr>
        <w:t xml:space="preserve">, </w:t>
      </w:r>
      <w:r>
        <w:rPr>
          <w:rFonts w:ascii="Rockwell" w:hAnsi="Rockwell"/>
          <w:i/>
          <w:sz w:val="26"/>
          <w:szCs w:val="26"/>
        </w:rPr>
        <w:t>L’Evénement</w:t>
      </w:r>
      <w:r>
        <w:rPr>
          <w:rFonts w:ascii="Rockwell" w:hAnsi="Rockwell"/>
          <w:sz w:val="26"/>
          <w:szCs w:val="26"/>
        </w:rPr>
        <w:t xml:space="preserve"> et </w:t>
      </w:r>
      <w:r>
        <w:rPr>
          <w:rFonts w:ascii="Rockwell" w:hAnsi="Rockwell"/>
          <w:i/>
          <w:sz w:val="26"/>
          <w:szCs w:val="26"/>
        </w:rPr>
        <w:t>L’Observateur </w:t>
      </w:r>
      <w:proofErr w:type="spellStart"/>
      <w:r>
        <w:rPr>
          <w:rFonts w:ascii="Rockwell" w:hAnsi="Rockwell"/>
          <w:i/>
          <w:sz w:val="26"/>
          <w:szCs w:val="26"/>
        </w:rPr>
        <w:t>Paalga</w:t>
      </w:r>
      <w:proofErr w:type="spellEnd"/>
      <w:r>
        <w:rPr>
          <w:rFonts w:ascii="Rockwell" w:hAnsi="Rockwell"/>
          <w:sz w:val="26"/>
          <w:szCs w:val="26"/>
        </w:rPr>
        <w:t>.</w:t>
      </w:r>
    </w:p>
    <w:p w14:paraId="3C81C760" w14:textId="77777777" w:rsidR="00733207" w:rsidRDefault="00733207">
      <w:pPr>
        <w:tabs>
          <w:tab w:val="left" w:pos="284"/>
        </w:tabs>
        <w:spacing w:before="120" w:after="120" w:line="360" w:lineRule="auto"/>
        <w:jc w:val="both"/>
        <w:rPr>
          <w:rFonts w:ascii="Rockwell" w:hAnsi="Rockwell"/>
          <w:sz w:val="26"/>
          <w:szCs w:val="26"/>
        </w:rPr>
      </w:pPr>
    </w:p>
    <w:p w14:paraId="59CA83BE" w14:textId="77777777" w:rsidR="00733207" w:rsidRDefault="00912BAE">
      <w:pPr>
        <w:pStyle w:val="Titre4"/>
        <w:spacing w:before="240" w:after="240" w:line="360" w:lineRule="auto"/>
        <w:jc w:val="center"/>
        <w:rPr>
          <w:rFonts w:ascii="Rockwell" w:hAnsi="Rockwell"/>
          <w:b/>
          <w:i w:val="0"/>
          <w:color w:val="auto"/>
          <w:sz w:val="28"/>
          <w:szCs w:val="28"/>
        </w:rPr>
      </w:pPr>
      <w:bookmarkStart w:id="344" w:name="_Toc169855171"/>
      <w:bookmarkStart w:id="345" w:name="_Toc175128527"/>
      <w:r>
        <w:rPr>
          <w:rFonts w:ascii="Rockwell" w:hAnsi="Rockwell"/>
          <w:b/>
          <w:i w:val="0"/>
          <w:color w:val="auto"/>
          <w:sz w:val="28"/>
          <w:szCs w:val="28"/>
        </w:rPr>
        <w:t>Paragraphe 1 : Non-respect de la personne humaine, de la protection des enfants et des adolescents</w:t>
      </w:r>
      <w:bookmarkEnd w:id="344"/>
      <w:bookmarkEnd w:id="345"/>
    </w:p>
    <w:p w14:paraId="492CF002" w14:textId="77777777" w:rsidR="00733207" w:rsidRDefault="00733207">
      <w:pPr>
        <w:pStyle w:val="Titre4"/>
        <w:spacing w:before="120" w:after="120" w:line="360" w:lineRule="auto"/>
        <w:jc w:val="both"/>
        <w:rPr>
          <w:rFonts w:ascii="Rockwell" w:hAnsi="Rockwell"/>
          <w:b/>
          <w:color w:val="auto"/>
          <w:sz w:val="10"/>
          <w:szCs w:val="10"/>
        </w:rPr>
      </w:pPr>
    </w:p>
    <w:p w14:paraId="5C004A5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La télévision </w:t>
      </w:r>
      <w:r>
        <w:rPr>
          <w:rFonts w:ascii="Rockwell" w:hAnsi="Rockwell"/>
          <w:i/>
          <w:sz w:val="26"/>
          <w:szCs w:val="26"/>
        </w:rPr>
        <w:t>CANAL 3</w:t>
      </w:r>
      <w:r>
        <w:rPr>
          <w:rFonts w:ascii="Rockwell" w:hAnsi="Rockwell"/>
          <w:sz w:val="26"/>
          <w:szCs w:val="26"/>
        </w:rPr>
        <w:t xml:space="preserve">, a diffusé le 18 janvier 2023 à 11 heures, un film contenant des scènes obscènes et de violences. </w:t>
      </w:r>
    </w:p>
    <w:p w14:paraId="12313F6E"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constaté que, bien qu’estampillé du pictogramme</w:t>
      </w:r>
      <w:r>
        <w:rPr>
          <w:rFonts w:ascii="Rockwell" w:hAnsi="Rockwell"/>
          <w:i/>
          <w:sz w:val="26"/>
          <w:szCs w:val="26"/>
        </w:rPr>
        <w:t xml:space="preserve"> « -12 »</w:t>
      </w:r>
      <w:r>
        <w:rPr>
          <w:rFonts w:ascii="Rockwell" w:hAnsi="Rockwell"/>
          <w:sz w:val="26"/>
          <w:szCs w:val="26"/>
        </w:rPr>
        <w:t>, ce film comportait des images pornographiques et des scènes de violences attentatoires à la pudeur et aux bonnes mœurs.</w:t>
      </w:r>
    </w:p>
    <w:p w14:paraId="065B258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lastRenderedPageBreak/>
        <w:t xml:space="preserve">Il a estimé qu’en diffusant ce programme à une heure de grande audience, la télévision n’a pas respecté les dispositions légales relatives à la protection du public jeune. </w:t>
      </w:r>
    </w:p>
    <w:p w14:paraId="71BC2361" w14:textId="77777777" w:rsidR="00733207" w:rsidRDefault="00912BAE">
      <w:pPr>
        <w:spacing w:before="120" w:after="120" w:line="360" w:lineRule="auto"/>
        <w:jc w:val="both"/>
        <w:rPr>
          <w:rFonts w:ascii="Rockwell" w:hAnsi="Rockwell"/>
          <w:color w:val="FF0000"/>
          <w:sz w:val="26"/>
          <w:szCs w:val="26"/>
        </w:rPr>
      </w:pPr>
      <w:bookmarkStart w:id="346" w:name="_Toc169855172"/>
      <w:r>
        <w:rPr>
          <w:rFonts w:ascii="Rockwell" w:hAnsi="Rockwell"/>
          <w:sz w:val="26"/>
          <w:szCs w:val="26"/>
        </w:rPr>
        <w:t>Le promoteur du média a été a auditionné par le CSC et le média a été suspendu pour un (1) mois</w:t>
      </w:r>
      <w:r>
        <w:rPr>
          <w:rFonts w:ascii="Rockwell" w:hAnsi="Rockwell"/>
          <w:color w:val="000000"/>
          <w:sz w:val="26"/>
          <w:szCs w:val="26"/>
        </w:rPr>
        <w:t>.</w:t>
      </w:r>
    </w:p>
    <w:p w14:paraId="59A630EE" w14:textId="77777777" w:rsidR="00733207" w:rsidRDefault="00733207">
      <w:pPr>
        <w:spacing w:before="120" w:after="120" w:line="360" w:lineRule="auto"/>
        <w:jc w:val="both"/>
        <w:rPr>
          <w:rFonts w:ascii="Rockwell" w:hAnsi="Rockwell"/>
          <w:color w:val="FF0000"/>
          <w:sz w:val="26"/>
          <w:szCs w:val="26"/>
        </w:rPr>
      </w:pPr>
    </w:p>
    <w:p w14:paraId="57AFFB7E" w14:textId="77777777" w:rsidR="00733207" w:rsidRDefault="00912BAE">
      <w:pPr>
        <w:pStyle w:val="Titre4"/>
        <w:spacing w:before="240" w:after="240" w:line="360" w:lineRule="auto"/>
        <w:jc w:val="center"/>
        <w:rPr>
          <w:rFonts w:ascii="Rockwell" w:hAnsi="Rockwell"/>
          <w:b/>
          <w:i w:val="0"/>
          <w:color w:val="auto"/>
          <w:sz w:val="28"/>
          <w:szCs w:val="28"/>
        </w:rPr>
      </w:pPr>
      <w:bookmarkStart w:id="347" w:name="_Toc175128528"/>
      <w:r>
        <w:rPr>
          <w:rFonts w:ascii="Rockwell" w:hAnsi="Rockwell"/>
          <w:b/>
          <w:i w:val="0"/>
          <w:color w:val="auto"/>
          <w:sz w:val="28"/>
          <w:szCs w:val="28"/>
        </w:rPr>
        <w:t>Paragraphe 2 : Diffusion de nouvelles fausses, déséquilibre de l’information et diffamation</w:t>
      </w:r>
      <w:bookmarkEnd w:id="346"/>
      <w:bookmarkEnd w:id="347"/>
    </w:p>
    <w:p w14:paraId="154FF33B" w14:textId="77777777" w:rsidR="00733207" w:rsidRDefault="00733207">
      <w:pPr>
        <w:suppressAutoHyphens/>
        <w:autoSpaceDN w:val="0"/>
        <w:spacing w:before="120" w:after="120" w:line="360" w:lineRule="auto"/>
        <w:ind w:left="360"/>
        <w:jc w:val="both"/>
        <w:textAlignment w:val="baseline"/>
        <w:rPr>
          <w:rFonts w:ascii="Rockwell" w:hAnsi="Rockwell"/>
          <w:sz w:val="10"/>
          <w:szCs w:val="10"/>
        </w:rPr>
      </w:pPr>
    </w:p>
    <w:p w14:paraId="3732EBD6" w14:textId="77777777" w:rsidR="00733207" w:rsidRDefault="00912BAE">
      <w:pPr>
        <w:autoSpaceDE w:val="0"/>
        <w:spacing w:before="120" w:after="120" w:line="360" w:lineRule="auto"/>
        <w:jc w:val="both"/>
        <w:rPr>
          <w:rFonts w:ascii="Rockwell" w:hAnsi="Rockwell"/>
          <w:i/>
          <w:sz w:val="26"/>
          <w:szCs w:val="26"/>
        </w:rPr>
      </w:pPr>
      <w:r>
        <w:rPr>
          <w:rFonts w:ascii="Rockwell" w:hAnsi="Rockwell"/>
          <w:sz w:val="26"/>
          <w:szCs w:val="26"/>
        </w:rPr>
        <w:t xml:space="preserve">Ce manquement a concerné   le journal </w:t>
      </w:r>
      <w:r>
        <w:rPr>
          <w:rFonts w:ascii="Rockwell" w:hAnsi="Rockwell"/>
          <w:i/>
          <w:sz w:val="26"/>
          <w:szCs w:val="26"/>
        </w:rPr>
        <w:t xml:space="preserve">L’Evènement </w:t>
      </w:r>
      <w:r>
        <w:rPr>
          <w:rFonts w:ascii="Rockwell" w:hAnsi="Rockwell"/>
          <w:sz w:val="26"/>
          <w:szCs w:val="26"/>
        </w:rPr>
        <w:t>qui, dans sa</w:t>
      </w:r>
      <w:r>
        <w:rPr>
          <w:rFonts w:ascii="Rockwell" w:hAnsi="Rockwell"/>
          <w:i/>
          <w:sz w:val="26"/>
          <w:szCs w:val="26"/>
        </w:rPr>
        <w:t xml:space="preserve"> </w:t>
      </w:r>
      <w:r>
        <w:rPr>
          <w:rFonts w:ascii="Rockwell" w:hAnsi="Rockwell"/>
          <w:sz w:val="26"/>
          <w:szCs w:val="26"/>
        </w:rPr>
        <w:t>parution n° 491 du 10 avril 2023, a publié un article intitulé : « </w:t>
      </w:r>
      <w:r>
        <w:rPr>
          <w:rFonts w:ascii="Rockwell" w:hAnsi="Rockwell"/>
          <w:i/>
          <w:sz w:val="26"/>
          <w:szCs w:val="26"/>
        </w:rPr>
        <w:t>Le Nouveau Chef d’Etat-major général des Armées : Les dessous du limogeage d’un Chef d’Etat-major pondéré </w:t>
      </w:r>
      <w:r>
        <w:rPr>
          <w:rFonts w:ascii="Rockwell" w:hAnsi="Rockwell"/>
          <w:sz w:val="26"/>
          <w:szCs w:val="26"/>
        </w:rPr>
        <w:t>». Cet article fait plusieurs insinuations dont la nomination</w:t>
      </w:r>
      <w:r>
        <w:rPr>
          <w:rFonts w:ascii="Rockwell" w:hAnsi="Rockwell"/>
          <w:b/>
          <w:sz w:val="26"/>
          <w:szCs w:val="26"/>
        </w:rPr>
        <w:t xml:space="preserve"> </w:t>
      </w:r>
      <w:r>
        <w:rPr>
          <w:rFonts w:ascii="Rockwell" w:hAnsi="Rockwell"/>
          <w:sz w:val="26"/>
          <w:szCs w:val="26"/>
        </w:rPr>
        <w:t>du nouveau Chef d’Etat-Major Général des Armées</w:t>
      </w:r>
      <w:r>
        <w:rPr>
          <w:rFonts w:ascii="Rockwell" w:hAnsi="Rockwell"/>
          <w:b/>
          <w:i/>
          <w:sz w:val="26"/>
          <w:szCs w:val="26"/>
        </w:rPr>
        <w:t> </w:t>
      </w:r>
      <w:r>
        <w:rPr>
          <w:rFonts w:ascii="Rockwell" w:hAnsi="Rockwell"/>
          <w:sz w:val="26"/>
          <w:szCs w:val="26"/>
        </w:rPr>
        <w:t xml:space="preserve">(CEMGA) qui serait dictée par des motivations religieuses dans le but de renforcer et d’élargir la base de soutien du Chef de l’Etat. </w:t>
      </w:r>
    </w:p>
    <w:p w14:paraId="378E3C92" w14:textId="77777777" w:rsidR="00733207" w:rsidRDefault="00912BAE">
      <w:pPr>
        <w:spacing w:before="120" w:after="120" w:line="360" w:lineRule="auto"/>
        <w:jc w:val="both"/>
        <w:rPr>
          <w:rFonts w:ascii="Rockwell" w:hAnsi="Rockwell"/>
          <w:color w:val="FF0000"/>
          <w:sz w:val="26"/>
          <w:szCs w:val="26"/>
        </w:rPr>
      </w:pPr>
      <w:r>
        <w:rPr>
          <w:rFonts w:ascii="Rockwell" w:hAnsi="Rockwell"/>
          <w:sz w:val="26"/>
          <w:szCs w:val="26"/>
        </w:rPr>
        <w:t>Compte tenu de la gravité des propos qui contreviennent aux dispositions des articles 95, 110 et 114 de la loi</w:t>
      </w:r>
      <w:r>
        <w:rPr>
          <w:rStyle w:val="Appelnotedebasdep"/>
          <w:rFonts w:ascii="Rockwell" w:hAnsi="Rockwell"/>
          <w:sz w:val="26"/>
          <w:szCs w:val="26"/>
        </w:rPr>
        <w:footnoteReference w:id="7"/>
      </w:r>
      <w:r>
        <w:rPr>
          <w:rFonts w:ascii="Rockwell" w:hAnsi="Rockwell"/>
          <w:sz w:val="26"/>
          <w:szCs w:val="26"/>
        </w:rPr>
        <w:t xml:space="preserve"> sur la presse écrite au Burkina Faso et au principe de la laïcité de l’Etat consacré par l’article 31 de la Constitution</w:t>
      </w:r>
      <w:r>
        <w:rPr>
          <w:rStyle w:val="Appelnotedebasdep"/>
          <w:rFonts w:ascii="Rockwell" w:hAnsi="Rockwell"/>
          <w:sz w:val="26"/>
          <w:szCs w:val="26"/>
        </w:rPr>
        <w:footnoteReference w:id="8"/>
      </w:r>
      <w:r>
        <w:rPr>
          <w:rFonts w:ascii="Rockwell" w:hAnsi="Rockwell"/>
          <w:sz w:val="26"/>
          <w:szCs w:val="26"/>
        </w:rPr>
        <w:t>, le Conseil a auditionné les responsables du journal et une mise en demeure a été adressée au média.</w:t>
      </w:r>
    </w:p>
    <w:p w14:paraId="335A705C" w14:textId="77777777" w:rsidR="00733207" w:rsidRDefault="00733207">
      <w:pPr>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p>
    <w:p w14:paraId="0258C350" w14:textId="77777777" w:rsidR="00733207" w:rsidRDefault="00912BAE">
      <w:pPr>
        <w:pStyle w:val="Titre4"/>
        <w:spacing w:before="240" w:after="240" w:line="360" w:lineRule="auto"/>
        <w:jc w:val="center"/>
        <w:rPr>
          <w:rFonts w:ascii="Rockwell" w:hAnsi="Rockwell"/>
          <w:b/>
          <w:i w:val="0"/>
          <w:color w:val="auto"/>
          <w:sz w:val="28"/>
          <w:szCs w:val="28"/>
        </w:rPr>
      </w:pPr>
      <w:bookmarkStart w:id="348" w:name="_Toc169855173"/>
      <w:bookmarkStart w:id="349" w:name="_Toc175128529"/>
      <w:r>
        <w:rPr>
          <w:rFonts w:ascii="Rockwell" w:hAnsi="Rockwell"/>
          <w:b/>
          <w:i w:val="0"/>
          <w:color w:val="auto"/>
          <w:sz w:val="28"/>
          <w:szCs w:val="28"/>
        </w:rPr>
        <w:lastRenderedPageBreak/>
        <w:t>Paragraphe 3 : Atteinte à la tolérance religieuse</w:t>
      </w:r>
      <w:bookmarkEnd w:id="348"/>
      <w:bookmarkEnd w:id="349"/>
    </w:p>
    <w:p w14:paraId="22498298" w14:textId="77777777" w:rsidR="00733207" w:rsidRDefault="00733207">
      <w:pPr>
        <w:spacing w:before="120" w:after="120" w:line="360" w:lineRule="auto"/>
        <w:jc w:val="both"/>
        <w:rPr>
          <w:rFonts w:ascii="Rockwell" w:hAnsi="Rockwell"/>
          <w:sz w:val="10"/>
          <w:szCs w:val="10"/>
        </w:rPr>
      </w:pPr>
    </w:p>
    <w:p w14:paraId="7923D357" w14:textId="2B1C01C2" w:rsidR="00733207" w:rsidRDefault="00912BAE">
      <w:pPr>
        <w:autoSpaceDE w:val="0"/>
        <w:spacing w:before="120" w:after="120" w:line="360" w:lineRule="auto"/>
        <w:jc w:val="both"/>
        <w:rPr>
          <w:rFonts w:ascii="Rockwell" w:hAnsi="Rockwell"/>
          <w:i/>
          <w:sz w:val="26"/>
          <w:szCs w:val="26"/>
        </w:rPr>
      </w:pPr>
      <w:r>
        <w:rPr>
          <w:rFonts w:ascii="Rockwell" w:hAnsi="Rockwell"/>
          <w:sz w:val="26"/>
          <w:szCs w:val="26"/>
        </w:rPr>
        <w:t xml:space="preserve">Les médias concernés par ce manquement sont les télévisions </w:t>
      </w:r>
      <w:r>
        <w:rPr>
          <w:rFonts w:ascii="Rockwell" w:hAnsi="Rockwell"/>
          <w:i/>
          <w:sz w:val="26"/>
          <w:szCs w:val="26"/>
        </w:rPr>
        <w:t>BF1</w:t>
      </w:r>
      <w:r>
        <w:rPr>
          <w:rFonts w:ascii="Rockwell" w:hAnsi="Rockwell"/>
          <w:sz w:val="26"/>
          <w:szCs w:val="26"/>
        </w:rPr>
        <w:t xml:space="preserve"> et </w:t>
      </w:r>
      <w:r>
        <w:rPr>
          <w:rFonts w:ascii="Rockwell" w:hAnsi="Rockwell"/>
          <w:i/>
          <w:sz w:val="26"/>
          <w:szCs w:val="26"/>
        </w:rPr>
        <w:t>RTB</w:t>
      </w:r>
      <w:r w:rsidR="00102E79">
        <w:rPr>
          <w:rFonts w:ascii="Rockwell" w:hAnsi="Rockwell"/>
          <w:i/>
          <w:sz w:val="26"/>
          <w:szCs w:val="26"/>
        </w:rPr>
        <w:t>.</w:t>
      </w:r>
    </w:p>
    <w:p w14:paraId="6E6FA471" w14:textId="77777777" w:rsidR="00733207" w:rsidRDefault="00733207">
      <w:pPr>
        <w:suppressAutoHyphens/>
        <w:autoSpaceDE w:val="0"/>
        <w:autoSpaceDN w:val="0"/>
        <w:spacing w:before="120" w:after="120" w:line="360" w:lineRule="auto"/>
        <w:jc w:val="both"/>
        <w:textAlignment w:val="baseline"/>
        <w:rPr>
          <w:rFonts w:ascii="Rockwell" w:eastAsia="Calibri" w:hAnsi="Rockwell" w:cs="Times New Roman"/>
          <w:sz w:val="10"/>
          <w:szCs w:val="10"/>
        </w:rPr>
      </w:pPr>
    </w:p>
    <w:p w14:paraId="4C047C5C" w14:textId="77777777" w:rsidR="00733207" w:rsidRDefault="00912BAE">
      <w:pPr>
        <w:pStyle w:val="Titre5"/>
        <w:spacing w:before="240" w:after="240" w:line="360" w:lineRule="auto"/>
        <w:jc w:val="center"/>
        <w:rPr>
          <w:rFonts w:ascii="Rockwell" w:hAnsi="Rockwell"/>
          <w:i w:val="0"/>
          <w:color w:val="auto"/>
          <w:sz w:val="26"/>
          <w:szCs w:val="26"/>
        </w:rPr>
      </w:pPr>
      <w:bookmarkStart w:id="350" w:name="_Toc169855174"/>
      <w:bookmarkStart w:id="351" w:name="_Toc175128530"/>
      <w:r>
        <w:rPr>
          <w:rFonts w:ascii="Rockwell" w:hAnsi="Rockwell"/>
          <w:i w:val="0"/>
          <w:color w:val="auto"/>
          <w:sz w:val="26"/>
          <w:szCs w:val="26"/>
        </w:rPr>
        <w:t>3.1. Cas de la télévision BF1</w:t>
      </w:r>
      <w:bookmarkEnd w:id="350"/>
      <w:bookmarkEnd w:id="351"/>
    </w:p>
    <w:p w14:paraId="6B7A69D6"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Le CSC a constaté un manquement dans le contenu d’un reportage intitulé : « </w:t>
      </w:r>
      <w:r>
        <w:rPr>
          <w:rFonts w:ascii="Rockwell" w:eastAsia="Calibri" w:hAnsi="Rockwell" w:cs="Times New Roman"/>
          <w:i/>
          <w:sz w:val="26"/>
          <w:szCs w:val="26"/>
        </w:rPr>
        <w:t>Le grand format sur les pratiques traditionnelles »,</w:t>
      </w:r>
      <w:r>
        <w:rPr>
          <w:rFonts w:ascii="Rockwell" w:eastAsia="Calibri" w:hAnsi="Rockwell" w:cs="Times New Roman"/>
          <w:sz w:val="26"/>
          <w:szCs w:val="26"/>
        </w:rPr>
        <w:t xml:space="preserve"> diffusé le 15 juin 2023 au cours du journal télévisé de 19 heures 30 minutes de la télévision </w:t>
      </w:r>
      <w:r>
        <w:rPr>
          <w:rFonts w:ascii="Rockwell" w:eastAsia="Calibri" w:hAnsi="Rockwell" w:cs="Times New Roman"/>
          <w:i/>
          <w:sz w:val="26"/>
          <w:szCs w:val="26"/>
        </w:rPr>
        <w:t>BF1</w:t>
      </w:r>
      <w:r>
        <w:rPr>
          <w:rFonts w:ascii="Rockwell" w:eastAsia="Calibri" w:hAnsi="Rockwell" w:cs="Times New Roman"/>
          <w:sz w:val="26"/>
          <w:szCs w:val="26"/>
        </w:rPr>
        <w:t xml:space="preserve">. Plusieurs personnes interrogées ont émis des avis sur leur croyance à l’animisme avec toutefois des comparaisons qui dénigrent et stigmatisent les autres confessions et croyances religieuses. </w:t>
      </w:r>
    </w:p>
    <w:p w14:paraId="523B2B1B"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Ces propos portant atteinte au principe de la tolérance religieuse contreviennent également à l’article 7 de la Constitution et à l’article 5 de la loi N° 059-2015 / CNT portant régime juridique de la radiodiffusion sonore et télévisuelle au Burkina Faso.</w:t>
      </w:r>
    </w:p>
    <w:p w14:paraId="42F18818"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Au regard de la gravité des propos tenus et s’inscrivant dans l’esprit des instruments pris par le régulateur</w:t>
      </w:r>
      <w:r>
        <w:rPr>
          <w:rStyle w:val="Appelnotedebasdep"/>
          <w:rFonts w:ascii="Rockwell" w:eastAsia="Calibri" w:hAnsi="Rockwell" w:cs="Times New Roman"/>
          <w:sz w:val="26"/>
          <w:szCs w:val="26"/>
        </w:rPr>
        <w:footnoteReference w:id="9"/>
      </w:r>
      <w:r>
        <w:rPr>
          <w:rFonts w:ascii="Rockwell" w:eastAsia="Calibri" w:hAnsi="Rockwell" w:cs="Times New Roman"/>
          <w:sz w:val="26"/>
          <w:szCs w:val="26"/>
        </w:rPr>
        <w:t>, le 13 juin 2023, en vue de lutter contre l’extrémisme violent et promouvoir la paix et la cohésion sociale au Burkina Faso, le Conseil a adressé une lettre d’interpellation aux responsables de la télévision.</w:t>
      </w:r>
    </w:p>
    <w:p w14:paraId="34555B0D" w14:textId="77777777" w:rsidR="00733207" w:rsidRDefault="00733207">
      <w:pPr>
        <w:suppressAutoHyphens/>
        <w:autoSpaceDN w:val="0"/>
        <w:spacing w:before="120" w:after="120" w:line="360" w:lineRule="auto"/>
        <w:jc w:val="both"/>
        <w:textAlignment w:val="baseline"/>
        <w:rPr>
          <w:rFonts w:ascii="Rockwell" w:eastAsia="Calibri" w:hAnsi="Rockwell" w:cs="Times New Roman"/>
          <w:sz w:val="26"/>
          <w:szCs w:val="26"/>
        </w:rPr>
        <w:sectPr w:rsidR="00733207">
          <w:pgSz w:w="11906" w:h="16838"/>
          <w:pgMar w:top="1417" w:right="1417" w:bottom="1417" w:left="1417" w:header="708" w:footer="708" w:gutter="0"/>
          <w:cols w:space="708"/>
          <w:docGrid w:linePitch="360"/>
        </w:sectPr>
      </w:pPr>
    </w:p>
    <w:p w14:paraId="3AE5482E" w14:textId="77777777" w:rsidR="00733207" w:rsidRDefault="00912BAE">
      <w:pPr>
        <w:pStyle w:val="Titre5"/>
        <w:spacing w:before="120" w:after="120" w:line="360" w:lineRule="auto"/>
        <w:jc w:val="center"/>
        <w:rPr>
          <w:rFonts w:ascii="Rockwell" w:hAnsi="Rockwell"/>
          <w:i w:val="0"/>
          <w:color w:val="auto"/>
          <w:sz w:val="26"/>
          <w:szCs w:val="26"/>
        </w:rPr>
      </w:pPr>
      <w:bookmarkStart w:id="352" w:name="_Toc169855175"/>
      <w:bookmarkStart w:id="353" w:name="_Toc175128531"/>
      <w:r>
        <w:rPr>
          <w:rFonts w:ascii="Rockwell" w:hAnsi="Rockwell"/>
          <w:i w:val="0"/>
          <w:color w:val="auto"/>
          <w:sz w:val="26"/>
          <w:szCs w:val="26"/>
        </w:rPr>
        <w:lastRenderedPageBreak/>
        <w:t>3.2. Cas de la Radiodiffusion Télévision du Burkina (RTB)</w:t>
      </w:r>
      <w:bookmarkEnd w:id="352"/>
      <w:bookmarkEnd w:id="353"/>
    </w:p>
    <w:p w14:paraId="090EEC2C" w14:textId="77777777" w:rsidR="00733207" w:rsidRDefault="00733207">
      <w:pPr>
        <w:pStyle w:val="Paragraphedeliste"/>
        <w:suppressAutoHyphens/>
        <w:autoSpaceDN w:val="0"/>
        <w:spacing w:before="120" w:after="120" w:line="360" w:lineRule="auto"/>
        <w:jc w:val="both"/>
        <w:textAlignment w:val="baseline"/>
        <w:rPr>
          <w:rFonts w:ascii="Rockwell" w:hAnsi="Rockwell"/>
          <w:b/>
          <w:sz w:val="10"/>
          <w:szCs w:val="10"/>
        </w:rPr>
      </w:pPr>
    </w:p>
    <w:p w14:paraId="1C871733"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La RTB a diffusé, le</w:t>
      </w:r>
      <w:r>
        <w:rPr>
          <w:rFonts w:ascii="Rockwell" w:eastAsia="Calibri" w:hAnsi="Rockwell" w:cs="Times New Roman"/>
          <w:b/>
          <w:sz w:val="26"/>
          <w:szCs w:val="26"/>
        </w:rPr>
        <w:t xml:space="preserve"> </w:t>
      </w:r>
      <w:r>
        <w:rPr>
          <w:rFonts w:ascii="Rockwell" w:eastAsia="Calibri" w:hAnsi="Rockwell" w:cs="Times New Roman"/>
          <w:sz w:val="26"/>
          <w:szCs w:val="26"/>
        </w:rPr>
        <w:t xml:space="preserve">18 juin 2023 de 18 heures 30 minutes à 19 heures 30 minutes, une émission intitulée </w:t>
      </w:r>
      <w:r>
        <w:rPr>
          <w:rFonts w:ascii="Rockwell" w:eastAsia="Calibri" w:hAnsi="Rockwell" w:cs="Times New Roman"/>
          <w:i/>
          <w:sz w:val="26"/>
          <w:szCs w:val="26"/>
        </w:rPr>
        <w:t>« sur la brèche ».</w:t>
      </w:r>
      <w:r>
        <w:rPr>
          <w:rFonts w:ascii="Rockwell" w:eastAsia="Calibri" w:hAnsi="Rockwell" w:cs="Times New Roman"/>
          <w:b/>
          <w:i/>
          <w:sz w:val="26"/>
          <w:szCs w:val="26"/>
        </w:rPr>
        <w:t xml:space="preserve"> </w:t>
      </w:r>
      <w:r>
        <w:rPr>
          <w:rFonts w:ascii="Rockwell" w:eastAsia="Calibri" w:hAnsi="Rockwell" w:cs="Times New Roman"/>
          <w:sz w:val="26"/>
          <w:szCs w:val="26"/>
        </w:rPr>
        <w:t xml:space="preserve">L’invité, qui se réclame adepte de la religion traditionnelle, a tenu des propos que l’instance de régulation a estimés méprisants et dénigrants vis-à-vis des adhérents des religions révélées. </w:t>
      </w:r>
    </w:p>
    <w:p w14:paraId="0591B062"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Le CSC, au regard de la laïcité de l’Etat et s’inscrivant toujours dans ses actions entreprises afin que l’expression des citoyens à leur attachement aux valeurs religieuses dans les médias ne soit pas source de fracture sociale, a adressé une lettre d’interpellation au Directeur général de la RTB. </w:t>
      </w:r>
    </w:p>
    <w:p w14:paraId="41286390" w14:textId="77777777" w:rsidR="00733207" w:rsidRDefault="00733207">
      <w:pPr>
        <w:suppressAutoHyphens/>
        <w:autoSpaceDN w:val="0"/>
        <w:spacing w:before="120" w:after="120" w:line="360" w:lineRule="auto"/>
        <w:jc w:val="both"/>
        <w:textAlignment w:val="baseline"/>
        <w:rPr>
          <w:rFonts w:ascii="Rockwell" w:eastAsia="Calibri" w:hAnsi="Rockwell" w:cs="Times New Roman"/>
          <w:sz w:val="26"/>
          <w:szCs w:val="26"/>
        </w:rPr>
      </w:pPr>
    </w:p>
    <w:p w14:paraId="45805B7C" w14:textId="069C946F" w:rsidR="00733207" w:rsidRDefault="00912BAE">
      <w:pPr>
        <w:pStyle w:val="Titre4"/>
        <w:spacing w:before="120" w:after="120" w:line="360" w:lineRule="auto"/>
        <w:jc w:val="center"/>
        <w:rPr>
          <w:rFonts w:ascii="Rockwell" w:hAnsi="Rockwell" w:cs="Times New Roman"/>
          <w:b/>
          <w:i w:val="0"/>
          <w:color w:val="auto"/>
          <w:sz w:val="28"/>
          <w:szCs w:val="28"/>
        </w:rPr>
      </w:pPr>
      <w:bookmarkStart w:id="354" w:name="_Toc169855176"/>
      <w:bookmarkStart w:id="355" w:name="_Toc175128532"/>
      <w:r>
        <w:rPr>
          <w:rFonts w:ascii="Rockwell" w:hAnsi="Rockwell"/>
          <w:b/>
          <w:i w:val="0"/>
          <w:color w:val="auto"/>
          <w:sz w:val="28"/>
          <w:szCs w:val="28"/>
        </w:rPr>
        <w:t xml:space="preserve">Paragraphe 4 : </w:t>
      </w:r>
      <w:r w:rsidR="00102E79">
        <w:rPr>
          <w:rFonts w:ascii="Rockwell" w:hAnsi="Rockwell"/>
          <w:b/>
          <w:i w:val="0"/>
          <w:color w:val="auto"/>
          <w:sz w:val="28"/>
          <w:szCs w:val="28"/>
        </w:rPr>
        <w:t xml:space="preserve">Atteinte </w:t>
      </w:r>
      <w:r>
        <w:rPr>
          <w:rFonts w:ascii="Rockwell" w:hAnsi="Rockwell"/>
          <w:b/>
          <w:i w:val="0"/>
          <w:color w:val="auto"/>
          <w:sz w:val="28"/>
          <w:szCs w:val="28"/>
        </w:rPr>
        <w:t>à la sédition et/ou appel à la révolte</w:t>
      </w:r>
      <w:bookmarkEnd w:id="354"/>
      <w:bookmarkEnd w:id="355"/>
    </w:p>
    <w:p w14:paraId="68428B85" w14:textId="77777777" w:rsidR="00733207" w:rsidRDefault="00733207">
      <w:pPr>
        <w:suppressAutoHyphens/>
        <w:autoSpaceDN w:val="0"/>
        <w:spacing w:before="120" w:after="120" w:line="360" w:lineRule="auto"/>
        <w:jc w:val="both"/>
        <w:textAlignment w:val="baseline"/>
        <w:rPr>
          <w:rFonts w:ascii="Rockwell" w:eastAsia="Calibri" w:hAnsi="Rockwell" w:cs="Times New Roman"/>
          <w:b/>
          <w:sz w:val="10"/>
          <w:szCs w:val="10"/>
        </w:rPr>
      </w:pPr>
    </w:p>
    <w:p w14:paraId="5BEF6799" w14:textId="77777777" w:rsidR="00733207" w:rsidRDefault="00912BAE">
      <w:pPr>
        <w:suppressAutoHyphens/>
        <w:autoSpaceDN w:val="0"/>
        <w:spacing w:before="120" w:after="120" w:line="360" w:lineRule="auto"/>
        <w:jc w:val="both"/>
        <w:textAlignment w:val="baseline"/>
        <w:rPr>
          <w:rFonts w:ascii="Rockwell" w:eastAsia="Calibri" w:hAnsi="Rockwell" w:cs="Times New Roman"/>
          <w:i/>
          <w:sz w:val="26"/>
          <w:szCs w:val="26"/>
        </w:rPr>
      </w:pPr>
      <w:r>
        <w:rPr>
          <w:rFonts w:ascii="Rockwell" w:eastAsia="Calibri" w:hAnsi="Rockwell" w:cs="Times New Roman"/>
          <w:sz w:val="26"/>
          <w:szCs w:val="26"/>
        </w:rPr>
        <w:t xml:space="preserve">Le CSC a relevé, les 25 et 26 juin 2023, des lacunes dans les publications de la presse en ligne </w:t>
      </w:r>
      <w:r>
        <w:rPr>
          <w:rFonts w:ascii="Rockwell" w:eastAsia="Calibri" w:hAnsi="Rockwell" w:cs="Times New Roman"/>
          <w:i/>
          <w:sz w:val="26"/>
          <w:szCs w:val="26"/>
        </w:rPr>
        <w:t>Netafrique.net </w:t>
      </w:r>
      <w:r>
        <w:rPr>
          <w:rFonts w:ascii="Rockwell" w:eastAsia="Calibri" w:hAnsi="Rockwell" w:cs="Times New Roman"/>
          <w:sz w:val="26"/>
          <w:szCs w:val="26"/>
        </w:rPr>
        <w:t xml:space="preserve">et de </w:t>
      </w:r>
      <w:r>
        <w:rPr>
          <w:rFonts w:ascii="Rockwell" w:eastAsia="Calibri" w:hAnsi="Rockwell" w:cs="Times New Roman"/>
          <w:i/>
          <w:sz w:val="26"/>
          <w:szCs w:val="26"/>
        </w:rPr>
        <w:t>L’Observateur </w:t>
      </w:r>
      <w:proofErr w:type="spellStart"/>
      <w:r>
        <w:rPr>
          <w:rFonts w:ascii="Rockwell" w:eastAsia="Calibri" w:hAnsi="Rockwell" w:cs="Times New Roman"/>
          <w:i/>
          <w:sz w:val="26"/>
          <w:szCs w:val="26"/>
        </w:rPr>
        <w:t>Paalga</w:t>
      </w:r>
      <w:proofErr w:type="spellEnd"/>
      <w:r>
        <w:rPr>
          <w:rFonts w:ascii="Rockwell" w:eastAsia="Calibri" w:hAnsi="Rockwell" w:cs="Times New Roman"/>
          <w:i/>
          <w:sz w:val="26"/>
          <w:szCs w:val="26"/>
        </w:rPr>
        <w:t>.</w:t>
      </w:r>
      <w:r>
        <w:rPr>
          <w:rFonts w:ascii="Rockwell" w:eastAsia="Calibri" w:hAnsi="Rockwell" w:cs="Times New Roman"/>
          <w:sz w:val="26"/>
          <w:szCs w:val="26"/>
        </w:rPr>
        <w:t xml:space="preserve"> Il s’agit d’une lettre ouverte de chrétiens de diverses structures faîtières intitulée </w:t>
      </w:r>
      <w:r>
        <w:rPr>
          <w:rFonts w:ascii="Rockwell" w:eastAsia="Calibri" w:hAnsi="Rockwell" w:cs="Times New Roman"/>
          <w:i/>
          <w:sz w:val="26"/>
          <w:szCs w:val="26"/>
        </w:rPr>
        <w:t xml:space="preserve">: « menaces et accusations de certains musulmans contre les chrétiens au Burkina Faso : des laïcs chrétiens catholiques et évangéliques s’inquiètent ». </w:t>
      </w:r>
    </w:p>
    <w:p w14:paraId="0A664335" w14:textId="77777777" w:rsidR="00733207" w:rsidRDefault="00912BAE">
      <w:pPr>
        <w:suppressAutoHyphens/>
        <w:autoSpaceDE w:val="0"/>
        <w:autoSpaceDN w:val="0"/>
        <w:adjustRightInd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Au regard du contenu très sensible de ladite lettre, dans le contexte de tension sociale que connait le Burkina Faso, le Conseil a estimé qu’il est susceptible de mettre à rude épreuve le vivre-ensemble et la cohésion sociale. C’est pourquoi, il a attiré l’attention des responsables des deux organes de presse sur leur responsabilité sociale et la nécessité pour les médias d’œuvrer à la préservation de la cohésion sociale.</w:t>
      </w:r>
    </w:p>
    <w:p w14:paraId="50B2CF0C" w14:textId="77777777" w:rsidR="00733207" w:rsidRDefault="00733207">
      <w:pPr>
        <w:autoSpaceDE w:val="0"/>
        <w:adjustRightInd w:val="0"/>
        <w:spacing w:before="120" w:after="120" w:line="360" w:lineRule="auto"/>
        <w:jc w:val="both"/>
        <w:rPr>
          <w:rFonts w:ascii="Rockwell" w:hAnsi="Rockwell"/>
          <w:color w:val="FF0000"/>
          <w:sz w:val="26"/>
          <w:szCs w:val="26"/>
        </w:rPr>
        <w:sectPr w:rsidR="00733207">
          <w:footerReference w:type="default" r:id="rId58"/>
          <w:pgSz w:w="11906" w:h="16838"/>
          <w:pgMar w:top="1417" w:right="1417" w:bottom="1417" w:left="1417" w:header="708" w:footer="708" w:gutter="0"/>
          <w:cols w:space="708"/>
          <w:docGrid w:linePitch="360"/>
        </w:sectPr>
      </w:pPr>
    </w:p>
    <w:p w14:paraId="2B7C872E" w14:textId="77777777" w:rsidR="00733207" w:rsidRPr="00102E79" w:rsidRDefault="00912BAE">
      <w:pPr>
        <w:pStyle w:val="Titre3"/>
        <w:spacing w:before="240" w:after="240" w:line="360" w:lineRule="auto"/>
        <w:jc w:val="center"/>
        <w:rPr>
          <w:rFonts w:ascii="Rockwell" w:hAnsi="Rockwell"/>
          <w:b/>
          <w:i/>
          <w:color w:val="auto"/>
          <w:sz w:val="28"/>
          <w:szCs w:val="28"/>
        </w:rPr>
      </w:pPr>
      <w:bookmarkStart w:id="356" w:name="_Toc170209343"/>
      <w:bookmarkStart w:id="357" w:name="_Toc169855177"/>
      <w:bookmarkStart w:id="358" w:name="_Toc175128533"/>
      <w:bookmarkStart w:id="359" w:name="_Toc169854382"/>
      <w:r w:rsidRPr="00102E79">
        <w:rPr>
          <w:rFonts w:ascii="Rockwell" w:hAnsi="Rockwell"/>
          <w:b/>
          <w:i/>
          <w:color w:val="auto"/>
          <w:sz w:val="28"/>
          <w:szCs w:val="28"/>
        </w:rPr>
        <w:lastRenderedPageBreak/>
        <w:t>SECTION 2 : SAISINES</w:t>
      </w:r>
      <w:bookmarkEnd w:id="356"/>
      <w:bookmarkEnd w:id="357"/>
      <w:bookmarkEnd w:id="358"/>
      <w:bookmarkEnd w:id="359"/>
    </w:p>
    <w:p w14:paraId="2C495F87" w14:textId="340F252C" w:rsidR="00733207" w:rsidRDefault="00912BAE">
      <w:pPr>
        <w:spacing w:before="120" w:after="120" w:line="360" w:lineRule="auto"/>
        <w:jc w:val="both"/>
        <w:rPr>
          <w:rFonts w:ascii="Rockwell" w:hAnsi="Rockwell"/>
          <w:sz w:val="26"/>
          <w:szCs w:val="26"/>
        </w:rPr>
      </w:pPr>
      <w:r>
        <w:rPr>
          <w:rFonts w:ascii="Rockwell" w:hAnsi="Rockwell"/>
          <w:sz w:val="26"/>
          <w:szCs w:val="26"/>
        </w:rPr>
        <w:t>En 2023, le CSC a examiné plusieurs</w:t>
      </w:r>
      <w:r>
        <w:rPr>
          <w:rFonts w:ascii="Rockwell" w:hAnsi="Rockwell"/>
          <w:color w:val="ED7D31" w:themeColor="accent2"/>
          <w:sz w:val="26"/>
          <w:szCs w:val="26"/>
        </w:rPr>
        <w:t xml:space="preserve"> </w:t>
      </w:r>
      <w:r w:rsidR="000F5D96">
        <w:rPr>
          <w:rFonts w:ascii="Rockwell" w:hAnsi="Rockwell"/>
          <w:sz w:val="26"/>
          <w:szCs w:val="26"/>
        </w:rPr>
        <w:t>cas de saisine portant sur </w:t>
      </w:r>
      <w:r>
        <w:rPr>
          <w:rFonts w:ascii="Rockwell" w:hAnsi="Rockwell"/>
          <w:sz w:val="26"/>
          <w:szCs w:val="26"/>
        </w:rPr>
        <w:t>divers manquements.</w:t>
      </w:r>
    </w:p>
    <w:p w14:paraId="15E27E09" w14:textId="77777777" w:rsidR="00733207" w:rsidRDefault="00733207">
      <w:pPr>
        <w:spacing w:before="120" w:after="120" w:line="360" w:lineRule="auto"/>
        <w:jc w:val="both"/>
        <w:rPr>
          <w:rFonts w:ascii="Rockwell" w:hAnsi="Rockwell"/>
          <w:b/>
          <w:sz w:val="26"/>
          <w:szCs w:val="26"/>
        </w:rPr>
      </w:pPr>
    </w:p>
    <w:p w14:paraId="2D09D764" w14:textId="77777777" w:rsidR="00733207" w:rsidRDefault="00912BAE">
      <w:pPr>
        <w:pStyle w:val="Titre4"/>
        <w:spacing w:before="240" w:after="240" w:line="360" w:lineRule="auto"/>
        <w:jc w:val="center"/>
        <w:rPr>
          <w:rFonts w:ascii="Rockwell" w:hAnsi="Rockwell"/>
          <w:b/>
          <w:i w:val="0"/>
          <w:color w:val="auto"/>
          <w:sz w:val="28"/>
          <w:szCs w:val="28"/>
        </w:rPr>
      </w:pPr>
      <w:bookmarkStart w:id="360" w:name="_Toc169855178"/>
      <w:bookmarkStart w:id="361" w:name="_Toc175128534"/>
      <w:r>
        <w:rPr>
          <w:rFonts w:ascii="Rockwell" w:hAnsi="Rockwell"/>
          <w:b/>
          <w:i w:val="0"/>
          <w:color w:val="auto"/>
          <w:sz w:val="28"/>
          <w:szCs w:val="28"/>
        </w:rPr>
        <w:t>Paragraphe 1 : Diffamation, intolérance religieuse et responsabilité sociale</w:t>
      </w:r>
      <w:bookmarkEnd w:id="360"/>
      <w:bookmarkEnd w:id="361"/>
    </w:p>
    <w:p w14:paraId="1FB0AD10"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reçu le 03 février 2023, la plainte d’un citoyen accusant un intervenant de l’émission « </w:t>
      </w:r>
      <w:r>
        <w:rPr>
          <w:rFonts w:ascii="Rockwell" w:hAnsi="Rockwell"/>
          <w:bCs/>
          <w:i/>
          <w:iCs/>
          <w:sz w:val="26"/>
          <w:szCs w:val="26"/>
        </w:rPr>
        <w:t>De quoi on se mêle ?</w:t>
      </w:r>
      <w:r>
        <w:rPr>
          <w:rFonts w:ascii="Rockwell" w:hAnsi="Rockwell"/>
          <w:sz w:val="26"/>
          <w:szCs w:val="26"/>
        </w:rPr>
        <w:t> », de la radio</w:t>
      </w:r>
      <w:r>
        <w:rPr>
          <w:rFonts w:ascii="Rockwell" w:hAnsi="Rockwell"/>
          <w:b/>
          <w:sz w:val="26"/>
          <w:szCs w:val="26"/>
        </w:rPr>
        <w:t xml:space="preserve"> </w:t>
      </w:r>
      <w:r>
        <w:rPr>
          <w:rFonts w:ascii="Rockwell" w:hAnsi="Rockwell"/>
          <w:i/>
          <w:sz w:val="26"/>
          <w:szCs w:val="26"/>
        </w:rPr>
        <w:t>Légende</w:t>
      </w:r>
      <w:r>
        <w:rPr>
          <w:rFonts w:ascii="Rockwell" w:hAnsi="Rockwell"/>
          <w:sz w:val="26"/>
          <w:szCs w:val="26"/>
        </w:rPr>
        <w:t xml:space="preserve"> diffusée du lundi au vendredi, de 7 heures à 8 heures, de tenir des propos jugés diffamatoires à l’encontre du Vatican et du Pape. </w:t>
      </w:r>
    </w:p>
    <w:p w14:paraId="57EBFDFA" w14:textId="77777777" w:rsidR="00733207" w:rsidRDefault="00912BAE">
      <w:pPr>
        <w:tabs>
          <w:tab w:val="left" w:pos="1515"/>
        </w:tabs>
        <w:spacing w:before="120" w:after="120" w:line="360" w:lineRule="auto"/>
        <w:jc w:val="both"/>
        <w:rPr>
          <w:rFonts w:ascii="Rockwell" w:hAnsi="Rockwell"/>
          <w:sz w:val="26"/>
          <w:szCs w:val="26"/>
        </w:rPr>
      </w:pPr>
      <w:r>
        <w:rPr>
          <w:rFonts w:ascii="Rockwell" w:hAnsi="Rockwell"/>
          <w:sz w:val="26"/>
          <w:szCs w:val="26"/>
        </w:rPr>
        <w:t xml:space="preserve">Après analyse, le CSC a estimé que ces propos, qui étaient de nature à porter atteinte à la tolérance religieuse, enfreignent la loi n° 059-2015 / CNT portant régime juridique de la radiodiffusion sonore télévisuelle au Burkina Faso, notamment les articles 5 et 112. Ces propos constituaient également une remise en cause de l’article 7 de la Constitution. </w:t>
      </w:r>
    </w:p>
    <w:p w14:paraId="137B3E6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adressé une lettre d’interpellation à la radio pour l’inviter à plus de professionnalisme dans l’animation de l’émission.</w:t>
      </w:r>
    </w:p>
    <w:p w14:paraId="7A14F1EA" w14:textId="77777777" w:rsidR="00733207" w:rsidRDefault="00733207">
      <w:pPr>
        <w:spacing w:before="120" w:after="120" w:line="360" w:lineRule="auto"/>
        <w:jc w:val="both"/>
        <w:rPr>
          <w:rFonts w:ascii="Rockwell" w:hAnsi="Rockwell"/>
          <w:sz w:val="26"/>
          <w:szCs w:val="26"/>
        </w:rPr>
      </w:pPr>
    </w:p>
    <w:p w14:paraId="1091A6AE" w14:textId="77777777" w:rsidR="00733207" w:rsidRDefault="00912BAE">
      <w:pPr>
        <w:pStyle w:val="Titre4"/>
        <w:spacing w:before="240" w:after="240"/>
        <w:jc w:val="center"/>
        <w:rPr>
          <w:rFonts w:ascii="Rockwell" w:eastAsia="Times New Roman" w:hAnsi="Rockwell"/>
          <w:b/>
          <w:i w:val="0"/>
          <w:color w:val="auto"/>
          <w:sz w:val="28"/>
          <w:szCs w:val="28"/>
        </w:rPr>
      </w:pPr>
      <w:bookmarkStart w:id="362" w:name="_Toc175128535"/>
      <w:bookmarkStart w:id="363" w:name="_Toc169855179"/>
      <w:r>
        <w:rPr>
          <w:rFonts w:ascii="Rockwell" w:hAnsi="Rockwell"/>
          <w:b/>
          <w:i w:val="0"/>
          <w:color w:val="auto"/>
          <w:sz w:val="28"/>
          <w:szCs w:val="28"/>
        </w:rPr>
        <w:t xml:space="preserve">Paragraphe 2 </w:t>
      </w:r>
      <w:r>
        <w:rPr>
          <w:rFonts w:ascii="Rockwell" w:eastAsia="Times New Roman" w:hAnsi="Rockwell"/>
          <w:b/>
          <w:i w:val="0"/>
          <w:color w:val="auto"/>
          <w:sz w:val="28"/>
          <w:szCs w:val="28"/>
        </w:rPr>
        <w:t>: Diffusion de nouvelles fausses</w:t>
      </w:r>
      <w:bookmarkEnd w:id="362"/>
      <w:bookmarkEnd w:id="363"/>
    </w:p>
    <w:p w14:paraId="3EB420AD" w14:textId="77777777" w:rsidR="00733207" w:rsidRDefault="00733207">
      <w:pPr>
        <w:pStyle w:val="Titre4"/>
        <w:spacing w:before="240" w:after="240"/>
        <w:jc w:val="both"/>
        <w:rPr>
          <w:rFonts w:ascii="Rockwell" w:hAnsi="Rockwell"/>
          <w:i w:val="0"/>
          <w:color w:val="auto"/>
          <w:sz w:val="16"/>
          <w:szCs w:val="16"/>
        </w:rPr>
      </w:pPr>
    </w:p>
    <w:p w14:paraId="1F5660EB" w14:textId="77777777" w:rsidR="00733207" w:rsidRDefault="00912BAE">
      <w:pPr>
        <w:spacing w:before="120" w:after="120" w:line="360" w:lineRule="auto"/>
        <w:contextualSpacing/>
        <w:jc w:val="both"/>
        <w:rPr>
          <w:rFonts w:ascii="Rockwell" w:eastAsia="Times New Roman" w:hAnsi="Rockwell"/>
          <w:i/>
          <w:sz w:val="26"/>
          <w:szCs w:val="26"/>
        </w:rPr>
      </w:pPr>
      <w:r>
        <w:rPr>
          <w:rFonts w:ascii="Rockwell" w:eastAsia="Times New Roman" w:hAnsi="Rockwell"/>
          <w:sz w:val="26"/>
          <w:szCs w:val="26"/>
        </w:rPr>
        <w:t xml:space="preserve">Le 13 février 2023, la radio </w:t>
      </w:r>
      <w:r>
        <w:rPr>
          <w:rFonts w:ascii="Rockwell" w:eastAsia="Times New Roman" w:hAnsi="Rockwell"/>
          <w:i/>
          <w:sz w:val="26"/>
          <w:szCs w:val="26"/>
        </w:rPr>
        <w:t>BBC AFRIQUE</w:t>
      </w:r>
      <w:r>
        <w:rPr>
          <w:rFonts w:ascii="Rockwell" w:eastAsia="Times New Roman" w:hAnsi="Rockwell"/>
          <w:sz w:val="26"/>
          <w:szCs w:val="26"/>
        </w:rPr>
        <w:t xml:space="preserve"> a diffusé un reportage faisant état d’une attaque terroriste perpétrée à </w:t>
      </w:r>
      <w:proofErr w:type="spellStart"/>
      <w:r>
        <w:rPr>
          <w:rFonts w:ascii="Rockwell" w:eastAsia="Times New Roman" w:hAnsi="Rockwell"/>
          <w:sz w:val="26"/>
          <w:szCs w:val="26"/>
        </w:rPr>
        <w:t>Sanakadougou</w:t>
      </w:r>
      <w:proofErr w:type="spellEnd"/>
      <w:r>
        <w:rPr>
          <w:rFonts w:ascii="Rockwell" w:eastAsia="Times New Roman" w:hAnsi="Rockwell"/>
          <w:sz w:val="26"/>
          <w:szCs w:val="26"/>
        </w:rPr>
        <w:t>, province de la Kossi. Le CSC a estimé qu’en identifiant les attaquants comme « </w:t>
      </w:r>
      <w:r>
        <w:rPr>
          <w:rFonts w:ascii="Rockwell" w:eastAsia="Times New Roman" w:hAnsi="Rockwell"/>
          <w:i/>
          <w:sz w:val="26"/>
          <w:szCs w:val="26"/>
        </w:rPr>
        <w:t xml:space="preserve">membres de l’insurrection islamique » </w:t>
      </w:r>
      <w:r>
        <w:rPr>
          <w:rFonts w:ascii="Rockwell" w:eastAsia="Times New Roman" w:hAnsi="Rockwell"/>
          <w:sz w:val="26"/>
          <w:szCs w:val="26"/>
        </w:rPr>
        <w:t>et non par les termes habituels</w:t>
      </w:r>
      <w:r>
        <w:rPr>
          <w:rFonts w:ascii="Rockwell" w:eastAsia="Times New Roman" w:hAnsi="Rockwell"/>
          <w:i/>
          <w:sz w:val="26"/>
          <w:szCs w:val="26"/>
        </w:rPr>
        <w:t xml:space="preserve"> </w:t>
      </w:r>
      <w:r>
        <w:rPr>
          <w:rFonts w:ascii="Rockwell" w:eastAsia="Times New Roman" w:hAnsi="Rockwell"/>
          <w:sz w:val="26"/>
          <w:szCs w:val="26"/>
        </w:rPr>
        <w:t>de</w:t>
      </w:r>
      <w:r>
        <w:rPr>
          <w:rFonts w:ascii="Rockwell" w:eastAsia="Times New Roman" w:hAnsi="Rockwell"/>
          <w:i/>
          <w:sz w:val="26"/>
          <w:szCs w:val="26"/>
        </w:rPr>
        <w:t xml:space="preserve"> </w:t>
      </w:r>
      <w:r>
        <w:rPr>
          <w:rFonts w:ascii="Rockwell" w:eastAsia="Times New Roman" w:hAnsi="Rockwell"/>
          <w:sz w:val="26"/>
          <w:szCs w:val="26"/>
        </w:rPr>
        <w:t>« </w:t>
      </w:r>
      <w:r>
        <w:rPr>
          <w:rFonts w:ascii="Rockwell" w:eastAsia="Times New Roman" w:hAnsi="Rockwell"/>
          <w:i/>
          <w:sz w:val="26"/>
          <w:szCs w:val="26"/>
        </w:rPr>
        <w:t>terroristes </w:t>
      </w:r>
      <w:r>
        <w:rPr>
          <w:rFonts w:ascii="Rockwell" w:eastAsia="Times New Roman" w:hAnsi="Rockwell"/>
          <w:sz w:val="26"/>
          <w:szCs w:val="26"/>
        </w:rPr>
        <w:t>», « </w:t>
      </w:r>
      <w:r>
        <w:rPr>
          <w:rFonts w:ascii="Rockwell" w:eastAsia="Times New Roman" w:hAnsi="Rockwell"/>
          <w:i/>
          <w:sz w:val="26"/>
          <w:szCs w:val="26"/>
        </w:rPr>
        <w:t>groupes armés terroristes</w:t>
      </w:r>
      <w:r>
        <w:rPr>
          <w:rFonts w:ascii="Rockwell" w:eastAsia="Times New Roman" w:hAnsi="Rockwell"/>
          <w:sz w:val="26"/>
          <w:szCs w:val="26"/>
        </w:rPr>
        <w:t> » ou « </w:t>
      </w:r>
      <w:r>
        <w:rPr>
          <w:rFonts w:ascii="Rockwell" w:eastAsia="Times New Roman" w:hAnsi="Rockwell"/>
          <w:i/>
          <w:sz w:val="26"/>
          <w:szCs w:val="26"/>
        </w:rPr>
        <w:t>Hommes armés non identifiés (HANI)</w:t>
      </w:r>
      <w:r>
        <w:rPr>
          <w:rFonts w:ascii="Rockwell" w:eastAsia="Times New Roman" w:hAnsi="Rockwell"/>
          <w:sz w:val="26"/>
          <w:szCs w:val="26"/>
        </w:rPr>
        <w:t xml:space="preserve"> », le média s’est rendu coupable de violation de l’article 130 de la loi sur la </w:t>
      </w:r>
      <w:r>
        <w:rPr>
          <w:rFonts w:ascii="Rockwell" w:eastAsia="Times New Roman" w:hAnsi="Rockwell"/>
          <w:sz w:val="26"/>
          <w:szCs w:val="26"/>
        </w:rPr>
        <w:lastRenderedPageBreak/>
        <w:t>radiodiffusion sonore et télévisuelle au Burkina Faso et du principe déontologique relatif à la vérité des faits.</w:t>
      </w:r>
      <w:r>
        <w:rPr>
          <w:rFonts w:ascii="Rockwell" w:eastAsia="Times New Roman" w:hAnsi="Rockwell"/>
          <w:i/>
          <w:sz w:val="26"/>
          <w:szCs w:val="26"/>
        </w:rPr>
        <w:t xml:space="preserve"> </w:t>
      </w:r>
    </w:p>
    <w:p w14:paraId="4FD0E991" w14:textId="77777777" w:rsidR="00733207" w:rsidRDefault="00912BAE">
      <w:pPr>
        <w:spacing w:before="120" w:after="120" w:line="360" w:lineRule="auto"/>
        <w:jc w:val="both"/>
        <w:rPr>
          <w:rFonts w:ascii="Rockwell" w:eastAsia="Times New Roman" w:hAnsi="Rockwell"/>
          <w:sz w:val="26"/>
          <w:szCs w:val="26"/>
        </w:rPr>
      </w:pPr>
      <w:r>
        <w:rPr>
          <w:rFonts w:ascii="Rockwell" w:eastAsia="Times New Roman" w:hAnsi="Rockwell"/>
          <w:sz w:val="26"/>
          <w:szCs w:val="26"/>
        </w:rPr>
        <w:t>Le responsable de la radio a été auditionné</w:t>
      </w:r>
      <w:r>
        <w:rPr>
          <w:rFonts w:ascii="Rockwell" w:eastAsia="Times New Roman" w:hAnsi="Rockwell"/>
          <w:b/>
          <w:sz w:val="26"/>
          <w:szCs w:val="26"/>
        </w:rPr>
        <w:t xml:space="preserve"> </w:t>
      </w:r>
      <w:r>
        <w:rPr>
          <w:rFonts w:ascii="Rockwell" w:eastAsia="Times New Roman" w:hAnsi="Rockwell"/>
          <w:sz w:val="26"/>
          <w:szCs w:val="26"/>
        </w:rPr>
        <w:t>et une lettre d’interpellation a été adressée au média l’invitant à plus de rigueur professionnelle dans le traitement de l’information.</w:t>
      </w:r>
    </w:p>
    <w:p w14:paraId="1C9D437C" w14:textId="77777777" w:rsidR="00733207" w:rsidRDefault="00733207">
      <w:pPr>
        <w:spacing w:before="120" w:after="120" w:line="360" w:lineRule="auto"/>
        <w:jc w:val="both"/>
        <w:rPr>
          <w:rFonts w:ascii="Rockwell" w:eastAsia="Times New Roman" w:hAnsi="Rockwell"/>
          <w:color w:val="FF0000"/>
          <w:sz w:val="26"/>
          <w:szCs w:val="26"/>
        </w:rPr>
      </w:pPr>
    </w:p>
    <w:p w14:paraId="58329D6C" w14:textId="05C81D99" w:rsidR="00733207" w:rsidRDefault="00912BAE">
      <w:pPr>
        <w:pStyle w:val="Titre4"/>
        <w:spacing w:before="120" w:after="120" w:line="360" w:lineRule="auto"/>
        <w:jc w:val="right"/>
        <w:rPr>
          <w:rFonts w:ascii="Rockwell" w:hAnsi="Rockwell"/>
          <w:b/>
          <w:i w:val="0"/>
          <w:color w:val="auto"/>
          <w:sz w:val="28"/>
          <w:szCs w:val="28"/>
        </w:rPr>
      </w:pPr>
      <w:bookmarkStart w:id="364" w:name="_Toc169855180"/>
      <w:bookmarkStart w:id="365" w:name="_Toc175128536"/>
      <w:r>
        <w:rPr>
          <w:rFonts w:ascii="Rockwell" w:hAnsi="Rockwell"/>
          <w:b/>
          <w:i w:val="0"/>
          <w:color w:val="auto"/>
          <w:sz w:val="28"/>
          <w:szCs w:val="28"/>
        </w:rPr>
        <w:t xml:space="preserve">Paragraphe 3 </w:t>
      </w:r>
      <w:r>
        <w:rPr>
          <w:rFonts w:ascii="Rockwell" w:eastAsia="Times New Roman" w:hAnsi="Rockwell"/>
          <w:b/>
          <w:i w:val="0"/>
          <w:color w:val="auto"/>
          <w:sz w:val="28"/>
          <w:szCs w:val="28"/>
        </w:rPr>
        <w:t xml:space="preserve">: </w:t>
      </w:r>
      <w:r w:rsidR="00102E79">
        <w:rPr>
          <w:rFonts w:ascii="Rockwell" w:hAnsi="Rockwell"/>
          <w:b/>
          <w:i w:val="0"/>
          <w:color w:val="auto"/>
          <w:sz w:val="28"/>
          <w:szCs w:val="28"/>
        </w:rPr>
        <w:t xml:space="preserve">Atteinte </w:t>
      </w:r>
      <w:r>
        <w:rPr>
          <w:rFonts w:ascii="Rockwell" w:hAnsi="Rockwell"/>
          <w:b/>
          <w:i w:val="0"/>
          <w:color w:val="auto"/>
          <w:sz w:val="28"/>
          <w:szCs w:val="28"/>
        </w:rPr>
        <w:t>à la tolérance religieuse et à la sédition</w:t>
      </w:r>
      <w:bookmarkEnd w:id="364"/>
      <w:bookmarkEnd w:id="365"/>
    </w:p>
    <w:p w14:paraId="28CE2CF9" w14:textId="77777777" w:rsidR="00733207" w:rsidRPr="000F5D96" w:rsidRDefault="00733207">
      <w:pPr>
        <w:spacing w:before="120" w:after="120" w:line="360" w:lineRule="auto"/>
        <w:jc w:val="both"/>
        <w:rPr>
          <w:rFonts w:ascii="Rockwell" w:hAnsi="Rockwell"/>
          <w:sz w:val="10"/>
          <w:szCs w:val="10"/>
        </w:rPr>
      </w:pPr>
    </w:p>
    <w:p w14:paraId="08A02626"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été interpellé le 04 janvier 2023, par rapport à des propos tenus</w:t>
      </w:r>
      <w:r>
        <w:rPr>
          <w:rFonts w:ascii="Rockwell" w:hAnsi="Rockwell"/>
          <w:bCs/>
          <w:sz w:val="26"/>
          <w:szCs w:val="26"/>
        </w:rPr>
        <w:t xml:space="preserve">, </w:t>
      </w:r>
      <w:r>
        <w:rPr>
          <w:rFonts w:ascii="Rockwell" w:hAnsi="Rockwell"/>
          <w:sz w:val="26"/>
          <w:szCs w:val="26"/>
        </w:rPr>
        <w:t xml:space="preserve">au cours de l’émission interactive </w:t>
      </w:r>
      <w:r>
        <w:rPr>
          <w:rFonts w:ascii="Rockwell" w:hAnsi="Rockwell"/>
          <w:i/>
          <w:sz w:val="26"/>
          <w:szCs w:val="26"/>
        </w:rPr>
        <w:t>« </w:t>
      </w:r>
      <w:proofErr w:type="spellStart"/>
      <w:r>
        <w:rPr>
          <w:rFonts w:ascii="Rockwell" w:hAnsi="Rockwell"/>
          <w:i/>
          <w:sz w:val="26"/>
          <w:szCs w:val="26"/>
        </w:rPr>
        <w:t>Nékré</w:t>
      </w:r>
      <w:proofErr w:type="spellEnd"/>
      <w:r>
        <w:rPr>
          <w:rFonts w:ascii="Rockwell" w:hAnsi="Rockwell"/>
          <w:i/>
          <w:sz w:val="26"/>
          <w:szCs w:val="26"/>
        </w:rPr>
        <w:t> »</w:t>
      </w:r>
      <w:r>
        <w:rPr>
          <w:rFonts w:ascii="Rockwell" w:hAnsi="Rockwell"/>
          <w:sz w:val="26"/>
          <w:szCs w:val="26"/>
        </w:rPr>
        <w:t xml:space="preserve"> de la radio </w:t>
      </w:r>
      <w:r>
        <w:rPr>
          <w:rFonts w:ascii="Rockwell" w:hAnsi="Rockwell"/>
          <w:i/>
          <w:sz w:val="26"/>
          <w:szCs w:val="26"/>
        </w:rPr>
        <w:t>Femina FM</w:t>
      </w:r>
      <w:r>
        <w:rPr>
          <w:rFonts w:ascii="Rockwell" w:hAnsi="Rockwell"/>
          <w:sz w:val="26"/>
          <w:szCs w:val="26"/>
        </w:rPr>
        <w:t xml:space="preserve">.  Le thème du jour a porté sur la situation sécuritaire du pays et l’opération de recrutement des volontaires pour la Défense de la Patrie (VDP). </w:t>
      </w:r>
    </w:p>
    <w:p w14:paraId="02E4438B" w14:textId="77777777" w:rsidR="00733207" w:rsidRDefault="00912BAE">
      <w:pPr>
        <w:spacing w:before="120" w:after="120" w:line="360" w:lineRule="auto"/>
        <w:jc w:val="both"/>
        <w:rPr>
          <w:rFonts w:ascii="Rockwell" w:hAnsi="Rockwell"/>
          <w:sz w:val="26"/>
          <w:szCs w:val="26"/>
        </w:rPr>
      </w:pPr>
      <w:r>
        <w:rPr>
          <w:rFonts w:ascii="Rockwell" w:hAnsi="Rockwell"/>
          <w:iCs/>
          <w:sz w:val="26"/>
          <w:szCs w:val="26"/>
        </w:rPr>
        <w:t>Le Conseil a estimé que les propos tenus étaient de</w:t>
      </w:r>
      <w:r>
        <w:rPr>
          <w:rFonts w:ascii="Rockwell" w:hAnsi="Rockwell"/>
          <w:sz w:val="26"/>
          <w:szCs w:val="26"/>
        </w:rPr>
        <w:t xml:space="preserve"> nature séditieuse et portaient atteinte au principe de la tolérance religieuse sur les antennes des médias. </w:t>
      </w:r>
    </w:p>
    <w:p w14:paraId="09FFE6C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auditionné l’animateur et le responsable de la radio et une mise en demeure a été adressée au média.</w:t>
      </w:r>
    </w:p>
    <w:p w14:paraId="3944BAAF"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 </w:t>
      </w:r>
    </w:p>
    <w:p w14:paraId="1CBA8F01" w14:textId="29B3A70A" w:rsidR="00733207" w:rsidRDefault="00912BAE">
      <w:pPr>
        <w:pStyle w:val="Titre4"/>
        <w:spacing w:before="120" w:after="120" w:line="360" w:lineRule="auto"/>
        <w:jc w:val="center"/>
        <w:rPr>
          <w:rFonts w:ascii="Rockwell" w:hAnsi="Rockwell"/>
          <w:b/>
          <w:i w:val="0"/>
          <w:color w:val="auto"/>
          <w:sz w:val="28"/>
          <w:szCs w:val="28"/>
        </w:rPr>
      </w:pPr>
      <w:bookmarkStart w:id="366" w:name="_Toc169855181"/>
      <w:bookmarkStart w:id="367" w:name="_Toc175128537"/>
      <w:r>
        <w:rPr>
          <w:rFonts w:ascii="Rockwell" w:hAnsi="Rockwell"/>
          <w:b/>
          <w:i w:val="0"/>
          <w:color w:val="auto"/>
          <w:sz w:val="28"/>
          <w:szCs w:val="28"/>
        </w:rPr>
        <w:t xml:space="preserve">Paragraphe 4 </w:t>
      </w:r>
      <w:r>
        <w:rPr>
          <w:rFonts w:ascii="Rockwell" w:eastAsia="Times New Roman" w:hAnsi="Rockwell"/>
          <w:b/>
          <w:i w:val="0"/>
          <w:color w:val="auto"/>
          <w:sz w:val="28"/>
          <w:szCs w:val="28"/>
        </w:rPr>
        <w:t xml:space="preserve">: </w:t>
      </w:r>
      <w:r w:rsidR="00102E79">
        <w:rPr>
          <w:rFonts w:ascii="Rockwell" w:hAnsi="Rockwell"/>
          <w:b/>
          <w:i w:val="0"/>
          <w:color w:val="auto"/>
          <w:sz w:val="28"/>
          <w:szCs w:val="28"/>
        </w:rPr>
        <w:t>Diffamation</w:t>
      </w:r>
      <w:r>
        <w:rPr>
          <w:rFonts w:ascii="Rockwell" w:hAnsi="Rockwell"/>
          <w:b/>
          <w:i w:val="0"/>
          <w:color w:val="auto"/>
          <w:sz w:val="28"/>
          <w:szCs w:val="28"/>
        </w:rPr>
        <w:t>, atteinte à l’honneur ou à la considération</w:t>
      </w:r>
      <w:bookmarkEnd w:id="366"/>
      <w:bookmarkEnd w:id="367"/>
    </w:p>
    <w:p w14:paraId="3C0CCFD6" w14:textId="77777777" w:rsidR="00733207" w:rsidRDefault="00733207">
      <w:pPr>
        <w:jc w:val="both"/>
        <w:rPr>
          <w:rFonts w:ascii="Rockwell" w:hAnsi="Rockwell"/>
          <w:sz w:val="16"/>
          <w:szCs w:val="16"/>
        </w:rPr>
      </w:pPr>
    </w:p>
    <w:p w14:paraId="528E209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CSC a reçu, le 30 décembre 2022, la plainte d’un ancien ministre de l’agriculture contre la radio </w:t>
      </w:r>
      <w:proofErr w:type="spellStart"/>
      <w:r>
        <w:rPr>
          <w:rFonts w:ascii="Rockwell" w:hAnsi="Rockwell"/>
          <w:i/>
          <w:sz w:val="26"/>
          <w:szCs w:val="26"/>
        </w:rPr>
        <w:t>Pognèré</w:t>
      </w:r>
      <w:proofErr w:type="spellEnd"/>
      <w:r>
        <w:rPr>
          <w:rFonts w:ascii="Rockwell" w:hAnsi="Rockwell"/>
          <w:sz w:val="26"/>
          <w:szCs w:val="26"/>
        </w:rPr>
        <w:t xml:space="preserve"> </w:t>
      </w:r>
      <w:r>
        <w:rPr>
          <w:rFonts w:ascii="Rockwell" w:hAnsi="Rockwell"/>
          <w:i/>
          <w:sz w:val="26"/>
          <w:szCs w:val="26"/>
        </w:rPr>
        <w:t>de Pouytenga</w:t>
      </w:r>
      <w:r>
        <w:rPr>
          <w:rFonts w:ascii="Rockwell" w:hAnsi="Rockwell"/>
          <w:sz w:val="26"/>
          <w:szCs w:val="26"/>
        </w:rPr>
        <w:t xml:space="preserve"> et relative à la diffusion d’une information faisant état de son arrestation et de sa détention à la</w:t>
      </w:r>
      <w:r>
        <w:rPr>
          <w:rFonts w:ascii="Rockwell" w:hAnsi="Rockwell"/>
          <w:i/>
          <w:sz w:val="26"/>
          <w:szCs w:val="26"/>
        </w:rPr>
        <w:t xml:space="preserve"> </w:t>
      </w:r>
      <w:r>
        <w:rPr>
          <w:rFonts w:ascii="Rockwell" w:hAnsi="Rockwell"/>
          <w:sz w:val="26"/>
          <w:szCs w:val="26"/>
        </w:rPr>
        <w:t>Maison d’arrêt et de correction de Ouahigouya pour malversations, alors qu’il était aux affaires.</w:t>
      </w:r>
    </w:p>
    <w:p w14:paraId="3185A84F"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Invités par le CSC pour une audition contradictoire, les premiers responsables de la radio ont reconnu avoir diffusé une information</w:t>
      </w:r>
      <w:r>
        <w:rPr>
          <w:rFonts w:ascii="Rockwell" w:hAnsi="Rockwell"/>
          <w:b/>
          <w:sz w:val="26"/>
          <w:szCs w:val="26"/>
        </w:rPr>
        <w:t xml:space="preserve"> </w:t>
      </w:r>
      <w:r>
        <w:rPr>
          <w:rFonts w:ascii="Rockwell" w:hAnsi="Rockwell"/>
          <w:sz w:val="26"/>
          <w:szCs w:val="26"/>
        </w:rPr>
        <w:lastRenderedPageBreak/>
        <w:t xml:space="preserve">diffamatoire et portant atteinte à l’honneur et à la considération de l’ancien ministre. </w:t>
      </w:r>
    </w:p>
    <w:p w14:paraId="6F96BBE8" w14:textId="77777777" w:rsidR="00733207" w:rsidRDefault="00733207">
      <w:pPr>
        <w:spacing w:before="120" w:after="120" w:line="360" w:lineRule="auto"/>
        <w:jc w:val="both"/>
        <w:rPr>
          <w:rFonts w:ascii="Rockwell" w:hAnsi="Rockwell"/>
          <w:sz w:val="10"/>
          <w:szCs w:val="10"/>
        </w:rPr>
      </w:pPr>
    </w:p>
    <w:p w14:paraId="04B3B1FD"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Après lui avoir présenté des excuses, ils se sont engagés à réparer le préjudice causé. </w:t>
      </w:r>
    </w:p>
    <w:p w14:paraId="5CE5DF95" w14:textId="77777777" w:rsidR="008C4EF3" w:rsidRDefault="00912BAE">
      <w:pPr>
        <w:spacing w:before="120" w:after="120" w:line="360" w:lineRule="auto"/>
        <w:jc w:val="both"/>
        <w:rPr>
          <w:rFonts w:ascii="Rockwell" w:hAnsi="Rockwell"/>
          <w:sz w:val="26"/>
          <w:szCs w:val="26"/>
        </w:rPr>
      </w:pPr>
      <w:r>
        <w:rPr>
          <w:rFonts w:ascii="Rockwell" w:hAnsi="Rockwell"/>
          <w:sz w:val="26"/>
          <w:szCs w:val="26"/>
        </w:rPr>
        <w:t>A la suite de l’audition et considérant que le média a enfreint les dispositions des articles 112 et 138 de la loi n° 059-2015/ CNT du 4 septembre 2015 portant régime juridique de la radiodiffusion sonore et télévisuelle du Burkina Faso, ainsi que les articles 7 et 12 de la charte du journaliste burkinabè</w:t>
      </w:r>
      <w:r w:rsidR="008C4EF3">
        <w:rPr>
          <w:rFonts w:ascii="Rockwell" w:hAnsi="Rockwell"/>
          <w:sz w:val="26"/>
          <w:szCs w:val="26"/>
        </w:rPr>
        <w:t>.</w:t>
      </w:r>
    </w:p>
    <w:p w14:paraId="7CBFF060" w14:textId="4AFFA43C"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 </w:t>
      </w:r>
      <w:r w:rsidR="0067688E">
        <w:rPr>
          <w:rFonts w:ascii="Rockwell" w:hAnsi="Rockwell"/>
          <w:sz w:val="26"/>
          <w:szCs w:val="26"/>
        </w:rPr>
        <w:t>Le CSC</w:t>
      </w:r>
      <w:r>
        <w:rPr>
          <w:rFonts w:ascii="Rockwell" w:hAnsi="Rockwell"/>
          <w:sz w:val="26"/>
          <w:szCs w:val="26"/>
        </w:rPr>
        <w:t xml:space="preserve"> </w:t>
      </w:r>
      <w:r w:rsidR="0067688E">
        <w:rPr>
          <w:rFonts w:ascii="Rockwell" w:hAnsi="Rockwell"/>
          <w:sz w:val="26"/>
          <w:szCs w:val="26"/>
        </w:rPr>
        <w:t>a adressé</w:t>
      </w:r>
      <w:r>
        <w:rPr>
          <w:rFonts w:ascii="Rockwell" w:hAnsi="Rockwell"/>
          <w:sz w:val="26"/>
          <w:szCs w:val="26"/>
        </w:rPr>
        <w:t xml:space="preserve"> </w:t>
      </w:r>
      <w:r w:rsidR="0067688E">
        <w:rPr>
          <w:rFonts w:ascii="Rockwell" w:hAnsi="Rockwell"/>
          <w:sz w:val="26"/>
          <w:szCs w:val="26"/>
        </w:rPr>
        <w:t>u</w:t>
      </w:r>
      <w:r>
        <w:rPr>
          <w:rFonts w:ascii="Rockwell" w:hAnsi="Rockwell"/>
          <w:sz w:val="26"/>
          <w:szCs w:val="26"/>
        </w:rPr>
        <w:t>ne lettre d’interpellation au média</w:t>
      </w:r>
      <w:r w:rsidR="0067688E">
        <w:rPr>
          <w:rFonts w:ascii="Rockwell" w:hAnsi="Rockwell"/>
          <w:sz w:val="26"/>
          <w:szCs w:val="26"/>
        </w:rPr>
        <w:t xml:space="preserve">, </w:t>
      </w:r>
      <w:r>
        <w:rPr>
          <w:rFonts w:ascii="Rockwell" w:hAnsi="Rockwell"/>
          <w:sz w:val="26"/>
          <w:szCs w:val="26"/>
        </w:rPr>
        <w:t>l’invitant à plus de professionnalisme dans le traitement de l’information.</w:t>
      </w:r>
    </w:p>
    <w:p w14:paraId="6A759F4A" w14:textId="77777777" w:rsidR="00733207" w:rsidRDefault="00733207">
      <w:pPr>
        <w:spacing w:before="120" w:after="120" w:line="360" w:lineRule="auto"/>
        <w:jc w:val="both"/>
        <w:rPr>
          <w:rFonts w:ascii="Rockwell" w:hAnsi="Rockwell"/>
          <w:color w:val="FF0000"/>
          <w:sz w:val="26"/>
          <w:szCs w:val="26"/>
        </w:rPr>
      </w:pPr>
    </w:p>
    <w:p w14:paraId="3D6CC302" w14:textId="29CD37A8" w:rsidR="00733207" w:rsidRDefault="00912BAE">
      <w:pPr>
        <w:pStyle w:val="Titre4"/>
        <w:spacing w:before="240" w:after="240" w:line="360" w:lineRule="auto"/>
        <w:jc w:val="center"/>
        <w:rPr>
          <w:rFonts w:ascii="Rockwell" w:hAnsi="Rockwell"/>
          <w:b/>
          <w:i w:val="0"/>
          <w:color w:val="auto"/>
          <w:sz w:val="28"/>
          <w:szCs w:val="28"/>
        </w:rPr>
      </w:pPr>
      <w:bookmarkStart w:id="368" w:name="_Toc175128538"/>
      <w:bookmarkStart w:id="369" w:name="_Toc169855182"/>
      <w:r>
        <w:rPr>
          <w:rFonts w:ascii="Rockwell" w:hAnsi="Rockwell"/>
          <w:b/>
          <w:i w:val="0"/>
          <w:color w:val="auto"/>
          <w:sz w:val="28"/>
          <w:szCs w:val="28"/>
        </w:rPr>
        <w:t xml:space="preserve">Paragraphe 5 : </w:t>
      </w:r>
      <w:r w:rsidR="0067688E">
        <w:rPr>
          <w:rFonts w:ascii="Rockwell" w:hAnsi="Rockwell"/>
          <w:b/>
          <w:i w:val="0"/>
          <w:color w:val="auto"/>
          <w:sz w:val="28"/>
          <w:szCs w:val="28"/>
        </w:rPr>
        <w:t xml:space="preserve">Atteinte </w:t>
      </w:r>
      <w:r>
        <w:rPr>
          <w:rFonts w:ascii="Rockwell" w:hAnsi="Rockwell"/>
          <w:b/>
          <w:i w:val="0"/>
          <w:color w:val="auto"/>
          <w:sz w:val="28"/>
          <w:szCs w:val="28"/>
        </w:rPr>
        <w:t>à l’image et à la dignité de la personne</w:t>
      </w:r>
      <w:bookmarkEnd w:id="368"/>
      <w:bookmarkEnd w:id="369"/>
    </w:p>
    <w:p w14:paraId="65009FD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CSC a été saisi, par le Directeur général de la SOTRACO et par trois (03) structures de protection des droits humains par rapport au contenu de la chanson intitulée « SOTRACO », d’un artiste musicien, mise en ligne et dont les paroles portent atteinte à l’image de marque de la Société de transport urbain. </w:t>
      </w:r>
    </w:p>
    <w:p w14:paraId="64002F93"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Après examen, le CSC a trouvé que le message de la chanson notamment le refrain faisant allusion à ladite société est dénigrant pour son image. </w:t>
      </w:r>
    </w:p>
    <w:p w14:paraId="762E1701"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Il a également constaté qu’en dehors des plateformes en ligne, le clip faisait déjà l’objet de diffusion dans certains médias professionnels.</w:t>
      </w:r>
    </w:p>
    <w:p w14:paraId="61358430"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CSC a donc attiré l’attention des responsables des médias audiovisuels sur le caractère attentatoire du message de cette chanson à l’image de la SOTRACO. </w:t>
      </w:r>
    </w:p>
    <w:p w14:paraId="5D1D04F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À travers un communiqué de presse, le CSC a invité les médias audiovisuels à s’abstenir de relayer ladite chanson qu’il juge non-conforme à la loi.</w:t>
      </w:r>
    </w:p>
    <w:p w14:paraId="3D548EA3" w14:textId="77777777" w:rsidR="00733207" w:rsidRDefault="00733207">
      <w:pPr>
        <w:spacing w:before="120" w:after="120" w:line="360" w:lineRule="auto"/>
        <w:jc w:val="both"/>
        <w:rPr>
          <w:rFonts w:ascii="Rockwell" w:hAnsi="Rockwell"/>
          <w:sz w:val="26"/>
          <w:szCs w:val="26"/>
        </w:rPr>
      </w:pPr>
    </w:p>
    <w:p w14:paraId="6FF0D64F" w14:textId="75AF86F2" w:rsidR="00733207" w:rsidRDefault="00912BAE">
      <w:pPr>
        <w:pStyle w:val="Titre4"/>
        <w:spacing w:before="120" w:after="120" w:line="360" w:lineRule="auto"/>
        <w:jc w:val="center"/>
        <w:rPr>
          <w:rFonts w:ascii="Rockwell" w:hAnsi="Rockwell"/>
          <w:b/>
          <w:i w:val="0"/>
          <w:color w:val="auto"/>
          <w:sz w:val="28"/>
          <w:szCs w:val="28"/>
        </w:rPr>
      </w:pPr>
      <w:bookmarkStart w:id="370" w:name="_Toc175128539"/>
      <w:bookmarkStart w:id="371" w:name="_Toc169855183"/>
      <w:r>
        <w:rPr>
          <w:rFonts w:ascii="Rockwell" w:hAnsi="Rockwell"/>
          <w:b/>
          <w:i w:val="0"/>
          <w:color w:val="auto"/>
          <w:sz w:val="28"/>
          <w:szCs w:val="28"/>
        </w:rPr>
        <w:t>Paragraphe 6 : </w:t>
      </w:r>
      <w:r w:rsidR="0067688E">
        <w:rPr>
          <w:rFonts w:ascii="Rockwell" w:hAnsi="Rockwell"/>
          <w:b/>
          <w:i w:val="0"/>
          <w:color w:val="auto"/>
          <w:sz w:val="28"/>
          <w:szCs w:val="28"/>
        </w:rPr>
        <w:t xml:space="preserve">Propos </w:t>
      </w:r>
      <w:r>
        <w:rPr>
          <w:rFonts w:ascii="Rockwell" w:hAnsi="Rockwell"/>
          <w:b/>
          <w:i w:val="0"/>
          <w:color w:val="auto"/>
          <w:sz w:val="28"/>
          <w:szCs w:val="28"/>
        </w:rPr>
        <w:t>grossiers, obscènes et outrage aux bonnes mœurs</w:t>
      </w:r>
      <w:bookmarkEnd w:id="370"/>
      <w:bookmarkEnd w:id="371"/>
    </w:p>
    <w:p w14:paraId="7BD638B4" w14:textId="6581BB72"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CSC a été interpellé par rapport au contenu </w:t>
      </w:r>
      <w:r w:rsidR="0067688E">
        <w:rPr>
          <w:rFonts w:ascii="Rockwell" w:hAnsi="Rockwell"/>
          <w:sz w:val="26"/>
          <w:szCs w:val="26"/>
        </w:rPr>
        <w:t>diffusé le</w:t>
      </w:r>
      <w:r>
        <w:rPr>
          <w:rFonts w:ascii="Rockwell" w:hAnsi="Rockwell"/>
          <w:sz w:val="26"/>
          <w:szCs w:val="26"/>
        </w:rPr>
        <w:t xml:space="preserve"> 16 décembre 2022, de l’émission </w:t>
      </w:r>
      <w:r>
        <w:rPr>
          <w:rFonts w:ascii="Rockwell" w:hAnsi="Rockwell"/>
          <w:i/>
          <w:sz w:val="26"/>
          <w:szCs w:val="26"/>
        </w:rPr>
        <w:t>« Le </w:t>
      </w:r>
      <w:proofErr w:type="spellStart"/>
      <w:r>
        <w:rPr>
          <w:rFonts w:ascii="Rockwell" w:hAnsi="Rockwell"/>
          <w:i/>
          <w:sz w:val="26"/>
          <w:szCs w:val="26"/>
        </w:rPr>
        <w:t>Kabaret</w:t>
      </w:r>
      <w:proofErr w:type="spellEnd"/>
      <w:r>
        <w:rPr>
          <w:rFonts w:ascii="Rockwell" w:hAnsi="Rockwell"/>
          <w:i/>
          <w:sz w:val="26"/>
          <w:szCs w:val="26"/>
        </w:rPr>
        <w:t> »</w:t>
      </w:r>
      <w:r>
        <w:rPr>
          <w:rFonts w:ascii="Rockwell" w:hAnsi="Rockwell"/>
          <w:sz w:val="26"/>
          <w:szCs w:val="26"/>
        </w:rPr>
        <w:t xml:space="preserve"> de la </w:t>
      </w:r>
      <w:r>
        <w:rPr>
          <w:rFonts w:ascii="Rockwell" w:hAnsi="Rockwell"/>
          <w:i/>
          <w:sz w:val="26"/>
          <w:szCs w:val="26"/>
        </w:rPr>
        <w:t>Radio « Arc en Ciel</w:t>
      </w:r>
      <w:r>
        <w:rPr>
          <w:rFonts w:ascii="Rockwell" w:hAnsi="Rockwell"/>
          <w:sz w:val="26"/>
          <w:szCs w:val="26"/>
        </w:rPr>
        <w:t xml:space="preserve"> ». Le thème abordé portait sur la sexualité des couples. </w:t>
      </w:r>
    </w:p>
    <w:p w14:paraId="644A4A9F"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Après analyse, le CSC a effectivement jugé que le contenu de l’émission renfermait de nombreux manquements à la loi, à la convention, à l’éthique et à la déontologie </w:t>
      </w:r>
      <w:commentRangeStart w:id="372"/>
      <w:r>
        <w:rPr>
          <w:rFonts w:ascii="Rockwell" w:hAnsi="Rockwell"/>
          <w:sz w:val="26"/>
          <w:szCs w:val="26"/>
        </w:rPr>
        <w:t>journalistique</w:t>
      </w:r>
      <w:commentRangeEnd w:id="372"/>
      <w:r>
        <w:rPr>
          <w:rStyle w:val="Marquedecommentaire"/>
          <w:rFonts w:ascii="Calibri" w:eastAsia="Calibri" w:hAnsi="Calibri" w:cs="Times New Roman"/>
          <w:lang w:eastAsia="fr-FR"/>
        </w:rPr>
        <w:commentReference w:id="372"/>
      </w:r>
      <w:r>
        <w:rPr>
          <w:rFonts w:ascii="Rockwell" w:hAnsi="Rockwell"/>
          <w:sz w:val="26"/>
          <w:szCs w:val="26"/>
        </w:rPr>
        <w:t xml:space="preserve">. </w:t>
      </w:r>
    </w:p>
    <w:p w14:paraId="111DB21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   </w:t>
      </w:r>
    </w:p>
    <w:p w14:paraId="3B451D21" w14:textId="3270B4C8" w:rsidR="00733207" w:rsidRDefault="00912BAE">
      <w:pPr>
        <w:pStyle w:val="Titre4"/>
        <w:spacing w:before="120" w:after="120" w:line="360" w:lineRule="auto"/>
        <w:jc w:val="center"/>
        <w:rPr>
          <w:rFonts w:ascii="Rockwell" w:hAnsi="Rockwell"/>
          <w:b/>
          <w:i w:val="0"/>
          <w:color w:val="auto"/>
          <w:sz w:val="28"/>
          <w:szCs w:val="28"/>
        </w:rPr>
      </w:pPr>
      <w:bookmarkStart w:id="373" w:name="_Toc169855184"/>
      <w:bookmarkStart w:id="374" w:name="_Toc175128540"/>
      <w:r>
        <w:rPr>
          <w:rFonts w:ascii="Rockwell" w:hAnsi="Rockwell"/>
          <w:b/>
          <w:i w:val="0"/>
          <w:color w:val="auto"/>
          <w:sz w:val="28"/>
          <w:szCs w:val="28"/>
        </w:rPr>
        <w:t xml:space="preserve">Paragraphe 7 : </w:t>
      </w:r>
      <w:r w:rsidR="00AE05C5">
        <w:rPr>
          <w:rFonts w:ascii="Rockwell" w:hAnsi="Rockwell"/>
          <w:b/>
          <w:i w:val="0"/>
          <w:color w:val="auto"/>
          <w:sz w:val="28"/>
          <w:szCs w:val="28"/>
        </w:rPr>
        <w:t xml:space="preserve">Diffusion </w:t>
      </w:r>
      <w:r>
        <w:rPr>
          <w:rFonts w:ascii="Rockwell" w:hAnsi="Rockwell"/>
          <w:b/>
          <w:i w:val="0"/>
          <w:color w:val="auto"/>
          <w:sz w:val="28"/>
          <w:szCs w:val="28"/>
        </w:rPr>
        <w:t>de nouvelles fausses, de pièces fabriquées, falsifiées ou mensongères</w:t>
      </w:r>
      <w:bookmarkEnd w:id="373"/>
      <w:bookmarkEnd w:id="374"/>
    </w:p>
    <w:p w14:paraId="657B447E" w14:textId="77777777" w:rsidR="00733207" w:rsidRDefault="00733207">
      <w:pPr>
        <w:suppressAutoHyphens/>
        <w:autoSpaceDN w:val="0"/>
        <w:spacing w:before="120" w:after="120" w:line="360" w:lineRule="auto"/>
        <w:ind w:left="360"/>
        <w:jc w:val="both"/>
        <w:textAlignment w:val="baseline"/>
        <w:rPr>
          <w:rFonts w:ascii="Rockwell" w:hAnsi="Rockwell"/>
          <w:b/>
          <w:sz w:val="16"/>
          <w:szCs w:val="16"/>
        </w:rPr>
      </w:pPr>
    </w:p>
    <w:p w14:paraId="44FF76E1" w14:textId="77777777" w:rsidR="00733207" w:rsidRDefault="00912BAE">
      <w:pPr>
        <w:suppressAutoHyphens/>
        <w:autoSpaceDE w:val="0"/>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Les médias concernés par ce manquement sont la télévision </w:t>
      </w:r>
      <w:r>
        <w:rPr>
          <w:rFonts w:ascii="Rockwell" w:eastAsia="Calibri" w:hAnsi="Rockwell" w:cs="Times New Roman"/>
          <w:i/>
          <w:sz w:val="26"/>
          <w:szCs w:val="26"/>
        </w:rPr>
        <w:t>France 24</w:t>
      </w:r>
      <w:r>
        <w:rPr>
          <w:rFonts w:ascii="Rockwell" w:eastAsia="Calibri" w:hAnsi="Rockwell" w:cs="Times New Roman"/>
          <w:sz w:val="26"/>
          <w:szCs w:val="26"/>
        </w:rPr>
        <w:t xml:space="preserve"> et le journal </w:t>
      </w:r>
      <w:r>
        <w:rPr>
          <w:rFonts w:ascii="Rockwell" w:eastAsia="Calibri" w:hAnsi="Rockwell" w:cs="Times New Roman"/>
          <w:i/>
          <w:sz w:val="26"/>
          <w:szCs w:val="26"/>
        </w:rPr>
        <w:t>L’Evènement</w:t>
      </w:r>
      <w:r>
        <w:rPr>
          <w:rFonts w:ascii="Rockwell" w:eastAsia="Calibri" w:hAnsi="Rockwell" w:cs="Times New Roman"/>
          <w:sz w:val="26"/>
          <w:szCs w:val="26"/>
        </w:rPr>
        <w:t xml:space="preserve"> </w:t>
      </w:r>
    </w:p>
    <w:p w14:paraId="17807F2A" w14:textId="77777777" w:rsidR="00733207" w:rsidRDefault="00733207">
      <w:pPr>
        <w:pStyle w:val="Titre5"/>
        <w:jc w:val="both"/>
        <w:rPr>
          <w:rFonts w:ascii="Rockwell" w:eastAsia="Calibri" w:hAnsi="Rockwell"/>
          <w:i w:val="0"/>
          <w:sz w:val="26"/>
          <w:szCs w:val="26"/>
        </w:rPr>
      </w:pPr>
    </w:p>
    <w:p w14:paraId="379B378A" w14:textId="77777777" w:rsidR="00733207" w:rsidRDefault="00912BAE">
      <w:pPr>
        <w:pStyle w:val="Titre5"/>
        <w:jc w:val="center"/>
        <w:rPr>
          <w:rFonts w:ascii="Rockwell" w:eastAsia="Calibri" w:hAnsi="Rockwell"/>
          <w:i w:val="0"/>
          <w:color w:val="auto"/>
          <w:sz w:val="26"/>
          <w:szCs w:val="26"/>
        </w:rPr>
      </w:pPr>
      <w:bookmarkStart w:id="375" w:name="_Toc175128541"/>
      <w:bookmarkStart w:id="376" w:name="_Toc169855185"/>
      <w:r>
        <w:rPr>
          <w:rFonts w:ascii="Rockwell" w:eastAsia="Calibri" w:hAnsi="Rockwell"/>
          <w:b/>
          <w:i w:val="0"/>
          <w:color w:val="auto"/>
          <w:sz w:val="26"/>
          <w:szCs w:val="26"/>
        </w:rPr>
        <w:t>7</w:t>
      </w:r>
      <w:r>
        <w:rPr>
          <w:rFonts w:ascii="Rockwell" w:eastAsia="Calibri" w:hAnsi="Rockwell"/>
          <w:i w:val="0"/>
          <w:color w:val="auto"/>
          <w:sz w:val="26"/>
          <w:szCs w:val="26"/>
        </w:rPr>
        <w:t>.1. Cas de la télévision France 24</w:t>
      </w:r>
      <w:bookmarkEnd w:id="375"/>
      <w:bookmarkEnd w:id="376"/>
    </w:p>
    <w:p w14:paraId="58AE7555" w14:textId="77777777" w:rsidR="00733207" w:rsidRDefault="00733207">
      <w:pPr>
        <w:spacing w:before="120" w:after="120" w:line="360" w:lineRule="auto"/>
        <w:jc w:val="both"/>
        <w:rPr>
          <w:rFonts w:ascii="Rockwell" w:hAnsi="Rockwell"/>
          <w:sz w:val="16"/>
          <w:szCs w:val="16"/>
        </w:rPr>
      </w:pPr>
    </w:p>
    <w:p w14:paraId="37D833AB"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Le 22 février 2023, la télévision </w:t>
      </w:r>
      <w:r>
        <w:rPr>
          <w:rFonts w:ascii="Rockwell" w:eastAsia="Calibri" w:hAnsi="Rockwell" w:cs="Times New Roman"/>
          <w:b/>
          <w:i/>
          <w:sz w:val="26"/>
          <w:szCs w:val="26"/>
        </w:rPr>
        <w:t>France 24</w:t>
      </w:r>
      <w:r>
        <w:rPr>
          <w:rFonts w:ascii="Rockwell" w:eastAsia="Calibri" w:hAnsi="Rockwell" w:cs="Times New Roman"/>
          <w:sz w:val="26"/>
          <w:szCs w:val="26"/>
        </w:rPr>
        <w:t xml:space="preserve"> a traité de l’attaque terroriste perpétrée à Déou dans la province de l’</w:t>
      </w:r>
      <w:proofErr w:type="spellStart"/>
      <w:r>
        <w:rPr>
          <w:rFonts w:ascii="Rockwell" w:eastAsia="Calibri" w:hAnsi="Rockwell" w:cs="Times New Roman"/>
          <w:sz w:val="26"/>
          <w:szCs w:val="26"/>
        </w:rPr>
        <w:t>Oudalan</w:t>
      </w:r>
      <w:proofErr w:type="spellEnd"/>
      <w:r>
        <w:rPr>
          <w:rFonts w:ascii="Rockwell" w:eastAsia="Calibri" w:hAnsi="Rockwell" w:cs="Times New Roman"/>
          <w:sz w:val="26"/>
          <w:szCs w:val="26"/>
        </w:rPr>
        <w:t>, le 17 février 2023, et dans une analyse, un de ses journalistes, considéré comme un « spécialiste des mouvements djihadistes », précisait que de source officielle, soixante-dix</w:t>
      </w:r>
      <w:r>
        <w:rPr>
          <w:rStyle w:val="Marquedecommentaire"/>
          <w:rFonts w:ascii="Calibri" w:eastAsia="Calibri" w:hAnsi="Calibri" w:cs="Times New Roman"/>
          <w:lang w:eastAsia="fr-FR"/>
        </w:rPr>
        <w:commentReference w:id="377"/>
      </w:r>
      <w:r>
        <w:rPr>
          <w:rFonts w:ascii="Rockwell" w:eastAsia="Calibri" w:hAnsi="Rockwell" w:cs="Times New Roman"/>
          <w:sz w:val="26"/>
          <w:szCs w:val="26"/>
        </w:rPr>
        <w:t xml:space="preserve"> (70) militaires sont tombés. Il poursuivait que le bilan pourrait s’alourdir pendant que celui officiel donné par l’Armée faisait état de 51 soldats ayant perdu la vie.</w:t>
      </w:r>
    </w:p>
    <w:p w14:paraId="7C42EF46" w14:textId="6BA6AC92"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Le CSC a conclu que l’information donnée par </w:t>
      </w:r>
      <w:r>
        <w:rPr>
          <w:rFonts w:ascii="Rockwell" w:eastAsia="Calibri" w:hAnsi="Rockwell" w:cs="Times New Roman"/>
          <w:i/>
          <w:sz w:val="26"/>
          <w:szCs w:val="26"/>
        </w:rPr>
        <w:t>France 24</w:t>
      </w:r>
      <w:r>
        <w:rPr>
          <w:rFonts w:ascii="Rockwell" w:eastAsia="Calibri" w:hAnsi="Rockwell" w:cs="Times New Roman"/>
          <w:sz w:val="26"/>
          <w:szCs w:val="26"/>
        </w:rPr>
        <w:t xml:space="preserve"> et son analyste est fausse et contribue à la désinformation du public. Cette entorse au principe sacro-saint de la vérité des faits porte atteinte aux dispositions de la loi </w:t>
      </w:r>
      <w:r>
        <w:rPr>
          <w:rFonts w:ascii="Rockwell" w:eastAsia="Calibri" w:hAnsi="Rockwell" w:cs="Times New Roman"/>
          <w:sz w:val="26"/>
          <w:szCs w:val="26"/>
        </w:rPr>
        <w:lastRenderedPageBreak/>
        <w:t>n°058- 2015/CNT portant régime juridique de la radiodiffusion sonore et télévisuelle au Burkina Faso notamment en son article 130.</w:t>
      </w:r>
    </w:p>
    <w:p w14:paraId="2EE24D90" w14:textId="77777777" w:rsidR="00733207" w:rsidRDefault="00912BAE">
      <w:pPr>
        <w:suppressAutoHyphens/>
        <w:autoSpaceDN w:val="0"/>
        <w:spacing w:before="120" w:after="120" w:line="360" w:lineRule="auto"/>
        <w:jc w:val="both"/>
        <w:textAlignment w:val="baseline"/>
        <w:rPr>
          <w:rFonts w:ascii="Rockwell" w:eastAsia="Calibri" w:hAnsi="Rockwell" w:cs="Times New Roman"/>
          <w:color w:val="FF0000"/>
          <w:sz w:val="26"/>
          <w:szCs w:val="26"/>
        </w:rPr>
      </w:pPr>
      <w:r>
        <w:rPr>
          <w:rFonts w:ascii="Rockwell" w:eastAsia="Calibri" w:hAnsi="Rockwell" w:cs="Times New Roman"/>
          <w:sz w:val="26"/>
          <w:szCs w:val="26"/>
        </w:rPr>
        <w:t xml:space="preserve">L’Instance de régulation a enfin estimé que la responsabilité sociale du média est engagée car l’information est de nature à plomber le moral des forces de défense et de sécurité et à créer davantage de psychose au sein des populations burkinabè. </w:t>
      </w:r>
    </w:p>
    <w:p w14:paraId="3AC64DF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Après audition du correspondant de </w:t>
      </w:r>
      <w:r>
        <w:rPr>
          <w:rFonts w:ascii="Rockwell" w:hAnsi="Rockwell"/>
          <w:i/>
          <w:sz w:val="26"/>
          <w:szCs w:val="26"/>
        </w:rPr>
        <w:t>France 24</w:t>
      </w:r>
      <w:r>
        <w:rPr>
          <w:rFonts w:ascii="Rockwell" w:hAnsi="Rockwell"/>
          <w:sz w:val="26"/>
          <w:szCs w:val="26"/>
        </w:rPr>
        <w:t xml:space="preserve"> au Burkina, une lettre d’interpellation a été adressée au média. </w:t>
      </w:r>
    </w:p>
    <w:p w14:paraId="64AA404B" w14:textId="77777777" w:rsidR="00733207" w:rsidRDefault="00733207">
      <w:pPr>
        <w:suppressAutoHyphens/>
        <w:autoSpaceDN w:val="0"/>
        <w:spacing w:before="120" w:after="120" w:line="360" w:lineRule="auto"/>
        <w:jc w:val="both"/>
        <w:textAlignment w:val="baseline"/>
        <w:rPr>
          <w:rFonts w:ascii="Rockwell" w:eastAsia="Calibri" w:hAnsi="Rockwell" w:cs="Times New Roman"/>
          <w:sz w:val="16"/>
          <w:szCs w:val="16"/>
        </w:rPr>
      </w:pPr>
    </w:p>
    <w:p w14:paraId="72715A3B" w14:textId="77777777" w:rsidR="00733207" w:rsidRDefault="00912BAE">
      <w:pPr>
        <w:pStyle w:val="Titre5"/>
        <w:spacing w:before="120" w:after="120" w:line="360" w:lineRule="auto"/>
        <w:jc w:val="center"/>
        <w:rPr>
          <w:rFonts w:ascii="Rockwell" w:hAnsi="Rockwell"/>
          <w:i w:val="0"/>
          <w:color w:val="auto"/>
          <w:sz w:val="26"/>
          <w:szCs w:val="26"/>
        </w:rPr>
      </w:pPr>
      <w:bookmarkStart w:id="378" w:name="_Toc169855186"/>
      <w:bookmarkStart w:id="379" w:name="_Toc175128542"/>
      <w:r>
        <w:rPr>
          <w:rFonts w:ascii="Rockwell" w:hAnsi="Rockwell"/>
          <w:i w:val="0"/>
          <w:color w:val="auto"/>
          <w:sz w:val="26"/>
          <w:szCs w:val="26"/>
        </w:rPr>
        <w:t>7.2. Cas du journal L’Evènement</w:t>
      </w:r>
      <w:bookmarkEnd w:id="378"/>
      <w:bookmarkEnd w:id="379"/>
    </w:p>
    <w:p w14:paraId="019F733D" w14:textId="77777777" w:rsidR="00733207" w:rsidRDefault="00733207">
      <w:pPr>
        <w:spacing w:before="120" w:after="120" w:line="360" w:lineRule="auto"/>
        <w:jc w:val="both"/>
        <w:rPr>
          <w:rFonts w:ascii="Rockwell" w:hAnsi="Rockwell"/>
          <w:sz w:val="16"/>
          <w:szCs w:val="16"/>
        </w:rPr>
      </w:pPr>
    </w:p>
    <w:p w14:paraId="5D148A8E"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 xml:space="preserve">Le CSC a reçu une plainte de la Présidence du Faso relative à la publication d’un article du journal </w:t>
      </w:r>
      <w:r>
        <w:rPr>
          <w:rFonts w:ascii="Rockwell" w:eastAsia="Calibri" w:hAnsi="Rockwell" w:cs="Times New Roman"/>
          <w:i/>
          <w:sz w:val="26"/>
          <w:szCs w:val="26"/>
        </w:rPr>
        <w:t>L’Evènement</w:t>
      </w:r>
      <w:r>
        <w:rPr>
          <w:rFonts w:ascii="Rockwell" w:eastAsia="Calibri" w:hAnsi="Rockwell" w:cs="Times New Roman"/>
          <w:sz w:val="26"/>
          <w:szCs w:val="26"/>
        </w:rPr>
        <w:t xml:space="preserve"> intitulé : «</w:t>
      </w:r>
      <w:r>
        <w:rPr>
          <w:rFonts w:ascii="Rockwell" w:eastAsia="Calibri" w:hAnsi="Rockwell" w:cs="Times New Roman"/>
          <w:b/>
          <w:i/>
          <w:sz w:val="26"/>
          <w:szCs w:val="26"/>
        </w:rPr>
        <w:t xml:space="preserve"> </w:t>
      </w:r>
      <w:r>
        <w:rPr>
          <w:rFonts w:ascii="Rockwell" w:eastAsia="Calibri" w:hAnsi="Rockwell" w:cs="Times New Roman"/>
          <w:i/>
          <w:sz w:val="26"/>
          <w:szCs w:val="26"/>
        </w:rPr>
        <w:t>Audiences secrètes du Capitaine TRAORE : Dites à vos parents de déposer les armes</w:t>
      </w:r>
      <w:r>
        <w:rPr>
          <w:rFonts w:ascii="Rockwell" w:eastAsia="Calibri" w:hAnsi="Rockwell" w:cs="Times New Roman"/>
          <w:sz w:val="26"/>
          <w:szCs w:val="26"/>
        </w:rPr>
        <w:t xml:space="preserve"> » paru à la Une de sa livraison n°490 du 25 mars 2023. </w:t>
      </w:r>
    </w:p>
    <w:p w14:paraId="7814478B" w14:textId="77777777" w:rsidR="00733207" w:rsidRDefault="00912BAE">
      <w:pPr>
        <w:spacing w:before="120" w:after="120" w:line="360" w:lineRule="auto"/>
        <w:jc w:val="both"/>
        <w:rPr>
          <w:rFonts w:ascii="Rockwell" w:eastAsia="Calibri" w:hAnsi="Rockwell" w:cs="Times New Roman"/>
          <w:b/>
          <w:sz w:val="26"/>
          <w:szCs w:val="26"/>
        </w:rPr>
      </w:pPr>
      <w:r>
        <w:rPr>
          <w:rFonts w:ascii="Rockwell" w:eastAsia="Calibri" w:hAnsi="Rockwell" w:cs="Times New Roman"/>
          <w:sz w:val="26"/>
          <w:szCs w:val="26"/>
        </w:rPr>
        <w:t>Après analyse, le CSC a estimé que des affirmations graves et fausses ont été attribuées au Chef de l’Etat et constituent des manquements tombant sous le coup des articles 110 et 120 de la loi N°057-2015/CNT portant régime juridique de la presse écrite au Burkina Faso et des articles 7 et 12 de la Charte du journaliste burkinabè.</w:t>
      </w:r>
    </w:p>
    <w:p w14:paraId="3D09A29F"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En outre, pour l’instance de régulation, le journal, en traitant l’information de cette manière, n’a pas pris la pleine mesure de sa responsabilité sociale, au regard de la sensibilité du sujet et des risques de sédition, d’atteinte à la cohésion sociale et de fragilisation de la lutte menée par les FDS contre les terroristes.</w:t>
      </w:r>
    </w:p>
    <w:p w14:paraId="35B082CE" w14:textId="77777777" w:rsidR="00733207" w:rsidRDefault="00912BAE">
      <w:pPr>
        <w:suppressAutoHyphens/>
        <w:autoSpaceDN w:val="0"/>
        <w:spacing w:before="120" w:after="120" w:line="360" w:lineRule="auto"/>
        <w:jc w:val="both"/>
        <w:textAlignment w:val="baseline"/>
        <w:rPr>
          <w:rFonts w:ascii="Rockwell" w:eastAsia="Calibri" w:hAnsi="Rockwell" w:cs="Times New Roman"/>
          <w:sz w:val="26"/>
          <w:szCs w:val="26"/>
        </w:rPr>
      </w:pPr>
      <w:r>
        <w:rPr>
          <w:rFonts w:ascii="Rockwell" w:eastAsia="Calibri" w:hAnsi="Rockwell" w:cs="Times New Roman"/>
          <w:sz w:val="26"/>
          <w:szCs w:val="26"/>
        </w:rPr>
        <w:t>Aussi, le CSC a organisé une audition des premiers responsables du journal à l’issue de laquelle une lettre d’interpellation leur a été adressée les invitant à plus de rigueur professionnelle dans le traitement de l’information.</w:t>
      </w:r>
    </w:p>
    <w:p w14:paraId="4F96F8E5" w14:textId="77777777" w:rsidR="00733207" w:rsidRDefault="00733207">
      <w:pPr>
        <w:suppressAutoHyphens/>
        <w:autoSpaceDN w:val="0"/>
        <w:spacing w:before="120" w:after="120" w:line="360" w:lineRule="auto"/>
        <w:jc w:val="both"/>
        <w:textAlignment w:val="baseline"/>
        <w:rPr>
          <w:rFonts w:ascii="Rockwell" w:eastAsia="Calibri" w:hAnsi="Rockwell" w:cs="Times New Roman"/>
          <w:sz w:val="26"/>
          <w:szCs w:val="26"/>
        </w:rPr>
      </w:pPr>
    </w:p>
    <w:p w14:paraId="6DD73DC8" w14:textId="77777777" w:rsidR="00733207" w:rsidRDefault="00912BAE">
      <w:pPr>
        <w:pStyle w:val="Titre4"/>
        <w:spacing w:before="240" w:after="240" w:line="360" w:lineRule="auto"/>
        <w:jc w:val="center"/>
        <w:rPr>
          <w:rFonts w:ascii="Rockwell" w:eastAsia="Times New Roman" w:hAnsi="Rockwell"/>
          <w:b/>
          <w:i w:val="0"/>
          <w:color w:val="auto"/>
          <w:sz w:val="28"/>
          <w:szCs w:val="28"/>
        </w:rPr>
      </w:pPr>
      <w:bookmarkStart w:id="380" w:name="_Toc169855187"/>
      <w:bookmarkStart w:id="381" w:name="_Toc175128543"/>
      <w:r>
        <w:rPr>
          <w:rFonts w:ascii="Rockwell" w:hAnsi="Rockwell"/>
          <w:b/>
          <w:i w:val="0"/>
          <w:color w:val="auto"/>
          <w:sz w:val="28"/>
          <w:szCs w:val="28"/>
        </w:rPr>
        <w:lastRenderedPageBreak/>
        <w:t xml:space="preserve">Paragraphe 8 : </w:t>
      </w:r>
      <w:r>
        <w:rPr>
          <w:rFonts w:ascii="Rockwell" w:eastAsia="Times New Roman" w:hAnsi="Rockwell"/>
          <w:b/>
          <w:i w:val="0"/>
          <w:color w:val="auto"/>
          <w:sz w:val="28"/>
          <w:szCs w:val="28"/>
        </w:rPr>
        <w:t>Diffusion de nouvelles fausses et déséquilibre de l’information</w:t>
      </w:r>
      <w:bookmarkEnd w:id="380"/>
      <w:bookmarkEnd w:id="381"/>
    </w:p>
    <w:p w14:paraId="756A24A1" w14:textId="77777777" w:rsidR="00733207" w:rsidRDefault="00733207">
      <w:pPr>
        <w:spacing w:before="120" w:after="120" w:line="360" w:lineRule="auto"/>
        <w:jc w:val="both"/>
        <w:rPr>
          <w:rFonts w:ascii="Rockwell" w:hAnsi="Rockwell"/>
          <w:sz w:val="10"/>
          <w:szCs w:val="10"/>
        </w:rPr>
      </w:pPr>
    </w:p>
    <w:p w14:paraId="040C21D0" w14:textId="56785483"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CSC a été interpellé par le Gouvernement suite à une information diffusée, le 16 janvier 2023, par la télévision </w:t>
      </w:r>
      <w:r>
        <w:rPr>
          <w:rFonts w:ascii="Rockwell" w:hAnsi="Rockwell"/>
          <w:i/>
          <w:sz w:val="26"/>
          <w:szCs w:val="26"/>
        </w:rPr>
        <w:t>France 24</w:t>
      </w:r>
      <w:r>
        <w:rPr>
          <w:rFonts w:ascii="Rockwell" w:hAnsi="Rockwell"/>
          <w:sz w:val="26"/>
          <w:szCs w:val="26"/>
        </w:rPr>
        <w:t xml:space="preserve"> et relative à l’enlèvement, par des groupes armés terroristes, d’une cinquantaine (50) de femmes à Arbinda, province du Soum. L’appellation « </w:t>
      </w:r>
      <w:r>
        <w:rPr>
          <w:rFonts w:ascii="Rockwell" w:hAnsi="Rockwell"/>
          <w:i/>
          <w:sz w:val="26"/>
          <w:szCs w:val="26"/>
        </w:rPr>
        <w:t>Rebelles islamistes</w:t>
      </w:r>
      <w:r>
        <w:rPr>
          <w:rFonts w:ascii="Rockwell" w:hAnsi="Rockwell"/>
          <w:sz w:val="26"/>
          <w:szCs w:val="26"/>
        </w:rPr>
        <w:t> » usitée en lieu et place de « groupe armé terroriste », et l’attribution de la source de l’information au Gouvernement burkinabè constituent non seulement une action de diffusion de nouvelle fausse mais aussi de désinformation. Ce faisant, le média porte atteinte à l’article 130 de la loi n°058- 2015 / CNT portant régime juridique de la radiodiffusion sonore et télévisuelle au Burkina Faso. Il enfreint également l’article 7 de la Charte de déontologie du journaliste burkinabè</w:t>
      </w:r>
      <w:r w:rsidR="00AE05C5">
        <w:rPr>
          <w:rFonts w:ascii="Rockwell" w:hAnsi="Rockwell"/>
          <w:sz w:val="26"/>
          <w:szCs w:val="26"/>
        </w:rPr>
        <w:t>,</w:t>
      </w:r>
      <w:r>
        <w:rPr>
          <w:rFonts w:ascii="Rockwell" w:hAnsi="Rockwell"/>
          <w:sz w:val="26"/>
          <w:szCs w:val="26"/>
        </w:rPr>
        <w:t xml:space="preserve"> </w:t>
      </w:r>
      <w:r w:rsidR="00AE05C5">
        <w:rPr>
          <w:rFonts w:ascii="Rockwell" w:hAnsi="Rockwell"/>
          <w:sz w:val="26"/>
          <w:szCs w:val="26"/>
        </w:rPr>
        <w:t>t</w:t>
      </w:r>
      <w:r>
        <w:rPr>
          <w:rFonts w:ascii="Rockwell" w:hAnsi="Rockwell"/>
          <w:sz w:val="26"/>
          <w:szCs w:val="26"/>
        </w:rPr>
        <w:t>oute chose qui est susceptible de favoriser la stigmatisation entre communautés religieuses et compromettre l’action des forces de défense et de sécurité.</w:t>
      </w:r>
    </w:p>
    <w:p w14:paraId="6079DCA3" w14:textId="77777777" w:rsidR="00733207" w:rsidRDefault="00912BAE">
      <w:pPr>
        <w:spacing w:before="120" w:after="120" w:line="360" w:lineRule="auto"/>
        <w:jc w:val="both"/>
        <w:rPr>
          <w:rFonts w:ascii="Rockwell" w:hAnsi="Rockwell"/>
          <w:sz w:val="26"/>
          <w:szCs w:val="26"/>
        </w:rPr>
      </w:pPr>
      <w:r>
        <w:rPr>
          <w:rFonts w:ascii="Rockwell" w:eastAsia="Calibri" w:hAnsi="Rockwell" w:cs="Times New Roman"/>
          <w:sz w:val="26"/>
          <w:szCs w:val="26"/>
        </w:rPr>
        <w:t>Il a procédé à l’audition de France 24 à l’issue de laquelle une mise en demeure lui a été adressée</w:t>
      </w:r>
      <w:r>
        <w:rPr>
          <w:rFonts w:ascii="Rockwell" w:hAnsi="Rockwell"/>
          <w:sz w:val="26"/>
          <w:szCs w:val="26"/>
        </w:rPr>
        <w:t>.</w:t>
      </w:r>
    </w:p>
    <w:p w14:paraId="3048F3C1" w14:textId="77777777" w:rsidR="00733207" w:rsidRDefault="00733207">
      <w:pPr>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p>
    <w:p w14:paraId="5C9F01D9" w14:textId="77777777" w:rsidR="00733207" w:rsidRDefault="00912BAE">
      <w:pPr>
        <w:pStyle w:val="Titre4"/>
        <w:spacing w:before="240" w:after="240" w:line="360" w:lineRule="auto"/>
        <w:jc w:val="center"/>
        <w:rPr>
          <w:rFonts w:ascii="Rockwell" w:hAnsi="Rockwell"/>
          <w:b/>
          <w:i w:val="0"/>
          <w:color w:val="auto"/>
          <w:sz w:val="28"/>
          <w:szCs w:val="28"/>
        </w:rPr>
      </w:pPr>
      <w:bookmarkStart w:id="382" w:name="_Toc169855188"/>
      <w:bookmarkStart w:id="383" w:name="_Toc175128544"/>
      <w:r>
        <w:rPr>
          <w:rFonts w:ascii="Rockwell" w:hAnsi="Rockwell"/>
          <w:b/>
          <w:i w:val="0"/>
          <w:color w:val="auto"/>
          <w:sz w:val="28"/>
          <w:szCs w:val="28"/>
        </w:rPr>
        <w:lastRenderedPageBreak/>
        <w:t>Paragraphe 9 : Manque de professionnalisme dans le traitement de l’information</w:t>
      </w:r>
      <w:bookmarkEnd w:id="382"/>
      <w:bookmarkEnd w:id="383"/>
    </w:p>
    <w:p w14:paraId="169FB3D1" w14:textId="2F9B65C5"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CSC a été interpellé à l’effet d’examiner des informations diffusées par la télévision </w:t>
      </w:r>
      <w:r>
        <w:rPr>
          <w:rFonts w:ascii="Rockwell" w:hAnsi="Rockwell"/>
          <w:i/>
          <w:sz w:val="26"/>
          <w:szCs w:val="26"/>
        </w:rPr>
        <w:t>LCI,</w:t>
      </w:r>
      <w:r>
        <w:rPr>
          <w:rFonts w:ascii="Rockwell" w:hAnsi="Rockwell"/>
          <w:sz w:val="26"/>
          <w:szCs w:val="26"/>
        </w:rPr>
        <w:t xml:space="preserve"> le 25 avril 2023. Ces informations sont relatives à la situation sécuritaire dans le Sahel et </w:t>
      </w:r>
      <w:r w:rsidR="00AE05C5">
        <w:rPr>
          <w:rFonts w:ascii="Rockwell" w:hAnsi="Rockwell"/>
          <w:sz w:val="26"/>
          <w:szCs w:val="26"/>
        </w:rPr>
        <w:t xml:space="preserve">à </w:t>
      </w:r>
      <w:r>
        <w:rPr>
          <w:rFonts w:ascii="Rockwell" w:hAnsi="Rockwell"/>
          <w:sz w:val="26"/>
          <w:szCs w:val="26"/>
        </w:rPr>
        <w:t xml:space="preserve">la gestion du pouvoir par le Capitaine Ibrahim TRAORE, Président du Faso.  </w:t>
      </w:r>
    </w:p>
    <w:p w14:paraId="07C21985" w14:textId="436529FB" w:rsidR="00733207" w:rsidRDefault="00912BAE">
      <w:pPr>
        <w:spacing w:before="120" w:after="120" w:line="360" w:lineRule="auto"/>
        <w:jc w:val="both"/>
        <w:rPr>
          <w:rFonts w:ascii="Rockwell" w:eastAsia="Times New Roman" w:hAnsi="Rockwell"/>
          <w:sz w:val="26"/>
          <w:szCs w:val="26"/>
        </w:rPr>
      </w:pPr>
      <w:r>
        <w:rPr>
          <w:rFonts w:ascii="Rockwell" w:hAnsi="Rockwell"/>
          <w:sz w:val="26"/>
          <w:szCs w:val="26"/>
        </w:rPr>
        <w:t xml:space="preserve">Après analyse, il ressort qu’en plus de saper les efforts du Chef de l’Etat, les propos du </w:t>
      </w:r>
      <w:r w:rsidR="00AE05C5">
        <w:rPr>
          <w:rFonts w:ascii="Rockwell" w:hAnsi="Rockwell"/>
          <w:sz w:val="26"/>
          <w:szCs w:val="26"/>
        </w:rPr>
        <w:t xml:space="preserve">journaliste </w:t>
      </w:r>
      <w:r>
        <w:rPr>
          <w:rFonts w:ascii="Rockwell" w:hAnsi="Rockwell"/>
          <w:sz w:val="26"/>
          <w:szCs w:val="26"/>
        </w:rPr>
        <w:t>était de nature à c</w:t>
      </w:r>
      <w:r>
        <w:rPr>
          <w:rFonts w:ascii="Rockwell" w:eastAsia="Times New Roman" w:hAnsi="Rockwell"/>
          <w:sz w:val="26"/>
          <w:szCs w:val="26"/>
        </w:rPr>
        <w:t xml:space="preserve">réer </w:t>
      </w:r>
      <w:r>
        <w:rPr>
          <w:rFonts w:ascii="Rockwell" w:hAnsi="Rockwell"/>
          <w:sz w:val="26"/>
          <w:szCs w:val="26"/>
        </w:rPr>
        <w:t>la psychose au sein de la population</w:t>
      </w:r>
      <w:r>
        <w:rPr>
          <w:rFonts w:ascii="Rockwell" w:eastAsia="Times New Roman" w:hAnsi="Rockwell"/>
          <w:sz w:val="26"/>
          <w:szCs w:val="26"/>
        </w:rPr>
        <w:t xml:space="preserve"> et conduire à une implosion sociale. </w:t>
      </w:r>
    </w:p>
    <w:p w14:paraId="3C59A67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 Au regard de la gravité du manquement, le Conseil a décidé de la suspension de la télévision </w:t>
      </w:r>
      <w:r>
        <w:rPr>
          <w:rFonts w:ascii="Rockwell" w:hAnsi="Rockwell"/>
          <w:i/>
          <w:sz w:val="26"/>
          <w:szCs w:val="26"/>
        </w:rPr>
        <w:t xml:space="preserve">LCI </w:t>
      </w:r>
      <w:r>
        <w:rPr>
          <w:rFonts w:ascii="Rockwell" w:hAnsi="Rockwell"/>
          <w:sz w:val="26"/>
          <w:szCs w:val="26"/>
        </w:rPr>
        <w:t>pour faute professionnelle.</w:t>
      </w:r>
    </w:p>
    <w:p w14:paraId="5653B79C" w14:textId="77777777" w:rsidR="00733207" w:rsidRDefault="00733207">
      <w:pPr>
        <w:spacing w:before="120" w:after="120" w:line="360" w:lineRule="auto"/>
        <w:jc w:val="both"/>
        <w:rPr>
          <w:rFonts w:ascii="Rockwell" w:eastAsia="Times New Roman" w:hAnsi="Rockwell"/>
          <w:sz w:val="26"/>
          <w:szCs w:val="26"/>
        </w:rPr>
      </w:pPr>
    </w:p>
    <w:p w14:paraId="64B7C518" w14:textId="2C6890B6" w:rsidR="00733207" w:rsidRDefault="00912BAE">
      <w:pPr>
        <w:pStyle w:val="Titre4"/>
        <w:spacing w:before="120" w:after="120" w:line="360" w:lineRule="auto"/>
        <w:jc w:val="center"/>
        <w:rPr>
          <w:rFonts w:ascii="Rockwell" w:hAnsi="Rockwell"/>
          <w:b/>
          <w:i w:val="0"/>
          <w:color w:val="auto"/>
          <w:sz w:val="28"/>
          <w:szCs w:val="28"/>
        </w:rPr>
      </w:pPr>
      <w:bookmarkStart w:id="384" w:name="_Toc175128545"/>
      <w:bookmarkStart w:id="385" w:name="_Toc169855189"/>
      <w:r>
        <w:rPr>
          <w:rFonts w:ascii="Rockwell" w:hAnsi="Rockwell"/>
          <w:b/>
          <w:i w:val="0"/>
          <w:color w:val="auto"/>
          <w:sz w:val="28"/>
          <w:szCs w:val="28"/>
        </w:rPr>
        <w:t xml:space="preserve">Paragraphe 10 : </w:t>
      </w:r>
      <w:r w:rsidR="00AE05C5">
        <w:rPr>
          <w:rFonts w:ascii="Rockwell" w:hAnsi="Rockwell"/>
          <w:b/>
          <w:i w:val="0"/>
          <w:color w:val="auto"/>
          <w:sz w:val="28"/>
          <w:szCs w:val="28"/>
        </w:rPr>
        <w:t>D</w:t>
      </w:r>
      <w:r>
        <w:rPr>
          <w:rFonts w:ascii="Rockwell" w:hAnsi="Rockwell"/>
          <w:b/>
          <w:i w:val="0"/>
          <w:color w:val="auto"/>
          <w:sz w:val="28"/>
          <w:szCs w:val="28"/>
        </w:rPr>
        <w:t>ésinformation</w:t>
      </w:r>
      <w:bookmarkEnd w:id="384"/>
      <w:bookmarkEnd w:id="385"/>
    </w:p>
    <w:p w14:paraId="7911195C" w14:textId="77777777" w:rsidR="00733207" w:rsidRDefault="00733207">
      <w:pPr>
        <w:spacing w:before="120" w:after="120" w:line="360" w:lineRule="auto"/>
        <w:jc w:val="both"/>
        <w:rPr>
          <w:rFonts w:ascii="Rockwell" w:hAnsi="Rockwell"/>
          <w:sz w:val="16"/>
          <w:szCs w:val="16"/>
        </w:rPr>
      </w:pPr>
    </w:p>
    <w:p w14:paraId="2006D0FD"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reçu, le 11 juillet 2023, une plainte du Ministre d’Etat, ministre de la Fonction publique, du Travail et de la Protection sociale, relative à un article intitulé : « </w:t>
      </w:r>
      <w:r>
        <w:rPr>
          <w:rFonts w:ascii="Rockwell" w:hAnsi="Rockwell"/>
          <w:i/>
          <w:sz w:val="26"/>
          <w:szCs w:val="26"/>
        </w:rPr>
        <w:t>Burkina : que se passe-t-il dans l’organisation des concours professionnels</w:t>
      </w:r>
      <w:r>
        <w:rPr>
          <w:rFonts w:ascii="Rockwell" w:hAnsi="Rockwell"/>
          <w:sz w:val="26"/>
          <w:szCs w:val="26"/>
        </w:rPr>
        <w:t xml:space="preserve"> ?» publié par le média en ligne </w:t>
      </w:r>
      <w:proofErr w:type="spellStart"/>
      <w:r>
        <w:rPr>
          <w:rFonts w:ascii="Rockwell" w:hAnsi="Rockwell"/>
          <w:i/>
          <w:sz w:val="26"/>
          <w:szCs w:val="26"/>
        </w:rPr>
        <w:t>Wakat</w:t>
      </w:r>
      <w:proofErr w:type="spellEnd"/>
      <w:r>
        <w:rPr>
          <w:rFonts w:ascii="Rockwell" w:hAnsi="Rockwell"/>
          <w:i/>
          <w:sz w:val="26"/>
          <w:szCs w:val="26"/>
        </w:rPr>
        <w:t xml:space="preserve"> </w:t>
      </w:r>
      <w:proofErr w:type="spellStart"/>
      <w:r>
        <w:rPr>
          <w:rFonts w:ascii="Rockwell" w:hAnsi="Rockwell"/>
          <w:i/>
          <w:sz w:val="26"/>
          <w:szCs w:val="26"/>
        </w:rPr>
        <w:t>Séra</w:t>
      </w:r>
      <w:proofErr w:type="spellEnd"/>
      <w:r>
        <w:rPr>
          <w:rFonts w:ascii="Rockwell" w:hAnsi="Rockwell"/>
          <w:sz w:val="26"/>
          <w:szCs w:val="26"/>
        </w:rPr>
        <w:t xml:space="preserve">, le 07 juillet 2023.  </w:t>
      </w:r>
    </w:p>
    <w:p w14:paraId="408C496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Il s’agit d’un micro trottoir réalisé sur l’organisation des concours professionnels session 2023. </w:t>
      </w:r>
      <w:proofErr w:type="spellStart"/>
      <w:r>
        <w:rPr>
          <w:rFonts w:ascii="Rockwell" w:hAnsi="Rockwell"/>
          <w:i/>
          <w:sz w:val="26"/>
          <w:szCs w:val="26"/>
        </w:rPr>
        <w:t>Wakat</w:t>
      </w:r>
      <w:proofErr w:type="spellEnd"/>
      <w:r>
        <w:rPr>
          <w:rFonts w:ascii="Rockwell" w:hAnsi="Rockwell"/>
          <w:i/>
          <w:sz w:val="26"/>
          <w:szCs w:val="26"/>
        </w:rPr>
        <w:t xml:space="preserve"> </w:t>
      </w:r>
      <w:proofErr w:type="spellStart"/>
      <w:r>
        <w:rPr>
          <w:rFonts w:ascii="Rockwell" w:hAnsi="Rockwell"/>
          <w:i/>
          <w:sz w:val="26"/>
          <w:szCs w:val="26"/>
        </w:rPr>
        <w:t>Séra</w:t>
      </w:r>
      <w:proofErr w:type="spellEnd"/>
      <w:r>
        <w:rPr>
          <w:rFonts w:ascii="Rockwell" w:hAnsi="Rockwell"/>
          <w:i/>
          <w:sz w:val="26"/>
          <w:szCs w:val="26"/>
        </w:rPr>
        <w:t xml:space="preserve"> </w:t>
      </w:r>
      <w:r>
        <w:rPr>
          <w:rFonts w:ascii="Rockwell" w:hAnsi="Rockwell"/>
          <w:sz w:val="26"/>
          <w:szCs w:val="26"/>
        </w:rPr>
        <w:t>y a précisé que ses démarches entreprises auprès des services en charge de l’organisation de ces concours sont restées vaines.</w:t>
      </w:r>
    </w:p>
    <w:p w14:paraId="60E9104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Selon le plaignant, l’article jette un discrédit sur l’organisation des concours professionnels. Il reproche également au journaliste de s’être basé uniquement sur les critiques ou récriminations de supposés candidats. </w:t>
      </w:r>
    </w:p>
    <w:p w14:paraId="6821F9B6" w14:textId="77777777" w:rsidR="00733207" w:rsidRDefault="00912BAE">
      <w:pPr>
        <w:spacing w:before="120" w:after="120" w:line="360" w:lineRule="auto"/>
        <w:jc w:val="both"/>
        <w:rPr>
          <w:rFonts w:ascii="Rockwell" w:hAnsi="Rockwell" w:cs="Times New Roman"/>
          <w:sz w:val="26"/>
          <w:szCs w:val="26"/>
        </w:rPr>
      </w:pPr>
      <w:r>
        <w:rPr>
          <w:rFonts w:ascii="Rockwell" w:hAnsi="Rockwell"/>
          <w:sz w:val="26"/>
          <w:szCs w:val="26"/>
        </w:rPr>
        <w:t xml:space="preserve">Le CSC a conclu que le média a respecté les principes et règles professionnelles de traitement de l’information. </w:t>
      </w:r>
    </w:p>
    <w:p w14:paraId="7A75A25D" w14:textId="77777777" w:rsidR="00733207" w:rsidRDefault="00733207">
      <w:pPr>
        <w:spacing w:before="120" w:after="120" w:line="360" w:lineRule="auto"/>
        <w:jc w:val="both"/>
        <w:rPr>
          <w:rFonts w:ascii="Rockwell" w:hAnsi="Rockwell" w:cs="Times New Roman"/>
          <w:sz w:val="26"/>
          <w:szCs w:val="26"/>
        </w:rPr>
      </w:pPr>
    </w:p>
    <w:p w14:paraId="0DE2D588" w14:textId="77777777" w:rsidR="00733207" w:rsidRDefault="00733207">
      <w:pPr>
        <w:spacing w:before="120" w:after="120" w:line="360" w:lineRule="auto"/>
        <w:jc w:val="both"/>
        <w:rPr>
          <w:rFonts w:ascii="Rockwell" w:hAnsi="Rockwell" w:cs="Times New Roman"/>
          <w:sz w:val="26"/>
          <w:szCs w:val="26"/>
        </w:rPr>
      </w:pPr>
    </w:p>
    <w:p w14:paraId="52266CBD" w14:textId="77777777" w:rsidR="00733207" w:rsidRDefault="00733207">
      <w:pPr>
        <w:spacing w:before="120" w:after="120" w:line="360" w:lineRule="auto"/>
        <w:jc w:val="both"/>
        <w:rPr>
          <w:rFonts w:ascii="Rockwell" w:hAnsi="Rockwell" w:cs="Times New Roman"/>
          <w:sz w:val="26"/>
          <w:szCs w:val="26"/>
        </w:rPr>
      </w:pPr>
    </w:p>
    <w:p w14:paraId="2726808E" w14:textId="77777777" w:rsidR="00733207" w:rsidRDefault="00733207">
      <w:pPr>
        <w:spacing w:before="120" w:after="120" w:line="360" w:lineRule="auto"/>
        <w:jc w:val="both"/>
        <w:rPr>
          <w:rFonts w:ascii="Rockwell" w:hAnsi="Rockwell" w:cs="Times New Roman"/>
          <w:sz w:val="26"/>
          <w:szCs w:val="26"/>
        </w:rPr>
      </w:pPr>
    </w:p>
    <w:p w14:paraId="0B1E7EA9" w14:textId="77777777" w:rsidR="00733207" w:rsidRDefault="00733207">
      <w:pPr>
        <w:jc w:val="both"/>
        <w:rPr>
          <w:rFonts w:ascii="Rockwell" w:hAnsi="Rockwell"/>
        </w:rPr>
      </w:pPr>
      <w:bookmarkStart w:id="386" w:name="_Toc169855190"/>
      <w:bookmarkStart w:id="387" w:name="_Toc169854383"/>
      <w:bookmarkStart w:id="388" w:name="_Toc138337989"/>
      <w:bookmarkStart w:id="389" w:name="_Toc141088441"/>
      <w:bookmarkStart w:id="390" w:name="_Toc141088589"/>
    </w:p>
    <w:p w14:paraId="2BEDE047" w14:textId="77777777" w:rsidR="00733207" w:rsidRDefault="00733207">
      <w:pPr>
        <w:jc w:val="both"/>
        <w:rPr>
          <w:rFonts w:ascii="Rockwell" w:hAnsi="Rockwell"/>
        </w:rPr>
      </w:pPr>
    </w:p>
    <w:p w14:paraId="5FC1D730" w14:textId="77777777" w:rsidR="00733207" w:rsidRDefault="00733207">
      <w:pPr>
        <w:jc w:val="both"/>
        <w:rPr>
          <w:rFonts w:ascii="Rockwell" w:hAnsi="Rockwell"/>
        </w:rPr>
      </w:pPr>
    </w:p>
    <w:p w14:paraId="2A692CA6" w14:textId="77777777" w:rsidR="00733207" w:rsidRDefault="00733207">
      <w:pPr>
        <w:jc w:val="both"/>
        <w:rPr>
          <w:rFonts w:ascii="Rockwell" w:hAnsi="Rockwell"/>
        </w:rPr>
      </w:pPr>
    </w:p>
    <w:p w14:paraId="1FE29879" w14:textId="77777777" w:rsidR="00733207" w:rsidRDefault="00733207">
      <w:pPr>
        <w:jc w:val="both"/>
        <w:rPr>
          <w:rFonts w:ascii="Rockwell" w:hAnsi="Rockwell"/>
        </w:rPr>
      </w:pPr>
    </w:p>
    <w:p w14:paraId="53002E53" w14:textId="77777777" w:rsidR="00733207" w:rsidRDefault="00733207">
      <w:pPr>
        <w:jc w:val="both"/>
        <w:rPr>
          <w:rFonts w:ascii="Rockwell" w:hAnsi="Rockwell"/>
        </w:rPr>
      </w:pPr>
    </w:p>
    <w:p w14:paraId="48FE1439" w14:textId="77777777" w:rsidR="00733207" w:rsidRDefault="00912BAE">
      <w:pPr>
        <w:pStyle w:val="Titre1"/>
        <w:spacing w:after="240" w:line="360" w:lineRule="auto"/>
        <w:jc w:val="center"/>
        <w:rPr>
          <w:rFonts w:ascii="Rockwell" w:hAnsi="Rockwell"/>
          <w:b/>
          <w:color w:val="auto"/>
        </w:rPr>
      </w:pPr>
      <w:bookmarkStart w:id="391" w:name="_Toc175128546"/>
      <w:bookmarkStart w:id="392" w:name="_Toc170209344"/>
      <w:r>
        <w:rPr>
          <w:rFonts w:ascii="Rockwell" w:hAnsi="Rockwell"/>
          <w:b/>
          <w:color w:val="auto"/>
        </w:rPr>
        <w:t>TROISIEME PARTIE : RENCONTRES, COOPERATION ET PARTENARIAT</w:t>
      </w:r>
      <w:bookmarkEnd w:id="386"/>
      <w:bookmarkEnd w:id="387"/>
      <w:bookmarkEnd w:id="391"/>
      <w:bookmarkEnd w:id="392"/>
    </w:p>
    <w:p w14:paraId="565AA207" w14:textId="77777777" w:rsidR="00733207" w:rsidRDefault="00733207">
      <w:pPr>
        <w:spacing w:before="120" w:after="120" w:line="360" w:lineRule="auto"/>
        <w:jc w:val="both"/>
        <w:rPr>
          <w:rFonts w:ascii="Rockwell" w:hAnsi="Rockwell"/>
          <w:sz w:val="26"/>
          <w:szCs w:val="26"/>
        </w:rPr>
      </w:pPr>
    </w:p>
    <w:p w14:paraId="6E06BFC8" w14:textId="77777777" w:rsidR="00733207" w:rsidRDefault="00733207">
      <w:pPr>
        <w:spacing w:before="120" w:after="120" w:line="360" w:lineRule="auto"/>
        <w:jc w:val="both"/>
        <w:rPr>
          <w:rFonts w:ascii="Rockwell" w:hAnsi="Rockwell"/>
          <w:sz w:val="26"/>
          <w:szCs w:val="26"/>
        </w:rPr>
      </w:pPr>
    </w:p>
    <w:p w14:paraId="13F84250" w14:textId="77777777" w:rsidR="00733207" w:rsidRDefault="00733207">
      <w:pPr>
        <w:spacing w:before="120" w:after="120" w:line="360" w:lineRule="auto"/>
        <w:jc w:val="both"/>
        <w:rPr>
          <w:rFonts w:ascii="Rockwell" w:hAnsi="Rockwell"/>
          <w:sz w:val="26"/>
          <w:szCs w:val="26"/>
        </w:rPr>
      </w:pPr>
    </w:p>
    <w:p w14:paraId="3614A4D8" w14:textId="77777777" w:rsidR="00733207" w:rsidRDefault="00733207">
      <w:pPr>
        <w:spacing w:before="120" w:after="120" w:line="360" w:lineRule="auto"/>
        <w:jc w:val="both"/>
        <w:rPr>
          <w:rFonts w:ascii="Rockwell" w:hAnsi="Rockwell"/>
          <w:sz w:val="26"/>
          <w:szCs w:val="26"/>
        </w:rPr>
      </w:pPr>
    </w:p>
    <w:p w14:paraId="5104CBA2" w14:textId="77777777" w:rsidR="00733207" w:rsidRDefault="00733207">
      <w:pPr>
        <w:spacing w:before="120" w:after="120" w:line="360" w:lineRule="auto"/>
        <w:jc w:val="both"/>
        <w:rPr>
          <w:rFonts w:ascii="Rockwell" w:hAnsi="Rockwell"/>
          <w:sz w:val="26"/>
          <w:szCs w:val="26"/>
        </w:rPr>
      </w:pPr>
    </w:p>
    <w:p w14:paraId="4004E589" w14:textId="77777777" w:rsidR="00733207" w:rsidRDefault="00733207">
      <w:pPr>
        <w:spacing w:before="120" w:after="120" w:line="360" w:lineRule="auto"/>
        <w:jc w:val="both"/>
        <w:rPr>
          <w:rFonts w:ascii="Rockwell" w:hAnsi="Rockwell"/>
          <w:sz w:val="26"/>
          <w:szCs w:val="26"/>
        </w:rPr>
      </w:pPr>
    </w:p>
    <w:p w14:paraId="16E690E3" w14:textId="77777777" w:rsidR="00733207" w:rsidRDefault="00733207">
      <w:pPr>
        <w:spacing w:before="120" w:after="120" w:line="360" w:lineRule="auto"/>
        <w:jc w:val="both"/>
        <w:rPr>
          <w:rFonts w:ascii="Rockwell" w:hAnsi="Rockwell"/>
          <w:sz w:val="26"/>
          <w:szCs w:val="26"/>
        </w:rPr>
      </w:pPr>
    </w:p>
    <w:p w14:paraId="26511F52" w14:textId="77777777" w:rsidR="00733207" w:rsidRDefault="00733207">
      <w:pPr>
        <w:spacing w:before="120" w:after="120" w:line="360" w:lineRule="auto"/>
        <w:jc w:val="both"/>
        <w:rPr>
          <w:rFonts w:ascii="Rockwell" w:hAnsi="Rockwell"/>
          <w:sz w:val="26"/>
          <w:szCs w:val="26"/>
        </w:rPr>
      </w:pPr>
    </w:p>
    <w:p w14:paraId="112B51E0" w14:textId="77777777" w:rsidR="00733207" w:rsidRDefault="00733207">
      <w:pPr>
        <w:spacing w:before="120" w:after="120" w:line="360" w:lineRule="auto"/>
        <w:jc w:val="both"/>
        <w:rPr>
          <w:rFonts w:ascii="Rockwell" w:hAnsi="Rockwell"/>
          <w:sz w:val="26"/>
          <w:szCs w:val="26"/>
        </w:rPr>
      </w:pPr>
    </w:p>
    <w:p w14:paraId="45F0C3FC" w14:textId="77777777" w:rsidR="00733207" w:rsidRDefault="00733207">
      <w:pPr>
        <w:spacing w:before="120" w:after="120" w:line="360" w:lineRule="auto"/>
        <w:jc w:val="both"/>
        <w:rPr>
          <w:rFonts w:ascii="Rockwell" w:hAnsi="Rockwell"/>
          <w:sz w:val="26"/>
          <w:szCs w:val="26"/>
        </w:rPr>
      </w:pPr>
    </w:p>
    <w:p w14:paraId="409B6A92" w14:textId="77777777" w:rsidR="00733207" w:rsidRDefault="00733207">
      <w:pPr>
        <w:spacing w:before="120" w:after="120" w:line="360" w:lineRule="auto"/>
        <w:jc w:val="both"/>
        <w:rPr>
          <w:rFonts w:ascii="Rockwell" w:hAnsi="Rockwell"/>
          <w:sz w:val="26"/>
          <w:szCs w:val="26"/>
        </w:rPr>
      </w:pPr>
    </w:p>
    <w:p w14:paraId="25543C95" w14:textId="77777777" w:rsidR="00733207" w:rsidRDefault="00733207">
      <w:pPr>
        <w:spacing w:before="120" w:after="120" w:line="360" w:lineRule="auto"/>
        <w:jc w:val="both"/>
        <w:rPr>
          <w:rFonts w:ascii="Rockwell" w:hAnsi="Rockwell"/>
          <w:b/>
          <w:sz w:val="26"/>
          <w:szCs w:val="26"/>
        </w:rPr>
      </w:pPr>
    </w:p>
    <w:p w14:paraId="064586E1" w14:textId="77777777" w:rsidR="00733207" w:rsidRDefault="00733207">
      <w:pPr>
        <w:spacing w:before="120" w:after="120" w:line="360" w:lineRule="auto"/>
        <w:jc w:val="both"/>
        <w:rPr>
          <w:rFonts w:ascii="Rockwell" w:hAnsi="Rockwell"/>
          <w:b/>
          <w:sz w:val="26"/>
          <w:szCs w:val="26"/>
        </w:rPr>
        <w:sectPr w:rsidR="00733207">
          <w:pgSz w:w="11906" w:h="16838"/>
          <w:pgMar w:top="1417" w:right="1417" w:bottom="1417" w:left="1417" w:header="708" w:footer="708" w:gutter="0"/>
          <w:cols w:space="708"/>
          <w:docGrid w:linePitch="360"/>
        </w:sectPr>
      </w:pPr>
    </w:p>
    <w:p w14:paraId="6DAFCEF8" w14:textId="77777777" w:rsidR="00733207" w:rsidRDefault="00912BAE">
      <w:pPr>
        <w:pStyle w:val="Titre2"/>
        <w:spacing w:before="240" w:after="240" w:line="360" w:lineRule="auto"/>
        <w:jc w:val="center"/>
        <w:rPr>
          <w:rFonts w:ascii="Rockwell" w:hAnsi="Rockwell" w:cs="Times New Roman"/>
          <w:b/>
          <w:color w:val="auto"/>
          <w:sz w:val="30"/>
          <w:szCs w:val="30"/>
        </w:rPr>
      </w:pPr>
      <w:bookmarkStart w:id="393" w:name="_Toc141088444"/>
      <w:bookmarkStart w:id="394" w:name="_Toc141088603"/>
      <w:bookmarkStart w:id="395" w:name="_Toc175128547"/>
      <w:bookmarkStart w:id="396" w:name="_Toc170209345"/>
      <w:bookmarkStart w:id="397" w:name="_Toc169855191"/>
      <w:bookmarkStart w:id="398" w:name="_Toc169854384"/>
      <w:r>
        <w:rPr>
          <w:rFonts w:ascii="Rockwell" w:hAnsi="Rockwell" w:cs="Times New Roman"/>
          <w:b/>
          <w:color w:val="auto"/>
          <w:sz w:val="30"/>
          <w:szCs w:val="30"/>
        </w:rPr>
        <w:lastRenderedPageBreak/>
        <w:t xml:space="preserve">CHAPITRE I : </w:t>
      </w:r>
      <w:bookmarkEnd w:id="393"/>
      <w:bookmarkEnd w:id="394"/>
      <w:r>
        <w:rPr>
          <w:rFonts w:ascii="Rockwell" w:hAnsi="Rockwell" w:cs="Times New Roman"/>
          <w:b/>
          <w:color w:val="auto"/>
          <w:sz w:val="30"/>
          <w:szCs w:val="30"/>
        </w:rPr>
        <w:t>RENCONTRES AU PLAN NATIONAL</w:t>
      </w:r>
      <w:bookmarkEnd w:id="395"/>
      <w:bookmarkEnd w:id="396"/>
      <w:bookmarkEnd w:id="397"/>
      <w:bookmarkEnd w:id="398"/>
    </w:p>
    <w:p w14:paraId="0CA3F330" w14:textId="77777777" w:rsidR="00733207" w:rsidRDefault="00733207">
      <w:pPr>
        <w:spacing w:before="120" w:after="120" w:line="360" w:lineRule="auto"/>
        <w:jc w:val="both"/>
        <w:rPr>
          <w:rFonts w:ascii="Rockwell" w:hAnsi="Rockwell"/>
          <w:sz w:val="26"/>
          <w:szCs w:val="26"/>
        </w:rPr>
      </w:pPr>
    </w:p>
    <w:p w14:paraId="08B52BEB" w14:textId="77777777" w:rsidR="00733207" w:rsidRPr="00AE05C5" w:rsidRDefault="00912BAE">
      <w:pPr>
        <w:pStyle w:val="Titre3"/>
        <w:spacing w:before="120" w:after="120" w:line="360" w:lineRule="auto"/>
        <w:jc w:val="center"/>
        <w:rPr>
          <w:rFonts w:ascii="Rockwell" w:hAnsi="Rockwell" w:cs="Times New Roman"/>
          <w:b/>
          <w:i/>
          <w:color w:val="auto"/>
          <w:sz w:val="28"/>
          <w:szCs w:val="28"/>
        </w:rPr>
      </w:pPr>
      <w:bookmarkStart w:id="399" w:name="_Toc141088604"/>
      <w:bookmarkStart w:id="400" w:name="_Toc141088445"/>
      <w:bookmarkStart w:id="401" w:name="_Toc175128548"/>
      <w:bookmarkStart w:id="402" w:name="_Toc170209346"/>
      <w:bookmarkStart w:id="403" w:name="_Toc169855192"/>
      <w:bookmarkStart w:id="404" w:name="_Toc169854385"/>
      <w:r w:rsidRPr="00AE05C5">
        <w:rPr>
          <w:rFonts w:ascii="Rockwell" w:hAnsi="Rockwell" w:cs="Times New Roman"/>
          <w:b/>
          <w:i/>
          <w:color w:val="auto"/>
          <w:sz w:val="28"/>
          <w:szCs w:val="28"/>
        </w:rPr>
        <w:t xml:space="preserve">SECTION 1 : </w:t>
      </w:r>
      <w:bookmarkStart w:id="405" w:name="_Toc141088609"/>
      <w:bookmarkEnd w:id="399"/>
      <w:bookmarkEnd w:id="400"/>
      <w:r w:rsidRPr="00AE05C5">
        <w:rPr>
          <w:rFonts w:ascii="Rockwell" w:hAnsi="Rockwell" w:cs="Times New Roman"/>
          <w:b/>
          <w:i/>
          <w:color w:val="auto"/>
          <w:sz w:val="28"/>
          <w:szCs w:val="28"/>
        </w:rPr>
        <w:t>AUDIENCES DU PRESIDENT</w:t>
      </w:r>
      <w:bookmarkEnd w:id="401"/>
      <w:bookmarkEnd w:id="402"/>
      <w:bookmarkEnd w:id="403"/>
      <w:bookmarkEnd w:id="404"/>
    </w:p>
    <w:p w14:paraId="296281AE" w14:textId="77777777" w:rsidR="00733207" w:rsidRDefault="00733207">
      <w:pPr>
        <w:spacing w:before="120" w:after="120" w:line="360" w:lineRule="auto"/>
        <w:jc w:val="both"/>
        <w:rPr>
          <w:rFonts w:ascii="Rockwell" w:hAnsi="Rockwell"/>
          <w:sz w:val="26"/>
          <w:szCs w:val="26"/>
        </w:rPr>
      </w:pPr>
    </w:p>
    <w:p w14:paraId="4315C99A" w14:textId="77777777" w:rsidR="00733207" w:rsidRDefault="00912BAE">
      <w:pPr>
        <w:pStyle w:val="Titre4"/>
        <w:spacing w:before="120" w:after="120" w:line="360" w:lineRule="auto"/>
        <w:jc w:val="center"/>
        <w:rPr>
          <w:rFonts w:ascii="Rockwell" w:hAnsi="Rockwell"/>
          <w:b/>
          <w:i w:val="0"/>
          <w:color w:val="auto"/>
          <w:sz w:val="28"/>
          <w:szCs w:val="28"/>
        </w:rPr>
      </w:pPr>
      <w:bookmarkStart w:id="406" w:name="_Toc141088610"/>
      <w:bookmarkStart w:id="407" w:name="_Toc169855193"/>
      <w:bookmarkStart w:id="408" w:name="_Toc175128549"/>
      <w:bookmarkEnd w:id="405"/>
      <w:r>
        <w:rPr>
          <w:rFonts w:ascii="Rockwell" w:hAnsi="Rockwell"/>
          <w:b/>
          <w:i w:val="0"/>
          <w:color w:val="auto"/>
          <w:sz w:val="28"/>
          <w:szCs w:val="28"/>
        </w:rPr>
        <w:t>Paragraphe 1 : Avec les représentants de Canal+ Burkina</w:t>
      </w:r>
      <w:bookmarkEnd w:id="406"/>
      <w:bookmarkEnd w:id="407"/>
      <w:bookmarkEnd w:id="408"/>
    </w:p>
    <w:p w14:paraId="35E3E72C" w14:textId="77777777" w:rsidR="00733207" w:rsidRDefault="00733207">
      <w:pPr>
        <w:jc w:val="both"/>
        <w:rPr>
          <w:rFonts w:ascii="Rockwell" w:hAnsi="Rockwell"/>
          <w:sz w:val="10"/>
          <w:szCs w:val="10"/>
        </w:rPr>
      </w:pPr>
    </w:p>
    <w:p w14:paraId="03284EBE"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Conduite par le Président du conseil d’administration, M. Mamadou FOFANA, accompagné du Directeur Général, M. Jonathan LETT, la délégation de Canal+ Burkina a été reçue par le Président </w:t>
      </w:r>
      <w:proofErr w:type="spellStart"/>
      <w:r>
        <w:rPr>
          <w:rFonts w:ascii="Rockwell" w:eastAsia="Calibri" w:hAnsi="Rockwell" w:cs="Times New Roman"/>
          <w:sz w:val="26"/>
          <w:szCs w:val="26"/>
        </w:rPr>
        <w:t>Abdoulazize</w:t>
      </w:r>
      <w:proofErr w:type="spellEnd"/>
      <w:r>
        <w:rPr>
          <w:rFonts w:ascii="Rockwell" w:eastAsia="Calibri" w:hAnsi="Rockwell" w:cs="Times New Roman"/>
          <w:sz w:val="26"/>
          <w:szCs w:val="26"/>
        </w:rPr>
        <w:t xml:space="preserve"> </w:t>
      </w:r>
      <w:r>
        <w:rPr>
          <w:rFonts w:ascii="Rockwell" w:hAnsi="Rockwell" w:cs="Times New Roman"/>
          <w:sz w:val="26"/>
          <w:szCs w:val="26"/>
        </w:rPr>
        <w:t>BAMOGO</w:t>
      </w:r>
      <w:r>
        <w:rPr>
          <w:rFonts w:ascii="Rockwell" w:eastAsia="Calibri" w:hAnsi="Rockwell" w:cs="Times New Roman"/>
          <w:sz w:val="26"/>
          <w:szCs w:val="26"/>
        </w:rPr>
        <w:t>, le 02 février 2023. Les échanges ont porté sur la piraterie des programmes de Canal+ par des Fournisseurs d’accès à Internet (FAI) et le montant des redevances annuelles.</w:t>
      </w:r>
    </w:p>
    <w:p w14:paraId="3C6174A3"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Sur la première préoccupation, le Directeur Général a indiqué qu’il existe des fournisseurs « indélicats » qui sont connus et exercent dans des pays qui ne coopèrent pas en matière de lutte contre le piratage. C’est pourquoi, Canal+ Burkina a pris son bâton de pèlerin pour appeler tous les intervenants de la chaîne de diffusion, dont le CSC qui s’occupe des contenus, à plus de coopération. Jonathan LETT a plaidé pour une coupure de l’accès de ces FAI à l’espace du Burkina Faso. </w:t>
      </w:r>
    </w:p>
    <w:p w14:paraId="01C4721B"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S’agissant de la seconde, la délégation a souhaité que le Conseil supérieur de la communication étudie la possibilité de baisser le montant qui leur est appliqué, pour une équité avec des concurrents opérant dans le même secteur. </w:t>
      </w:r>
    </w:p>
    <w:p w14:paraId="12CA89A3" w14:textId="77777777" w:rsidR="00733207" w:rsidRDefault="00733207">
      <w:pPr>
        <w:spacing w:before="120" w:after="120" w:line="360" w:lineRule="auto"/>
        <w:jc w:val="both"/>
        <w:rPr>
          <w:rFonts w:ascii="Rockwell" w:eastAsia="Calibri" w:hAnsi="Rockwell" w:cs="Times New Roman"/>
          <w:sz w:val="26"/>
          <w:szCs w:val="26"/>
        </w:rPr>
        <w:sectPr w:rsidR="00733207">
          <w:pgSz w:w="11906" w:h="16838"/>
          <w:pgMar w:top="1417" w:right="1417" w:bottom="1417" w:left="1417" w:header="708" w:footer="708" w:gutter="0"/>
          <w:cols w:space="708"/>
          <w:docGrid w:linePitch="360"/>
        </w:sectPr>
      </w:pPr>
    </w:p>
    <w:p w14:paraId="62D54AE3" w14:textId="77777777" w:rsidR="00733207" w:rsidRDefault="00912BAE">
      <w:pPr>
        <w:pStyle w:val="Titre4"/>
        <w:spacing w:before="120" w:after="120" w:line="360" w:lineRule="auto"/>
        <w:jc w:val="center"/>
        <w:rPr>
          <w:rFonts w:ascii="Rockwell" w:eastAsia="Calibri" w:hAnsi="Rockwell"/>
          <w:b/>
          <w:i w:val="0"/>
          <w:color w:val="auto"/>
          <w:sz w:val="28"/>
          <w:szCs w:val="28"/>
        </w:rPr>
      </w:pPr>
      <w:bookmarkStart w:id="409" w:name="_Toc175128550"/>
      <w:bookmarkStart w:id="410" w:name="_Toc141088611"/>
      <w:bookmarkStart w:id="411" w:name="_Toc169855194"/>
      <w:r>
        <w:rPr>
          <w:rFonts w:ascii="Rockwell" w:hAnsi="Rockwell"/>
          <w:b/>
          <w:i w:val="0"/>
          <w:color w:val="auto"/>
          <w:sz w:val="28"/>
          <w:szCs w:val="28"/>
        </w:rPr>
        <w:lastRenderedPageBreak/>
        <w:t>Paragraphe 2 : </w:t>
      </w:r>
      <w:r>
        <w:rPr>
          <w:rFonts w:ascii="Rockwell" w:eastAsia="Calibri" w:hAnsi="Rockwell"/>
          <w:b/>
          <w:i w:val="0"/>
          <w:color w:val="auto"/>
          <w:sz w:val="28"/>
          <w:szCs w:val="28"/>
        </w:rPr>
        <w:t>Avec la délégation du système des Nations unies</w:t>
      </w:r>
      <w:bookmarkEnd w:id="409"/>
      <w:bookmarkEnd w:id="410"/>
      <w:bookmarkEnd w:id="411"/>
    </w:p>
    <w:p w14:paraId="2BA6C95F" w14:textId="77777777" w:rsidR="00733207" w:rsidRDefault="00733207">
      <w:pPr>
        <w:jc w:val="both"/>
        <w:rPr>
          <w:rFonts w:ascii="Rockwell" w:hAnsi="Rockwell"/>
          <w:sz w:val="10"/>
          <w:szCs w:val="10"/>
        </w:rPr>
      </w:pPr>
    </w:p>
    <w:p w14:paraId="3888125C"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Reçue le 02 février 2023, la délégation du système des Nations unies était conduite par Madame </w:t>
      </w:r>
      <w:proofErr w:type="spellStart"/>
      <w:r>
        <w:rPr>
          <w:rFonts w:ascii="Rockwell" w:eastAsia="Calibri" w:hAnsi="Rockwell" w:cs="Times New Roman"/>
          <w:sz w:val="26"/>
          <w:szCs w:val="26"/>
        </w:rPr>
        <w:t>Zinash</w:t>
      </w:r>
      <w:proofErr w:type="spellEnd"/>
      <w:r>
        <w:rPr>
          <w:rFonts w:ascii="Rockwell" w:eastAsia="Calibri" w:hAnsi="Rockwell" w:cs="Times New Roman"/>
          <w:sz w:val="26"/>
          <w:szCs w:val="26"/>
        </w:rPr>
        <w:t xml:space="preserve"> EYOUN du siège de l’ONU à Genève. Elle est venue échanger avec l’instance de régulation de la communication, en vue d’évaluer ses besoins dans le cadre des élections envisagées à la sortie de la Transition. Les deux parties ont identifié les défis auxquels les médias sont confrontés, ceux auxquels le régulateur lui-même fait face et passé en revue les activités à mener dans le cadre de la préparation et de la tenue de ces élections. M. </w:t>
      </w:r>
      <w:proofErr w:type="spellStart"/>
      <w:r>
        <w:rPr>
          <w:rFonts w:ascii="Rockwell" w:eastAsia="Calibri" w:hAnsi="Rockwell" w:cs="Times New Roman"/>
          <w:sz w:val="26"/>
          <w:szCs w:val="26"/>
        </w:rPr>
        <w:t>Abdoulazize</w:t>
      </w:r>
      <w:proofErr w:type="spellEnd"/>
      <w:r>
        <w:rPr>
          <w:rFonts w:ascii="Rockwell" w:eastAsia="Calibri" w:hAnsi="Rockwell" w:cs="Times New Roman"/>
          <w:sz w:val="26"/>
          <w:szCs w:val="26"/>
        </w:rPr>
        <w:t xml:space="preserve"> </w:t>
      </w:r>
      <w:r>
        <w:rPr>
          <w:rFonts w:ascii="Rockwell" w:hAnsi="Rockwell" w:cs="Times New Roman"/>
          <w:sz w:val="26"/>
          <w:szCs w:val="26"/>
        </w:rPr>
        <w:t>BAMOGO</w:t>
      </w:r>
      <w:r>
        <w:rPr>
          <w:rFonts w:ascii="Rockwell" w:eastAsia="Calibri" w:hAnsi="Rockwell" w:cs="Times New Roman"/>
          <w:sz w:val="26"/>
          <w:szCs w:val="26"/>
        </w:rPr>
        <w:t xml:space="preserve"> a émis le vœu que, le moment venu, le système des Nations unies puisse encore accompagner le CSC à jouer sa partition dans l’organisation de ces scrutins.</w:t>
      </w:r>
    </w:p>
    <w:p w14:paraId="57352CE3" w14:textId="77777777" w:rsidR="00733207" w:rsidRDefault="00733207">
      <w:pPr>
        <w:spacing w:before="120" w:after="120" w:line="360" w:lineRule="auto"/>
        <w:jc w:val="both"/>
        <w:rPr>
          <w:rFonts w:ascii="Rockwell" w:eastAsia="Calibri" w:hAnsi="Rockwell" w:cs="Times New Roman"/>
          <w:sz w:val="26"/>
          <w:szCs w:val="26"/>
        </w:rPr>
      </w:pPr>
    </w:p>
    <w:p w14:paraId="2E07D5A9" w14:textId="3FB2B711" w:rsidR="00733207" w:rsidRDefault="00912BAE">
      <w:pPr>
        <w:pStyle w:val="Titre4"/>
        <w:spacing w:before="120" w:after="120" w:line="360" w:lineRule="auto"/>
        <w:jc w:val="center"/>
        <w:rPr>
          <w:rFonts w:ascii="Rockwell" w:eastAsia="Calibri" w:hAnsi="Rockwell"/>
          <w:b/>
          <w:i w:val="0"/>
          <w:color w:val="auto"/>
          <w:sz w:val="28"/>
          <w:szCs w:val="28"/>
        </w:rPr>
      </w:pPr>
      <w:bookmarkStart w:id="412" w:name="_Toc141088612"/>
      <w:bookmarkStart w:id="413" w:name="_Toc175128551"/>
      <w:bookmarkStart w:id="414" w:name="_Toc169855195"/>
      <w:r>
        <w:rPr>
          <w:rFonts w:ascii="Rockwell" w:hAnsi="Rockwell"/>
          <w:b/>
          <w:i w:val="0"/>
          <w:color w:val="auto"/>
          <w:sz w:val="28"/>
          <w:szCs w:val="28"/>
        </w:rPr>
        <w:t xml:space="preserve">Paragraphe 3 : </w:t>
      </w:r>
      <w:r w:rsidR="004E31FD">
        <w:rPr>
          <w:rFonts w:ascii="Rockwell" w:eastAsia="Calibri" w:hAnsi="Rockwell"/>
          <w:b/>
          <w:i w:val="0"/>
          <w:color w:val="auto"/>
          <w:sz w:val="28"/>
          <w:szCs w:val="28"/>
        </w:rPr>
        <w:t>E</w:t>
      </w:r>
      <w:r>
        <w:rPr>
          <w:rFonts w:ascii="Rockwell" w:eastAsia="Calibri" w:hAnsi="Rockwell"/>
          <w:b/>
          <w:i w:val="0"/>
          <w:color w:val="auto"/>
          <w:sz w:val="28"/>
          <w:szCs w:val="28"/>
        </w:rPr>
        <w:t>changes avec l’ARCEP sur des sujets d’intérêt commun</w:t>
      </w:r>
      <w:bookmarkEnd w:id="412"/>
      <w:bookmarkEnd w:id="413"/>
      <w:bookmarkEnd w:id="414"/>
    </w:p>
    <w:p w14:paraId="7D9C7C06" w14:textId="7E86ECAB"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Président a reçu, le 9 février 2023, le Secrétaire exécutif de l’Autorité de régulation des communications électroniques et des postes (ARCEP), M. </w:t>
      </w:r>
      <w:proofErr w:type="spellStart"/>
      <w:r>
        <w:rPr>
          <w:rFonts w:ascii="Rockwell" w:eastAsia="Calibri" w:hAnsi="Rockwell" w:cs="Times New Roman"/>
          <w:sz w:val="26"/>
          <w:szCs w:val="26"/>
        </w:rPr>
        <w:t>Wendlassida</w:t>
      </w:r>
      <w:proofErr w:type="spellEnd"/>
      <w:r>
        <w:rPr>
          <w:rFonts w:ascii="Rockwell" w:eastAsia="Calibri" w:hAnsi="Rockwell" w:cs="Times New Roman"/>
          <w:sz w:val="26"/>
          <w:szCs w:val="26"/>
        </w:rPr>
        <w:t xml:space="preserve"> Patrice COMPAORE</w:t>
      </w:r>
      <w:r>
        <w:rPr>
          <w:rFonts w:ascii="Rockwell" w:eastAsia="Calibri" w:hAnsi="Rockwell" w:cs="Times New Roman"/>
          <w:b/>
          <w:sz w:val="26"/>
          <w:szCs w:val="26"/>
        </w:rPr>
        <w:t xml:space="preserve">. </w:t>
      </w:r>
      <w:r>
        <w:rPr>
          <w:rFonts w:ascii="Rockwell" w:eastAsia="Calibri" w:hAnsi="Rockwell" w:cs="Times New Roman"/>
          <w:sz w:val="26"/>
          <w:szCs w:val="26"/>
        </w:rPr>
        <w:t xml:space="preserve">Les échanges ont porté notamment, sur la radiodiffusion sonore numérique, les difficultés des opérateurs MMDS du fait de la mise en œuvre effective de la Télévision numérique terrestre (TNT), </w:t>
      </w:r>
      <w:r w:rsidR="004E31FD">
        <w:rPr>
          <w:rFonts w:ascii="Rockwell" w:eastAsia="Calibri" w:hAnsi="Rockwell" w:cs="Times New Roman"/>
          <w:sz w:val="26"/>
          <w:szCs w:val="26"/>
        </w:rPr>
        <w:t>le</w:t>
      </w:r>
      <w:r>
        <w:rPr>
          <w:rFonts w:ascii="Rockwell" w:eastAsia="Calibri" w:hAnsi="Rockwell" w:cs="Times New Roman"/>
          <w:sz w:val="26"/>
          <w:szCs w:val="26"/>
        </w:rPr>
        <w:t xml:space="preserve"> piratage des signaux, l’accompagnement du CSC dans la digitalisation des bases de données des médias et </w:t>
      </w:r>
      <w:r w:rsidR="004E31FD">
        <w:rPr>
          <w:rFonts w:ascii="Rockwell" w:eastAsia="Calibri" w:hAnsi="Rockwell" w:cs="Times New Roman"/>
          <w:sz w:val="26"/>
          <w:szCs w:val="26"/>
        </w:rPr>
        <w:t>le</w:t>
      </w:r>
      <w:r>
        <w:rPr>
          <w:rFonts w:ascii="Rockwell" w:eastAsia="Calibri" w:hAnsi="Rockwell" w:cs="Times New Roman"/>
          <w:sz w:val="26"/>
          <w:szCs w:val="26"/>
        </w:rPr>
        <w:t xml:space="preserve"> déploiement du système HMS dans les délégations régionales du CSC, ainsi que dans les zones à fort défi sécuritaire. </w:t>
      </w:r>
    </w:p>
    <w:p w14:paraId="774EE4E4"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Les deux structures de régulation, l’une du contenu et l’autre des contenants, ont décidé de poursuivre la réflexion sur certaines thématiques et d’organiser des séances de travail pour examiner les solutions techniques et globales à mettre en œuvre. Pour ce qui est de l’implémentation de la radiodiffusion sonore numérique, les deux régulateurs ont préconisé la </w:t>
      </w:r>
      <w:r>
        <w:rPr>
          <w:rFonts w:ascii="Rockwell" w:eastAsia="Calibri" w:hAnsi="Rockwell" w:cs="Times New Roman"/>
          <w:sz w:val="26"/>
          <w:szCs w:val="26"/>
        </w:rPr>
        <w:lastRenderedPageBreak/>
        <w:t xml:space="preserve">conduite d’études préliminaires en vue de tirer les leçons des insuffisances constatées dans la mise en route de la TNT. </w:t>
      </w:r>
    </w:p>
    <w:p w14:paraId="28B002A1" w14:textId="77777777" w:rsidR="00733207" w:rsidRDefault="00733207">
      <w:pPr>
        <w:spacing w:before="120" w:after="120" w:line="360" w:lineRule="auto"/>
        <w:jc w:val="both"/>
        <w:rPr>
          <w:rFonts w:ascii="Rockwell" w:eastAsia="Calibri" w:hAnsi="Rockwell" w:cs="Times New Roman"/>
          <w:sz w:val="26"/>
          <w:szCs w:val="26"/>
        </w:rPr>
      </w:pPr>
    </w:p>
    <w:p w14:paraId="0361A173" w14:textId="2E4BF53A" w:rsidR="00733207" w:rsidRDefault="00912BAE">
      <w:pPr>
        <w:pStyle w:val="Titre4"/>
        <w:spacing w:before="120" w:after="120" w:line="360" w:lineRule="auto"/>
        <w:jc w:val="center"/>
        <w:rPr>
          <w:rFonts w:ascii="Rockwell" w:eastAsia="Calibri" w:hAnsi="Rockwell"/>
          <w:b/>
          <w:i w:val="0"/>
          <w:color w:val="auto"/>
          <w:sz w:val="28"/>
          <w:szCs w:val="28"/>
        </w:rPr>
      </w:pPr>
      <w:bookmarkStart w:id="415" w:name="_Toc169855196"/>
      <w:bookmarkStart w:id="416" w:name="_Toc175128552"/>
      <w:bookmarkStart w:id="417" w:name="_Toc141088613"/>
      <w:r>
        <w:rPr>
          <w:rFonts w:ascii="Rockwell" w:hAnsi="Rockwell"/>
          <w:b/>
          <w:i w:val="0"/>
          <w:color w:val="auto"/>
          <w:sz w:val="28"/>
          <w:szCs w:val="28"/>
        </w:rPr>
        <w:t xml:space="preserve">Paragraphe 4 : </w:t>
      </w:r>
      <w:r w:rsidR="00FD68B6">
        <w:rPr>
          <w:rFonts w:ascii="Rockwell" w:eastAsia="Calibri" w:hAnsi="Rockwell"/>
          <w:b/>
          <w:i w:val="0"/>
          <w:color w:val="auto"/>
          <w:sz w:val="28"/>
          <w:szCs w:val="28"/>
        </w:rPr>
        <w:t>Echanges avec le</w:t>
      </w:r>
      <w:r>
        <w:rPr>
          <w:rFonts w:ascii="Rockwell" w:eastAsia="Calibri" w:hAnsi="Rockwell"/>
          <w:b/>
          <w:i w:val="0"/>
          <w:color w:val="auto"/>
          <w:sz w:val="28"/>
          <w:szCs w:val="28"/>
        </w:rPr>
        <w:t xml:space="preserve"> Directeur général de la SBT</w:t>
      </w:r>
      <w:bookmarkEnd w:id="415"/>
      <w:bookmarkEnd w:id="416"/>
      <w:bookmarkEnd w:id="417"/>
    </w:p>
    <w:p w14:paraId="537B6CC7" w14:textId="77777777" w:rsidR="00733207" w:rsidRDefault="00733207">
      <w:pPr>
        <w:jc w:val="both"/>
        <w:rPr>
          <w:rFonts w:ascii="Rockwell" w:hAnsi="Rockwell"/>
        </w:rPr>
      </w:pPr>
    </w:p>
    <w:p w14:paraId="4108EA61" w14:textId="54CDDB5E"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Président a reçu, le 21 février 2023, le Directeur général de la Société burkinabè de télédiffusion (SBT), M. </w:t>
      </w:r>
      <w:proofErr w:type="spellStart"/>
      <w:r>
        <w:rPr>
          <w:rFonts w:ascii="Rockwell" w:eastAsia="Calibri" w:hAnsi="Rockwell" w:cs="Times New Roman"/>
          <w:sz w:val="26"/>
          <w:szCs w:val="26"/>
        </w:rPr>
        <w:t>Touho</w:t>
      </w:r>
      <w:proofErr w:type="spellEnd"/>
      <w:r>
        <w:rPr>
          <w:rFonts w:ascii="Rockwell" w:eastAsia="Calibri" w:hAnsi="Rockwell" w:cs="Times New Roman"/>
          <w:sz w:val="26"/>
          <w:szCs w:val="26"/>
        </w:rPr>
        <w:t xml:space="preserve"> Maba David GANOU. Les deux personnalités ont échangé sur le différend qui oppose la SBT aux éditeurs privés de chaînes de télévision à propos du paiement des redevances de diffusion des bouquets TNT. Elles ont convenu de poursuivre les concertations, afin de trouver un terrain d’entente qui préserve les intérêts de toutes les parties. Le Directeur général de la SBT a également évoqué avec le Président </w:t>
      </w:r>
      <w:r>
        <w:rPr>
          <w:rFonts w:ascii="Rockwell" w:hAnsi="Rockwell" w:cs="Times New Roman"/>
          <w:sz w:val="26"/>
          <w:szCs w:val="26"/>
        </w:rPr>
        <w:t>BAMOGO,</w:t>
      </w:r>
      <w:r>
        <w:rPr>
          <w:rFonts w:ascii="Rockwell" w:eastAsia="Calibri" w:hAnsi="Rockwell" w:cs="Times New Roman"/>
          <w:sz w:val="26"/>
          <w:szCs w:val="26"/>
        </w:rPr>
        <w:t xml:space="preserve"> </w:t>
      </w:r>
      <w:r w:rsidR="00FD68B6">
        <w:rPr>
          <w:rFonts w:ascii="Rockwell" w:eastAsia="Calibri" w:hAnsi="Rockwell" w:cs="Times New Roman"/>
          <w:sz w:val="26"/>
          <w:szCs w:val="26"/>
        </w:rPr>
        <w:t>l</w:t>
      </w:r>
      <w:r>
        <w:rPr>
          <w:rFonts w:ascii="Rockwell" w:eastAsia="Calibri" w:hAnsi="Rockwell" w:cs="Times New Roman"/>
          <w:sz w:val="26"/>
          <w:szCs w:val="26"/>
        </w:rPr>
        <w:t xml:space="preserve">es difficultés rencontrées par sa structure, notamment la </w:t>
      </w:r>
      <w:proofErr w:type="spellStart"/>
      <w:r>
        <w:rPr>
          <w:rFonts w:ascii="Rockwell" w:eastAsia="Calibri" w:hAnsi="Rockwell" w:cs="Times New Roman"/>
          <w:sz w:val="26"/>
          <w:szCs w:val="26"/>
        </w:rPr>
        <w:t>vandalisation</w:t>
      </w:r>
      <w:proofErr w:type="spellEnd"/>
      <w:r>
        <w:rPr>
          <w:rFonts w:ascii="Rockwell" w:eastAsia="Calibri" w:hAnsi="Rockwell" w:cs="Times New Roman"/>
          <w:sz w:val="26"/>
          <w:szCs w:val="26"/>
        </w:rPr>
        <w:t xml:space="preserve"> de ses installations, observée dans certaines zones du pays. Ils ont enfin, abordé le projet de déploiement de nouveaux multiplex par la SBT et des questions diverses d’intérêt.</w:t>
      </w:r>
    </w:p>
    <w:p w14:paraId="0E146E26" w14:textId="77777777" w:rsidR="00733207" w:rsidRDefault="00733207">
      <w:pPr>
        <w:spacing w:before="120" w:after="120" w:line="360" w:lineRule="auto"/>
        <w:jc w:val="both"/>
        <w:rPr>
          <w:rFonts w:ascii="Rockwell" w:eastAsia="Calibri" w:hAnsi="Rockwell" w:cs="Times New Roman"/>
          <w:sz w:val="26"/>
          <w:szCs w:val="26"/>
        </w:rPr>
      </w:pPr>
    </w:p>
    <w:p w14:paraId="40D2524A" w14:textId="0EFD2FD4" w:rsidR="00733207" w:rsidRDefault="00912BAE">
      <w:pPr>
        <w:pStyle w:val="Titre4"/>
        <w:spacing w:before="240" w:after="240" w:line="360" w:lineRule="auto"/>
        <w:jc w:val="center"/>
        <w:rPr>
          <w:rFonts w:ascii="Rockwell" w:eastAsia="Calibri" w:hAnsi="Rockwell"/>
          <w:b/>
          <w:i w:val="0"/>
          <w:color w:val="auto"/>
          <w:sz w:val="28"/>
          <w:szCs w:val="28"/>
        </w:rPr>
      </w:pPr>
      <w:bookmarkStart w:id="418" w:name="_Toc141088614"/>
      <w:bookmarkStart w:id="419" w:name="_Toc169855197"/>
      <w:bookmarkStart w:id="420" w:name="_Toc175128553"/>
      <w:r>
        <w:rPr>
          <w:rFonts w:ascii="Rockwell" w:hAnsi="Rockwell"/>
          <w:b/>
          <w:i w:val="0"/>
          <w:color w:val="auto"/>
          <w:sz w:val="28"/>
          <w:szCs w:val="28"/>
        </w:rPr>
        <w:t xml:space="preserve">Paragraphe 5 : </w:t>
      </w:r>
      <w:r w:rsidR="00FD68B6" w:rsidRPr="00FD68B6">
        <w:rPr>
          <w:rFonts w:ascii="Rockwell" w:hAnsi="Rockwell"/>
          <w:b/>
          <w:i w:val="0"/>
          <w:color w:val="auto"/>
          <w:sz w:val="28"/>
          <w:szCs w:val="28"/>
        </w:rPr>
        <w:t>Echanges avec</w:t>
      </w:r>
      <w:r w:rsidR="00FD68B6" w:rsidRPr="00FD68B6">
        <w:rPr>
          <w:rFonts w:ascii="Rockwell" w:hAnsi="Rockwell"/>
          <w:b/>
          <w:color w:val="auto"/>
          <w:sz w:val="28"/>
          <w:szCs w:val="28"/>
        </w:rPr>
        <w:t xml:space="preserve"> </w:t>
      </w:r>
      <w:r>
        <w:rPr>
          <w:rFonts w:ascii="Rockwell" w:eastAsia="Calibri" w:hAnsi="Rockwell"/>
          <w:b/>
          <w:i w:val="0"/>
          <w:color w:val="auto"/>
          <w:sz w:val="28"/>
          <w:szCs w:val="28"/>
        </w:rPr>
        <w:t>une délégation de la SEP</w:t>
      </w:r>
      <w:bookmarkEnd w:id="418"/>
      <w:bookmarkEnd w:id="419"/>
      <w:bookmarkEnd w:id="420"/>
    </w:p>
    <w:p w14:paraId="5FABBA58" w14:textId="77777777" w:rsidR="00733207" w:rsidRDefault="00733207">
      <w:pPr>
        <w:jc w:val="both"/>
        <w:rPr>
          <w:rFonts w:ascii="Rockwell" w:hAnsi="Rockwell"/>
          <w:sz w:val="10"/>
          <w:szCs w:val="10"/>
        </w:rPr>
      </w:pPr>
    </w:p>
    <w:p w14:paraId="5A18BD86"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Une délégation de la Société des Editeurs de la Presse Privée (SEP), conduite par son Président, M. </w:t>
      </w:r>
      <w:proofErr w:type="spellStart"/>
      <w:r>
        <w:rPr>
          <w:rFonts w:ascii="Rockwell" w:eastAsia="Calibri" w:hAnsi="Rockwell" w:cs="Times New Roman"/>
          <w:sz w:val="26"/>
          <w:szCs w:val="26"/>
        </w:rPr>
        <w:t>Inoussa</w:t>
      </w:r>
      <w:proofErr w:type="spellEnd"/>
      <w:r>
        <w:rPr>
          <w:rFonts w:ascii="Rockwell" w:eastAsia="Calibri" w:hAnsi="Rockwell" w:cs="Times New Roman"/>
          <w:sz w:val="26"/>
          <w:szCs w:val="26"/>
        </w:rPr>
        <w:t xml:space="preserve"> OUEDRAOGO, a été reçue le 28 février 2023, par le Président BAMOGO. Elle lui a présenté la nouvelle équipe dirigeante de la SEP, élue lors de l’assemblée générale, tenue le 17 décembre 2022 à Koudougou. </w:t>
      </w:r>
    </w:p>
    <w:p w14:paraId="022BABAE"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Ce fut également l’occasion pour M. </w:t>
      </w:r>
      <w:proofErr w:type="spellStart"/>
      <w:r>
        <w:rPr>
          <w:rFonts w:ascii="Rockwell" w:eastAsia="Calibri" w:hAnsi="Rockwell" w:cs="Times New Roman"/>
          <w:sz w:val="26"/>
          <w:szCs w:val="26"/>
        </w:rPr>
        <w:t>Inoussa</w:t>
      </w:r>
      <w:proofErr w:type="spellEnd"/>
      <w:r>
        <w:rPr>
          <w:rFonts w:ascii="Rockwell" w:eastAsia="Calibri" w:hAnsi="Rockwell" w:cs="Times New Roman"/>
          <w:sz w:val="26"/>
          <w:szCs w:val="26"/>
        </w:rPr>
        <w:t xml:space="preserve"> OUEDRAOGO d’informer le Président du CSC des activités en perspective de la SEP et de solliciter son accompagnement. Il s’agit notamment, d’un forum sur l’économie des médias, ainsi que d’une soirée d’hommage aux aînés. La SEP a, enfin, émis </w:t>
      </w:r>
      <w:r>
        <w:rPr>
          <w:rFonts w:ascii="Rockwell" w:eastAsia="Calibri" w:hAnsi="Rockwell" w:cs="Times New Roman"/>
          <w:sz w:val="26"/>
          <w:szCs w:val="26"/>
        </w:rPr>
        <w:lastRenderedPageBreak/>
        <w:t>le vœu que le Président du CSC fasse un plaidoyer auprès des autorités pour l’instauration d’un cadre propice à la préservation de la liberté de la presse.</w:t>
      </w:r>
    </w:p>
    <w:p w14:paraId="6065D833" w14:textId="77777777" w:rsidR="00733207" w:rsidRDefault="00733207">
      <w:pPr>
        <w:spacing w:before="120" w:after="120" w:line="360" w:lineRule="auto"/>
        <w:jc w:val="both"/>
        <w:rPr>
          <w:rFonts w:ascii="Rockwell" w:eastAsia="Calibri" w:hAnsi="Rockwell" w:cs="Times New Roman"/>
          <w:sz w:val="26"/>
          <w:szCs w:val="26"/>
        </w:rPr>
      </w:pPr>
    </w:p>
    <w:p w14:paraId="3E23F9E4" w14:textId="6B12C711" w:rsidR="00733207" w:rsidRDefault="00912BAE">
      <w:pPr>
        <w:pStyle w:val="Titre4"/>
        <w:spacing w:before="240" w:after="240" w:line="360" w:lineRule="auto"/>
        <w:jc w:val="center"/>
        <w:rPr>
          <w:rFonts w:ascii="Rockwell" w:eastAsia="Calibri" w:hAnsi="Rockwell"/>
          <w:b/>
          <w:i w:val="0"/>
          <w:color w:val="auto"/>
          <w:sz w:val="28"/>
          <w:szCs w:val="28"/>
        </w:rPr>
      </w:pPr>
      <w:bookmarkStart w:id="421" w:name="_Toc169855198"/>
      <w:bookmarkStart w:id="422" w:name="_Toc141088616"/>
      <w:bookmarkStart w:id="423" w:name="_Toc175128554"/>
      <w:r>
        <w:rPr>
          <w:rFonts w:ascii="Rockwell" w:hAnsi="Rockwell"/>
          <w:b/>
          <w:i w:val="0"/>
          <w:color w:val="auto"/>
          <w:sz w:val="28"/>
          <w:szCs w:val="28"/>
        </w:rPr>
        <w:t>Paragraphe 6 :</w:t>
      </w:r>
      <w:r>
        <w:rPr>
          <w:rFonts w:ascii="Rockwell" w:eastAsia="Calibri" w:hAnsi="Rockwell"/>
          <w:b/>
          <w:i w:val="0"/>
          <w:color w:val="auto"/>
          <w:sz w:val="28"/>
          <w:szCs w:val="28"/>
        </w:rPr>
        <w:t xml:space="preserve"> </w:t>
      </w:r>
      <w:r w:rsidR="00FD68B6" w:rsidRPr="00FD68B6">
        <w:rPr>
          <w:rFonts w:ascii="Rockwell" w:eastAsia="Calibri" w:hAnsi="Rockwell"/>
          <w:b/>
          <w:i w:val="0"/>
          <w:color w:val="auto"/>
          <w:sz w:val="28"/>
          <w:szCs w:val="28"/>
        </w:rPr>
        <w:t>Echanges avec</w:t>
      </w:r>
      <w:r>
        <w:rPr>
          <w:rFonts w:ascii="Rockwell" w:eastAsia="Calibri" w:hAnsi="Rockwell"/>
          <w:b/>
          <w:i w:val="0"/>
          <w:color w:val="auto"/>
          <w:sz w:val="28"/>
          <w:szCs w:val="28"/>
        </w:rPr>
        <w:t xml:space="preserve"> le Directeur de la Communication de la Présidence du Faso</w:t>
      </w:r>
      <w:bookmarkEnd w:id="421"/>
      <w:bookmarkEnd w:id="422"/>
      <w:bookmarkEnd w:id="423"/>
    </w:p>
    <w:p w14:paraId="053676C0"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Président du CSC a reçu en audience, le15 mars 2023, une délégation de la Direction de la Communication et des Relations Publiques de la Présidence du Faso, conduite par son Directeur, Monsieur </w:t>
      </w:r>
      <w:proofErr w:type="spellStart"/>
      <w:r>
        <w:rPr>
          <w:rFonts w:ascii="Rockwell" w:eastAsia="Calibri" w:hAnsi="Rockwell" w:cs="Times New Roman"/>
          <w:sz w:val="26"/>
          <w:szCs w:val="26"/>
        </w:rPr>
        <w:t>Djourmité</w:t>
      </w:r>
      <w:proofErr w:type="spellEnd"/>
      <w:r>
        <w:rPr>
          <w:rFonts w:ascii="Rockwell" w:eastAsia="Calibri" w:hAnsi="Rockwell" w:cs="Times New Roman"/>
          <w:sz w:val="26"/>
          <w:szCs w:val="26"/>
        </w:rPr>
        <w:t xml:space="preserve"> Nestor NOUFE. Installé dans ses nouvelles fonctions le 17 janvier 2023, Monsieur NOUFE a indiqué que cette visite de courtoisie avait pour but de se présenter au Régulateur et l’encourager dans l’accomplissement de sa mission, surtout dans ce contexte difficile que connaît notre pays. </w:t>
      </w:r>
    </w:p>
    <w:p w14:paraId="15764BD7"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Ce fut l’occasion d’échanger sur les grands enjeux liés à la communication institutionnelle dans cette situation de grande fragilité que connait le Burkina Faso. </w:t>
      </w:r>
    </w:p>
    <w:p w14:paraId="76483166" w14:textId="77777777" w:rsidR="00733207" w:rsidRDefault="00733207">
      <w:pPr>
        <w:spacing w:before="120" w:after="120" w:line="360" w:lineRule="auto"/>
        <w:jc w:val="both"/>
        <w:rPr>
          <w:rFonts w:ascii="Rockwell" w:eastAsia="Calibri" w:hAnsi="Rockwell" w:cs="Times New Roman"/>
          <w:sz w:val="26"/>
          <w:szCs w:val="26"/>
        </w:rPr>
      </w:pPr>
    </w:p>
    <w:p w14:paraId="4A9BFC08" w14:textId="57D92127" w:rsidR="00733207" w:rsidRDefault="00912BAE">
      <w:pPr>
        <w:pStyle w:val="Titre4"/>
        <w:spacing w:before="240" w:after="240" w:line="360" w:lineRule="auto"/>
        <w:jc w:val="center"/>
        <w:rPr>
          <w:rFonts w:ascii="Rockwell" w:eastAsia="Calibri" w:hAnsi="Rockwell"/>
          <w:b/>
          <w:i w:val="0"/>
          <w:color w:val="auto"/>
          <w:sz w:val="28"/>
          <w:szCs w:val="28"/>
        </w:rPr>
      </w:pPr>
      <w:bookmarkStart w:id="424" w:name="_Toc175128555"/>
      <w:bookmarkStart w:id="425" w:name="_Toc141088617"/>
      <w:bookmarkStart w:id="426" w:name="_Toc169855199"/>
      <w:r>
        <w:rPr>
          <w:rFonts w:ascii="Rockwell" w:hAnsi="Rockwell"/>
          <w:b/>
          <w:i w:val="0"/>
          <w:color w:val="auto"/>
          <w:sz w:val="28"/>
          <w:szCs w:val="28"/>
        </w:rPr>
        <w:t xml:space="preserve">Paragraphe 7 : </w:t>
      </w:r>
      <w:r w:rsidR="00FD68B6" w:rsidRPr="00FD68B6">
        <w:rPr>
          <w:rFonts w:ascii="Rockwell" w:eastAsia="Calibri" w:hAnsi="Rockwell"/>
          <w:b/>
          <w:i w:val="0"/>
          <w:color w:val="auto"/>
          <w:sz w:val="28"/>
          <w:szCs w:val="28"/>
        </w:rPr>
        <w:t>Echanges avec</w:t>
      </w:r>
      <w:r>
        <w:rPr>
          <w:rFonts w:ascii="Rockwell" w:eastAsia="Calibri" w:hAnsi="Rockwell"/>
          <w:b/>
          <w:i w:val="0"/>
          <w:color w:val="auto"/>
          <w:sz w:val="28"/>
          <w:szCs w:val="28"/>
        </w:rPr>
        <w:t xml:space="preserve"> le Président de la communauté </w:t>
      </w:r>
      <w:proofErr w:type="spellStart"/>
      <w:r>
        <w:rPr>
          <w:rFonts w:ascii="Rockwell" w:eastAsia="Calibri" w:hAnsi="Rockwell"/>
          <w:b/>
          <w:i w:val="0"/>
          <w:color w:val="auto"/>
          <w:sz w:val="28"/>
          <w:szCs w:val="28"/>
        </w:rPr>
        <w:t>Ahmadiyya</w:t>
      </w:r>
      <w:bookmarkEnd w:id="424"/>
      <w:bookmarkEnd w:id="425"/>
      <w:bookmarkEnd w:id="426"/>
      <w:proofErr w:type="spellEnd"/>
    </w:p>
    <w:p w14:paraId="5D20A0FC" w14:textId="77777777" w:rsidR="00733207" w:rsidRDefault="00733207">
      <w:pPr>
        <w:jc w:val="both"/>
        <w:rPr>
          <w:rFonts w:ascii="Rockwell" w:hAnsi="Rockwell"/>
          <w:sz w:val="10"/>
          <w:szCs w:val="10"/>
        </w:rPr>
      </w:pPr>
    </w:p>
    <w:p w14:paraId="47CCDAD5"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Président de la communauté </w:t>
      </w:r>
      <w:proofErr w:type="spellStart"/>
      <w:r>
        <w:rPr>
          <w:rFonts w:ascii="Rockwell" w:eastAsia="Calibri" w:hAnsi="Rockwell" w:cs="Times New Roman"/>
          <w:sz w:val="26"/>
          <w:szCs w:val="26"/>
        </w:rPr>
        <w:t>Ahmadiyya</w:t>
      </w:r>
      <w:proofErr w:type="spellEnd"/>
      <w:r>
        <w:rPr>
          <w:rFonts w:ascii="Rockwell" w:eastAsia="Calibri" w:hAnsi="Rockwell" w:cs="Times New Roman"/>
          <w:sz w:val="26"/>
          <w:szCs w:val="26"/>
        </w:rPr>
        <w:t xml:space="preserve">, M. Mahamoud </w:t>
      </w:r>
      <w:proofErr w:type="spellStart"/>
      <w:r>
        <w:rPr>
          <w:rFonts w:ascii="Rockwell" w:eastAsia="Calibri" w:hAnsi="Rockwell" w:cs="Times New Roman"/>
          <w:sz w:val="26"/>
          <w:szCs w:val="26"/>
        </w:rPr>
        <w:t>Nassir</w:t>
      </w:r>
      <w:proofErr w:type="spellEnd"/>
      <w:r>
        <w:rPr>
          <w:rFonts w:ascii="Rockwell" w:eastAsia="Calibri" w:hAnsi="Rockwell" w:cs="Times New Roman"/>
          <w:sz w:val="26"/>
          <w:szCs w:val="26"/>
        </w:rPr>
        <w:t xml:space="preserve"> SAQIB, a rendu une visite de courtoisie, le 24 mars 2023, au Président du CSC. Il est venu le féliciter et lui souhaiter plein succès dans sa nouvelle fonction. Monsieur SAQIB a, à cette occasion, plaidé pour l’octroi d’une fréquence radio dans la zone de Koubri. </w:t>
      </w:r>
    </w:p>
    <w:p w14:paraId="18F3FDD0"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Après avoir remercié ses hôtes, le Président les a félicités et encouragés pour le message de paix et de tolérance prôné par leur communauté. Il a, en outre, salué l’appui de la communauté </w:t>
      </w:r>
      <w:proofErr w:type="spellStart"/>
      <w:r>
        <w:rPr>
          <w:rFonts w:ascii="Rockwell" w:eastAsia="Calibri" w:hAnsi="Rockwell" w:cs="Times New Roman"/>
          <w:sz w:val="26"/>
          <w:szCs w:val="26"/>
        </w:rPr>
        <w:t>Ahmadiyya</w:t>
      </w:r>
      <w:proofErr w:type="spellEnd"/>
      <w:r>
        <w:rPr>
          <w:rFonts w:ascii="Rockwell" w:eastAsia="Calibri" w:hAnsi="Rockwell" w:cs="Times New Roman"/>
          <w:sz w:val="26"/>
          <w:szCs w:val="26"/>
        </w:rPr>
        <w:t xml:space="preserve"> à la politique nationale de </w:t>
      </w:r>
      <w:r>
        <w:rPr>
          <w:rFonts w:ascii="Rockwell" w:eastAsia="Calibri" w:hAnsi="Rockwell" w:cs="Times New Roman"/>
          <w:sz w:val="26"/>
          <w:szCs w:val="26"/>
        </w:rPr>
        <w:lastRenderedPageBreak/>
        <w:t xml:space="preserve">santé et son action dans les domaines du social et de l’humanitaire. S’agissant enfin de l’octroi de fréquences, le Président a expliqué la procédure en la matière, adoptée par le CSC, depuis quelques années, qui exige de passer par un appel à candidatures. </w:t>
      </w:r>
    </w:p>
    <w:p w14:paraId="635CE5A2" w14:textId="77777777" w:rsidR="00733207" w:rsidRDefault="00733207">
      <w:pPr>
        <w:spacing w:before="120" w:after="120" w:line="360" w:lineRule="auto"/>
        <w:jc w:val="both"/>
        <w:rPr>
          <w:rFonts w:ascii="Rockwell" w:eastAsia="Calibri" w:hAnsi="Rockwell" w:cs="Times New Roman"/>
          <w:sz w:val="26"/>
          <w:szCs w:val="26"/>
        </w:rPr>
      </w:pPr>
    </w:p>
    <w:p w14:paraId="7DE26638" w14:textId="26C00903" w:rsidR="00733207" w:rsidRDefault="00912BAE">
      <w:pPr>
        <w:pStyle w:val="Titre4"/>
        <w:spacing w:before="240" w:after="240" w:line="360" w:lineRule="auto"/>
        <w:jc w:val="center"/>
        <w:rPr>
          <w:rFonts w:ascii="Rockwell" w:eastAsia="Calibri" w:hAnsi="Rockwell"/>
          <w:b/>
          <w:i w:val="0"/>
          <w:color w:val="auto"/>
          <w:sz w:val="28"/>
          <w:szCs w:val="28"/>
        </w:rPr>
      </w:pPr>
      <w:bookmarkStart w:id="427" w:name="_Toc169855200"/>
      <w:bookmarkStart w:id="428" w:name="_Toc175128556"/>
      <w:r>
        <w:rPr>
          <w:rFonts w:ascii="Rockwell" w:hAnsi="Rockwell"/>
          <w:b/>
          <w:i w:val="0"/>
          <w:color w:val="auto"/>
          <w:sz w:val="28"/>
          <w:szCs w:val="28"/>
        </w:rPr>
        <w:t xml:space="preserve">Paragraphe 8 : </w:t>
      </w:r>
      <w:r w:rsidR="00FD68B6" w:rsidRPr="00FD68B6">
        <w:rPr>
          <w:rFonts w:ascii="Rockwell" w:eastAsia="Calibri" w:hAnsi="Rockwell"/>
          <w:b/>
          <w:i w:val="0"/>
          <w:color w:val="auto"/>
          <w:sz w:val="28"/>
          <w:szCs w:val="28"/>
        </w:rPr>
        <w:t>Echanges avec</w:t>
      </w:r>
      <w:r>
        <w:rPr>
          <w:rFonts w:ascii="Rockwell" w:eastAsia="Calibri" w:hAnsi="Rockwell"/>
          <w:b/>
          <w:i w:val="0"/>
          <w:color w:val="auto"/>
          <w:sz w:val="28"/>
          <w:szCs w:val="28"/>
        </w:rPr>
        <w:t xml:space="preserve"> un animateur de la </w:t>
      </w:r>
      <w:r>
        <w:rPr>
          <w:rFonts w:ascii="Rockwell" w:eastAsia="Calibri" w:hAnsi="Rockwell" w:cs="Times New Roman"/>
          <w:b/>
          <w:i w:val="0"/>
          <w:color w:val="000000" w:themeColor="text1"/>
          <w:sz w:val="28"/>
          <w:szCs w:val="28"/>
        </w:rPr>
        <w:t>radio Wat FM</w:t>
      </w:r>
      <w:bookmarkEnd w:id="427"/>
      <w:bookmarkEnd w:id="428"/>
    </w:p>
    <w:p w14:paraId="71786189" w14:textId="77777777" w:rsidR="00733207" w:rsidRDefault="00912BAE">
      <w:pPr>
        <w:spacing w:before="120" w:after="120" w:line="360" w:lineRule="auto"/>
        <w:jc w:val="both"/>
        <w:rPr>
          <w:rFonts w:ascii="Rockwell" w:eastAsia="Calibri" w:hAnsi="Rockwell" w:cs="Times New Roman"/>
          <w:color w:val="000000" w:themeColor="text1"/>
          <w:sz w:val="26"/>
          <w:szCs w:val="26"/>
        </w:rPr>
      </w:pPr>
      <w:r>
        <w:rPr>
          <w:rFonts w:ascii="Rockwell" w:eastAsia="Calibri" w:hAnsi="Rockwell" w:cs="Times New Roman"/>
          <w:color w:val="000000" w:themeColor="text1"/>
          <w:sz w:val="26"/>
          <w:szCs w:val="26"/>
        </w:rPr>
        <w:t xml:space="preserve">Cette audience entrait dans le cadre </w:t>
      </w:r>
      <w:r>
        <w:rPr>
          <w:rFonts w:ascii="Rockwell" w:hAnsi="Rockwell" w:cs="Times New Roman"/>
          <w:i/>
          <w:color w:val="000000" w:themeColor="text1"/>
          <w:sz w:val="26"/>
          <w:szCs w:val="26"/>
        </w:rPr>
        <w:t>des cafés du Président</w:t>
      </w:r>
      <w:r>
        <w:rPr>
          <w:rFonts w:ascii="Rockwell" w:hAnsi="Rockwell" w:cs="Times New Roman"/>
          <w:color w:val="000000" w:themeColor="text1"/>
          <w:sz w:val="26"/>
          <w:szCs w:val="26"/>
        </w:rPr>
        <w:t xml:space="preserve"> qui constituaient des moments d’échanges conviviaux sur des sujets d’intérêt. Ainsi, </w:t>
      </w:r>
      <w:r>
        <w:rPr>
          <w:rFonts w:ascii="Rockwell" w:eastAsia="Calibri" w:hAnsi="Rockwell" w:cs="Times New Roman"/>
          <w:color w:val="000000" w:themeColor="text1"/>
          <w:sz w:val="26"/>
          <w:szCs w:val="26"/>
        </w:rPr>
        <w:t xml:space="preserve">M. David NANA, animateur de l’émission d’expression directe </w:t>
      </w:r>
      <w:r>
        <w:rPr>
          <w:rFonts w:ascii="Rockwell" w:eastAsia="Calibri" w:hAnsi="Rockwell" w:cs="Times New Roman"/>
          <w:i/>
          <w:color w:val="000000" w:themeColor="text1"/>
          <w:sz w:val="26"/>
          <w:szCs w:val="26"/>
        </w:rPr>
        <w:t>Le mot à dire</w:t>
      </w:r>
      <w:r>
        <w:rPr>
          <w:rFonts w:ascii="Rockwell" w:eastAsia="Calibri" w:hAnsi="Rockwell" w:cs="Times New Roman"/>
          <w:color w:val="000000" w:themeColor="text1"/>
          <w:sz w:val="26"/>
          <w:szCs w:val="26"/>
        </w:rPr>
        <w:t xml:space="preserve"> sur la radio </w:t>
      </w:r>
      <w:r>
        <w:rPr>
          <w:rFonts w:ascii="Rockwell" w:eastAsia="Calibri" w:hAnsi="Rockwell" w:cs="Times New Roman"/>
          <w:i/>
          <w:color w:val="000000" w:themeColor="text1"/>
          <w:sz w:val="26"/>
          <w:szCs w:val="26"/>
        </w:rPr>
        <w:t>Wat FM</w:t>
      </w:r>
      <w:r>
        <w:rPr>
          <w:rFonts w:ascii="Rockwell" w:eastAsia="Calibri" w:hAnsi="Rockwell" w:cs="Times New Roman"/>
          <w:color w:val="000000" w:themeColor="text1"/>
          <w:sz w:val="26"/>
          <w:szCs w:val="26"/>
        </w:rPr>
        <w:t>, reçu le 11 mai 2023, a été félicité par le Président BAMOGO pour le professionnalisme dont il fait preuve dans la conduite de son émission.</w:t>
      </w:r>
      <w:r>
        <w:rPr>
          <w:rFonts w:ascii="Rockwell" w:eastAsia="Calibri" w:hAnsi="Rockwell" w:cs="Times New Roman"/>
          <w:b/>
          <w:color w:val="000000" w:themeColor="text1"/>
          <w:sz w:val="26"/>
          <w:szCs w:val="26"/>
        </w:rPr>
        <w:t xml:space="preserve"> </w:t>
      </w:r>
      <w:r>
        <w:rPr>
          <w:rFonts w:ascii="Rockwell" w:eastAsia="Calibri" w:hAnsi="Rockwell" w:cs="Times New Roman"/>
          <w:color w:val="000000" w:themeColor="text1"/>
          <w:sz w:val="26"/>
          <w:szCs w:val="26"/>
        </w:rPr>
        <w:t>Un exemple à suivre au regard du</w:t>
      </w:r>
      <w:r>
        <w:rPr>
          <w:rFonts w:ascii="Rockwell" w:eastAsia="Calibri" w:hAnsi="Rockwell" w:cs="Times New Roman"/>
          <w:b/>
          <w:color w:val="000000" w:themeColor="text1"/>
          <w:sz w:val="26"/>
          <w:szCs w:val="26"/>
        </w:rPr>
        <w:t xml:space="preserve"> </w:t>
      </w:r>
      <w:r>
        <w:rPr>
          <w:rFonts w:ascii="Rockwell" w:eastAsia="Calibri" w:hAnsi="Rockwell" w:cs="Times New Roman"/>
          <w:color w:val="000000" w:themeColor="text1"/>
          <w:sz w:val="26"/>
          <w:szCs w:val="26"/>
        </w:rPr>
        <w:t xml:space="preserve">contexte difficile que traverse le pays où la moindre dérive est susceptible d’accentuer la fragilité de la cohésion sociale. </w:t>
      </w:r>
    </w:p>
    <w:p w14:paraId="3242B3E4" w14:textId="77777777" w:rsidR="00733207" w:rsidRDefault="00733207">
      <w:pPr>
        <w:spacing w:before="120" w:after="120" w:line="360" w:lineRule="auto"/>
        <w:jc w:val="both"/>
        <w:rPr>
          <w:rFonts w:ascii="Rockwell" w:hAnsi="Rockwell" w:cs="Times New Roman"/>
          <w:color w:val="000000" w:themeColor="text1"/>
          <w:sz w:val="26"/>
          <w:szCs w:val="26"/>
        </w:rPr>
      </w:pPr>
    </w:p>
    <w:p w14:paraId="43FBF3B1" w14:textId="513D6768" w:rsidR="00733207" w:rsidRDefault="00912BAE">
      <w:pPr>
        <w:pStyle w:val="Titre4"/>
        <w:spacing w:before="120" w:after="120" w:line="360" w:lineRule="auto"/>
        <w:jc w:val="center"/>
        <w:rPr>
          <w:rFonts w:ascii="Rockwell" w:eastAsia="Calibri" w:hAnsi="Rockwell"/>
          <w:b/>
          <w:i w:val="0"/>
          <w:color w:val="auto"/>
          <w:sz w:val="28"/>
          <w:szCs w:val="28"/>
        </w:rPr>
      </w:pPr>
      <w:bookmarkStart w:id="429" w:name="_Toc141088620"/>
      <w:bookmarkStart w:id="430" w:name="_Toc175128557"/>
      <w:bookmarkStart w:id="431" w:name="_Toc169855201"/>
      <w:r>
        <w:rPr>
          <w:rFonts w:ascii="Rockwell" w:hAnsi="Rockwell"/>
          <w:b/>
          <w:i w:val="0"/>
          <w:color w:val="auto"/>
          <w:sz w:val="28"/>
          <w:szCs w:val="28"/>
        </w:rPr>
        <w:t xml:space="preserve">Paragraphe 9 : </w:t>
      </w:r>
      <w:r w:rsidR="00FD68B6" w:rsidRPr="00FD68B6">
        <w:rPr>
          <w:rFonts w:ascii="Rockwell" w:eastAsia="Calibri" w:hAnsi="Rockwell"/>
          <w:b/>
          <w:i w:val="0"/>
          <w:color w:val="auto"/>
          <w:sz w:val="28"/>
          <w:szCs w:val="28"/>
        </w:rPr>
        <w:t>Echanges avec</w:t>
      </w:r>
      <w:r>
        <w:rPr>
          <w:rFonts w:ascii="Rockwell" w:eastAsia="Calibri" w:hAnsi="Rockwell"/>
          <w:b/>
          <w:i w:val="0"/>
          <w:color w:val="auto"/>
          <w:sz w:val="28"/>
          <w:szCs w:val="28"/>
        </w:rPr>
        <w:t xml:space="preserve"> le lauréat de la 25</w:t>
      </w:r>
      <w:r>
        <w:rPr>
          <w:rFonts w:ascii="Rockwell" w:eastAsia="Calibri" w:hAnsi="Rockwell"/>
          <w:b/>
          <w:i w:val="0"/>
          <w:color w:val="auto"/>
          <w:sz w:val="28"/>
          <w:szCs w:val="28"/>
          <w:vertAlign w:val="superscript"/>
        </w:rPr>
        <w:t>e</w:t>
      </w:r>
      <w:r>
        <w:rPr>
          <w:rFonts w:ascii="Rockwell" w:eastAsia="Calibri" w:hAnsi="Rockwell"/>
          <w:b/>
          <w:i w:val="0"/>
          <w:color w:val="auto"/>
          <w:sz w:val="28"/>
          <w:szCs w:val="28"/>
        </w:rPr>
        <w:t xml:space="preserve"> édition des prix </w:t>
      </w:r>
      <w:proofErr w:type="spellStart"/>
      <w:r>
        <w:rPr>
          <w:rFonts w:ascii="Rockwell" w:eastAsia="Calibri" w:hAnsi="Rockwell"/>
          <w:b/>
          <w:i w:val="0"/>
          <w:color w:val="auto"/>
          <w:sz w:val="28"/>
          <w:szCs w:val="28"/>
        </w:rPr>
        <w:t>Galian</w:t>
      </w:r>
      <w:proofErr w:type="spellEnd"/>
      <w:r>
        <w:rPr>
          <w:rFonts w:ascii="Rockwell" w:eastAsia="Calibri" w:hAnsi="Rockwell"/>
          <w:b/>
          <w:i w:val="0"/>
          <w:color w:val="auto"/>
          <w:sz w:val="28"/>
          <w:szCs w:val="28"/>
        </w:rPr>
        <w:t xml:space="preserve"> et des journalistes écrivains</w:t>
      </w:r>
      <w:bookmarkEnd w:id="429"/>
      <w:bookmarkEnd w:id="430"/>
      <w:bookmarkEnd w:id="431"/>
      <w:r w:rsidR="00FD68B6">
        <w:rPr>
          <w:rFonts w:ascii="Rockwell" w:eastAsia="Calibri" w:hAnsi="Rockwell"/>
          <w:b/>
          <w:i w:val="0"/>
          <w:color w:val="auto"/>
          <w:sz w:val="28"/>
          <w:szCs w:val="28"/>
        </w:rPr>
        <w:t xml:space="preserve"> </w:t>
      </w:r>
    </w:p>
    <w:p w14:paraId="33C09A2E" w14:textId="77777777" w:rsidR="00733207" w:rsidRDefault="00733207">
      <w:pPr>
        <w:jc w:val="both"/>
        <w:rPr>
          <w:rFonts w:ascii="Rockwell" w:hAnsi="Rockwell"/>
          <w:sz w:val="10"/>
          <w:szCs w:val="10"/>
        </w:rPr>
      </w:pPr>
    </w:p>
    <w:p w14:paraId="7EE7981F"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Président a reçu, le 16 mai 2023, Monsieur </w:t>
      </w:r>
      <w:proofErr w:type="spellStart"/>
      <w:r>
        <w:rPr>
          <w:rFonts w:ascii="Rockwell" w:eastAsia="Calibri" w:hAnsi="Rockwell" w:cs="Times New Roman"/>
          <w:sz w:val="26"/>
          <w:szCs w:val="26"/>
        </w:rPr>
        <w:t>Liradan</w:t>
      </w:r>
      <w:proofErr w:type="spellEnd"/>
      <w:r>
        <w:rPr>
          <w:rFonts w:ascii="Rockwell" w:eastAsia="Calibri" w:hAnsi="Rockwell" w:cs="Times New Roman"/>
          <w:sz w:val="26"/>
          <w:szCs w:val="26"/>
        </w:rPr>
        <w:t xml:space="preserve"> Philippe ADA, journaliste à Oméga TV et lauréat du super </w:t>
      </w:r>
      <w:proofErr w:type="spellStart"/>
      <w:r>
        <w:rPr>
          <w:rFonts w:ascii="Rockwell" w:eastAsia="Calibri" w:hAnsi="Rockwell" w:cs="Times New Roman"/>
          <w:sz w:val="26"/>
          <w:szCs w:val="26"/>
        </w:rPr>
        <w:t>Galian</w:t>
      </w:r>
      <w:proofErr w:type="spellEnd"/>
      <w:r>
        <w:rPr>
          <w:rFonts w:ascii="Rockwell" w:eastAsia="Calibri" w:hAnsi="Rockwell" w:cs="Times New Roman"/>
          <w:sz w:val="26"/>
          <w:szCs w:val="26"/>
        </w:rPr>
        <w:t xml:space="preserve"> 2022. Pour le Président du CSC, cette distinction est bien méritée, au regard de la qualité du travail, de la pertinence du thème et surtout du courage dont il a fait preuve dans la réalisation de son œuvre. C’est pourquoi, il a félicité le super </w:t>
      </w:r>
      <w:proofErr w:type="spellStart"/>
      <w:r>
        <w:rPr>
          <w:rFonts w:ascii="Rockwell" w:eastAsia="Calibri" w:hAnsi="Rockwell" w:cs="Times New Roman"/>
          <w:sz w:val="26"/>
          <w:szCs w:val="26"/>
        </w:rPr>
        <w:t>Galian</w:t>
      </w:r>
      <w:proofErr w:type="spellEnd"/>
      <w:r>
        <w:rPr>
          <w:rFonts w:ascii="Rockwell" w:eastAsia="Calibri" w:hAnsi="Rockwell" w:cs="Times New Roman"/>
          <w:sz w:val="26"/>
          <w:szCs w:val="26"/>
        </w:rPr>
        <w:t xml:space="preserve"> et l’a encouragé à poursuivre dans cet élan. </w:t>
      </w:r>
    </w:p>
    <w:p w14:paraId="15C3CD0F" w14:textId="31AD2B8D"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Le Président BAMOGO a ensuite reçu M. Gildas OUEDRAOGO, administrateur général du groupe </w:t>
      </w:r>
      <w:r>
        <w:rPr>
          <w:rFonts w:ascii="Rockwell" w:eastAsia="Calibri" w:hAnsi="Rockwell" w:cs="Times New Roman"/>
          <w:i/>
          <w:sz w:val="26"/>
          <w:szCs w:val="26"/>
        </w:rPr>
        <w:t>Presse et Communication</w:t>
      </w:r>
      <w:r>
        <w:rPr>
          <w:rFonts w:ascii="Rockwell" w:eastAsia="Calibri" w:hAnsi="Rockwell" w:cs="Times New Roman"/>
          <w:sz w:val="26"/>
          <w:szCs w:val="26"/>
        </w:rPr>
        <w:t xml:space="preserve">, accompagné de Monsieur </w:t>
      </w:r>
      <w:proofErr w:type="spellStart"/>
      <w:r>
        <w:rPr>
          <w:rFonts w:ascii="Rockwell" w:eastAsia="Calibri" w:hAnsi="Rockwell" w:cs="Times New Roman"/>
          <w:sz w:val="26"/>
          <w:szCs w:val="26"/>
        </w:rPr>
        <w:t>Belélé</w:t>
      </w:r>
      <w:proofErr w:type="spellEnd"/>
      <w:r>
        <w:rPr>
          <w:rFonts w:ascii="Rockwell" w:eastAsia="Calibri" w:hAnsi="Rockwell" w:cs="Times New Roman"/>
          <w:sz w:val="26"/>
          <w:szCs w:val="26"/>
        </w:rPr>
        <w:t xml:space="preserve"> Jérôme William BATIONO, auteur du livre </w:t>
      </w:r>
      <w:r>
        <w:rPr>
          <w:rFonts w:ascii="Rockwell" w:eastAsia="Calibri" w:hAnsi="Rockwell" w:cs="Times New Roman"/>
          <w:i/>
          <w:sz w:val="26"/>
          <w:szCs w:val="26"/>
        </w:rPr>
        <w:t xml:space="preserve">« Développement durable et enjeux climatiques : Le traitement de l’information dans les médias </w:t>
      </w:r>
      <w:r>
        <w:rPr>
          <w:rFonts w:ascii="Rockwell" w:eastAsia="Calibri" w:hAnsi="Rockwell" w:cs="Times New Roman"/>
          <w:i/>
          <w:sz w:val="26"/>
          <w:szCs w:val="26"/>
        </w:rPr>
        <w:lastRenderedPageBreak/>
        <w:t>au Burkina Faso ».</w:t>
      </w:r>
      <w:r>
        <w:rPr>
          <w:rFonts w:ascii="Rockwell" w:eastAsia="Calibri" w:hAnsi="Rockwell" w:cs="Times New Roman"/>
          <w:sz w:val="26"/>
          <w:szCs w:val="26"/>
        </w:rPr>
        <w:t xml:space="preserve"> Monsieur BATIONO lui a présenté son ouvrage dont une partie devrait être gracieusement distribuée aux journalistes, au cours d’une cérémonie officielle. Le Président du CSC n’a pas manqué de féliciter l’auteur de cette initiative de réflexion sur le traitement de l’information.</w:t>
      </w:r>
    </w:p>
    <w:p w14:paraId="139E6C3A" w14:textId="77777777" w:rsidR="00733207" w:rsidRDefault="00733207">
      <w:pPr>
        <w:spacing w:before="120" w:after="120" w:line="360" w:lineRule="auto"/>
        <w:jc w:val="both"/>
        <w:rPr>
          <w:rFonts w:ascii="Rockwell" w:eastAsia="Calibri" w:hAnsi="Rockwell" w:cs="Times New Roman"/>
          <w:sz w:val="26"/>
          <w:szCs w:val="26"/>
        </w:rPr>
      </w:pPr>
    </w:p>
    <w:p w14:paraId="3FAAB441" w14:textId="77777777" w:rsidR="00733207" w:rsidRDefault="00912BAE">
      <w:pPr>
        <w:pStyle w:val="Titre4"/>
        <w:spacing w:before="120" w:after="120" w:line="360" w:lineRule="auto"/>
        <w:jc w:val="center"/>
        <w:rPr>
          <w:rFonts w:ascii="Rockwell" w:eastAsia="Calibri" w:hAnsi="Rockwell"/>
          <w:b/>
          <w:i w:val="0"/>
          <w:color w:val="auto"/>
          <w:sz w:val="28"/>
          <w:szCs w:val="28"/>
        </w:rPr>
      </w:pPr>
      <w:bookmarkStart w:id="432" w:name="_Toc175128558"/>
      <w:bookmarkStart w:id="433" w:name="_Toc141088621"/>
      <w:bookmarkStart w:id="434" w:name="_Toc169855202"/>
      <w:r>
        <w:rPr>
          <w:rFonts w:ascii="Rockwell" w:hAnsi="Rockwell"/>
          <w:b/>
          <w:i w:val="0"/>
          <w:color w:val="auto"/>
          <w:sz w:val="28"/>
          <w:szCs w:val="28"/>
        </w:rPr>
        <w:t xml:space="preserve">Paragraphe 10 : </w:t>
      </w:r>
      <w:r>
        <w:rPr>
          <w:rFonts w:ascii="Rockwell" w:eastAsia="Calibri" w:hAnsi="Rockwell"/>
          <w:b/>
          <w:i w:val="0"/>
          <w:color w:val="auto"/>
          <w:sz w:val="28"/>
          <w:szCs w:val="28"/>
        </w:rPr>
        <w:t>Le Président reçoit une délégation de la Banque africaine de développement (BAD)</w:t>
      </w:r>
      <w:bookmarkEnd w:id="432"/>
      <w:bookmarkEnd w:id="433"/>
      <w:bookmarkEnd w:id="434"/>
    </w:p>
    <w:p w14:paraId="12D1EA86" w14:textId="77777777" w:rsidR="00733207" w:rsidRDefault="00733207">
      <w:pPr>
        <w:jc w:val="both"/>
        <w:rPr>
          <w:rFonts w:ascii="Rockwell" w:hAnsi="Rockwell"/>
        </w:rPr>
      </w:pPr>
    </w:p>
    <w:p w14:paraId="1A1EC00B"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Une délégation de la Banque Africaine de Développement (BAD), conduite par la Cheffe de division de la société civile et de l’engagement communautaire, Madame </w:t>
      </w:r>
      <w:proofErr w:type="spellStart"/>
      <w:r>
        <w:rPr>
          <w:rFonts w:ascii="Rockwell" w:eastAsia="Calibri" w:hAnsi="Rockwell" w:cs="Times New Roman"/>
          <w:sz w:val="26"/>
          <w:szCs w:val="26"/>
        </w:rPr>
        <w:t>Zéneb</w:t>
      </w:r>
      <w:proofErr w:type="spellEnd"/>
      <w:r>
        <w:rPr>
          <w:rFonts w:ascii="Rockwell" w:eastAsia="Calibri" w:hAnsi="Rockwell" w:cs="Times New Roman"/>
          <w:sz w:val="26"/>
          <w:szCs w:val="26"/>
        </w:rPr>
        <w:t xml:space="preserve"> TOURE, a été reçue en audience, le 17 mai 2023, par le Président </w:t>
      </w:r>
      <w:proofErr w:type="spellStart"/>
      <w:r>
        <w:rPr>
          <w:rFonts w:ascii="Rockwell" w:eastAsia="Calibri" w:hAnsi="Rockwell" w:cs="Times New Roman"/>
          <w:sz w:val="26"/>
          <w:szCs w:val="26"/>
        </w:rPr>
        <w:t>Abdoulazize</w:t>
      </w:r>
      <w:proofErr w:type="spellEnd"/>
      <w:r>
        <w:rPr>
          <w:rFonts w:ascii="Rockwell" w:eastAsia="Calibri" w:hAnsi="Rockwell" w:cs="Times New Roman"/>
          <w:sz w:val="26"/>
          <w:szCs w:val="26"/>
        </w:rPr>
        <w:t xml:space="preserve"> BAMOGO. Présents à Ouagadougou dans le cadre du dialogue entre les organisations de la société civile, la Banque africaine de développement et le Gouvernement, Madame Touré et ses collaborateurs ont annoncé la prise en compte des institutions dont le CSC, dans la mise en œuvre et l’implémentation du portefeuille pays. Les échanges ont également porté sur le projet du CSC d’organiser des assises nationales de la communication dans ce contexte de crise sécuritaire et de transition politique dans notre pays. Des pistes de financement des actions consensuelles qui en seront issues, ont été envisagées.</w:t>
      </w:r>
    </w:p>
    <w:p w14:paraId="5EA5F946" w14:textId="77777777" w:rsidR="00733207" w:rsidRDefault="00733207">
      <w:pPr>
        <w:spacing w:before="120" w:after="120" w:line="360" w:lineRule="auto"/>
        <w:jc w:val="both"/>
        <w:rPr>
          <w:rFonts w:ascii="Rockwell" w:eastAsia="Calibri" w:hAnsi="Rockwell" w:cs="Times New Roman"/>
          <w:sz w:val="26"/>
          <w:szCs w:val="26"/>
        </w:rPr>
        <w:sectPr w:rsidR="00733207">
          <w:pgSz w:w="11906" w:h="16838"/>
          <w:pgMar w:top="1417" w:right="1417" w:bottom="1417" w:left="1417" w:header="708" w:footer="708" w:gutter="0"/>
          <w:cols w:space="708"/>
          <w:docGrid w:linePitch="360"/>
        </w:sectPr>
      </w:pPr>
    </w:p>
    <w:p w14:paraId="07F6F70B" w14:textId="77777777" w:rsidR="00733207" w:rsidRPr="009F165A" w:rsidRDefault="00912BAE">
      <w:pPr>
        <w:pStyle w:val="Titre3"/>
        <w:spacing w:before="240" w:after="240" w:line="360" w:lineRule="auto"/>
        <w:jc w:val="center"/>
        <w:rPr>
          <w:rFonts w:ascii="Rockwell" w:eastAsia="Calibri" w:hAnsi="Rockwell"/>
          <w:b/>
          <w:i/>
          <w:color w:val="auto"/>
          <w:sz w:val="28"/>
          <w:szCs w:val="28"/>
        </w:rPr>
      </w:pPr>
      <w:bookmarkStart w:id="435" w:name="_Toc170209347"/>
      <w:bookmarkStart w:id="436" w:name="_Toc175128559"/>
      <w:bookmarkStart w:id="437" w:name="_Toc169854386"/>
      <w:bookmarkStart w:id="438" w:name="_Toc169855203"/>
      <w:r w:rsidRPr="009F165A">
        <w:rPr>
          <w:rFonts w:ascii="Rockwell" w:hAnsi="Rockwell"/>
          <w:b/>
          <w:i/>
          <w:color w:val="auto"/>
          <w:sz w:val="28"/>
          <w:szCs w:val="28"/>
        </w:rPr>
        <w:lastRenderedPageBreak/>
        <w:t>SECTION 2 : TOURNEES DANS LES MEDIAS ET VISITES DE COURTOISIE</w:t>
      </w:r>
      <w:bookmarkEnd w:id="435"/>
      <w:bookmarkEnd w:id="436"/>
      <w:bookmarkEnd w:id="437"/>
      <w:bookmarkEnd w:id="438"/>
    </w:p>
    <w:p w14:paraId="28702302"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Président a entrepris des tournées dans les médias et les agences de communication de la capitale. Il a voulu, à travers ces visites de courtoisie, renouer le dialogue avec les organes de presse et les entreprises de publicité, les remercier du travail accompli au quotidien et les exhorter à mettre leur responsabilité sociale au cœur de leurs pratiques quotidiennes, pour un Burkina Faso de paix, de sécurité et de cohésion retrouvées.  Il a également honoré des invitations à diverses occasions. </w:t>
      </w:r>
    </w:p>
    <w:p w14:paraId="70FBDE89" w14:textId="77777777" w:rsidR="00733207" w:rsidRDefault="00733207">
      <w:pPr>
        <w:spacing w:before="120" w:after="120" w:line="360" w:lineRule="auto"/>
        <w:jc w:val="both"/>
        <w:rPr>
          <w:rFonts w:ascii="Rockwell" w:hAnsi="Rockwell" w:cs="Times New Roman"/>
          <w:sz w:val="26"/>
          <w:szCs w:val="26"/>
        </w:rPr>
      </w:pPr>
    </w:p>
    <w:p w14:paraId="2FBC40B4" w14:textId="77777777" w:rsidR="00733207" w:rsidRDefault="00912BAE">
      <w:pPr>
        <w:pStyle w:val="Titre4"/>
        <w:spacing w:before="120" w:after="120" w:line="360" w:lineRule="auto"/>
        <w:jc w:val="center"/>
        <w:rPr>
          <w:rFonts w:ascii="Rockwell" w:eastAsia="Calibri" w:hAnsi="Rockwell"/>
          <w:b/>
          <w:i w:val="0"/>
          <w:color w:val="auto"/>
          <w:sz w:val="28"/>
          <w:szCs w:val="28"/>
        </w:rPr>
      </w:pPr>
      <w:bookmarkStart w:id="439" w:name="_Toc175128560"/>
      <w:bookmarkStart w:id="440" w:name="_Toc169855204"/>
      <w:r>
        <w:rPr>
          <w:rFonts w:ascii="Rockwell" w:eastAsia="Calibri" w:hAnsi="Rockwell"/>
          <w:b/>
          <w:i w:val="0"/>
          <w:color w:val="auto"/>
          <w:sz w:val="28"/>
          <w:szCs w:val="28"/>
        </w:rPr>
        <w:t>Paragraphe1 : Tournées dans les médias et participation à des événements médiatiques</w:t>
      </w:r>
      <w:bookmarkEnd w:id="439"/>
      <w:bookmarkEnd w:id="440"/>
    </w:p>
    <w:p w14:paraId="0C31E6AA" w14:textId="4198D61D"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Pour renforcer sa vis</w:t>
      </w:r>
      <w:r w:rsidR="000F5D96">
        <w:rPr>
          <w:rFonts w:ascii="Rockwell" w:eastAsia="Calibri" w:hAnsi="Rockwell" w:cs="Times New Roman"/>
          <w:sz w:val="26"/>
          <w:szCs w:val="26"/>
        </w:rPr>
        <w:t xml:space="preserve">ibilité et sa présence, le CSC </w:t>
      </w:r>
      <w:r>
        <w:rPr>
          <w:rFonts w:ascii="Rockwell" w:eastAsia="Calibri" w:hAnsi="Rockwell" w:cs="Times New Roman"/>
          <w:sz w:val="26"/>
          <w:szCs w:val="26"/>
        </w:rPr>
        <w:t xml:space="preserve">a intensifié ses tournées dans les médias et sa participation à divers évènements médiatiques mettant en lumière ses initiatives actuelles et ses projets futurs.  </w:t>
      </w:r>
    </w:p>
    <w:p w14:paraId="3BEBF160"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-Le Président a pris part, le 22 janvier 2023, à la 7</w:t>
      </w:r>
      <w:r>
        <w:rPr>
          <w:rFonts w:ascii="Rockwell" w:eastAsia="Calibri" w:hAnsi="Rockwell" w:cs="Times New Roman"/>
          <w:sz w:val="26"/>
          <w:szCs w:val="26"/>
          <w:vertAlign w:val="superscript"/>
        </w:rPr>
        <w:t>e</w:t>
      </w:r>
      <w:r>
        <w:rPr>
          <w:rFonts w:ascii="Rockwell" w:eastAsia="Calibri" w:hAnsi="Rockwell" w:cs="Times New Roman"/>
          <w:sz w:val="26"/>
          <w:szCs w:val="26"/>
        </w:rPr>
        <w:t xml:space="preserve"> édition de la rentrée médiatique de </w:t>
      </w:r>
      <w:r>
        <w:rPr>
          <w:rFonts w:ascii="Rockwell" w:eastAsia="Calibri" w:hAnsi="Rockwell" w:cs="Times New Roman"/>
          <w:i/>
          <w:sz w:val="26"/>
          <w:szCs w:val="26"/>
        </w:rPr>
        <w:t>Radio Maria</w:t>
      </w:r>
      <w:r>
        <w:rPr>
          <w:rFonts w:ascii="Rockwell" w:eastAsia="Calibri" w:hAnsi="Rockwell" w:cs="Times New Roman"/>
          <w:sz w:val="26"/>
          <w:szCs w:val="26"/>
        </w:rPr>
        <w:t xml:space="preserve"> et </w:t>
      </w:r>
      <w:r>
        <w:rPr>
          <w:rFonts w:ascii="Rockwell" w:eastAsia="Calibri" w:hAnsi="Rockwell" w:cs="Times New Roman"/>
          <w:i/>
          <w:sz w:val="26"/>
          <w:szCs w:val="26"/>
        </w:rPr>
        <w:t>TV Maria</w:t>
      </w:r>
      <w:r>
        <w:rPr>
          <w:rFonts w:ascii="Rockwell" w:eastAsia="Calibri" w:hAnsi="Rockwell" w:cs="Times New Roman"/>
          <w:sz w:val="26"/>
          <w:szCs w:val="26"/>
        </w:rPr>
        <w:t xml:space="preserve">, organes de presse de l’Archidiocèse de Ouagadougou. </w:t>
      </w:r>
    </w:p>
    <w:p w14:paraId="6597C9F0" w14:textId="466F5161" w:rsidR="00733207" w:rsidRDefault="00912BAE">
      <w:pPr>
        <w:spacing w:before="120" w:after="120" w:line="360" w:lineRule="auto"/>
        <w:jc w:val="both"/>
        <w:rPr>
          <w:rFonts w:ascii="Rockwell" w:eastAsia="Calibri" w:hAnsi="Rockwell" w:cs="Times New Roman"/>
          <w:sz w:val="26"/>
          <w:szCs w:val="26"/>
        </w:rPr>
      </w:pPr>
      <w:r>
        <w:rPr>
          <w:rFonts w:ascii="Rockwell" w:hAnsi="Rockwell"/>
          <w:sz w:val="26"/>
          <w:szCs w:val="26"/>
        </w:rPr>
        <w:t xml:space="preserve">- Le Président du </w:t>
      </w:r>
      <w:r w:rsidR="009F165A">
        <w:rPr>
          <w:rFonts w:ascii="Rockwell" w:hAnsi="Rockwell"/>
          <w:sz w:val="26"/>
          <w:szCs w:val="26"/>
        </w:rPr>
        <w:t>CSC</w:t>
      </w:r>
      <w:r>
        <w:rPr>
          <w:rFonts w:ascii="Rockwell" w:hAnsi="Rockwell"/>
          <w:sz w:val="26"/>
          <w:szCs w:val="26"/>
        </w:rPr>
        <w:t xml:space="preserve"> a visité l’AIB, Azur</w:t>
      </w:r>
      <w:r>
        <w:rPr>
          <w:rFonts w:ascii="Rockwell" w:hAnsi="Rockwell" w:cs="Times New Roman"/>
          <w:sz w:val="26"/>
          <w:szCs w:val="26"/>
        </w:rPr>
        <w:t xml:space="preserve"> Conseil et </w:t>
      </w:r>
      <w:proofErr w:type="spellStart"/>
      <w:r w:rsidRPr="009F165A">
        <w:rPr>
          <w:rFonts w:ascii="Rockwell" w:hAnsi="Rockwell" w:cs="Times New Roman"/>
          <w:i/>
          <w:sz w:val="26"/>
          <w:szCs w:val="26"/>
        </w:rPr>
        <w:t>Sidwaya</w:t>
      </w:r>
      <w:proofErr w:type="spellEnd"/>
      <w:r>
        <w:rPr>
          <w:rFonts w:ascii="Rockwell" w:eastAsia="Calibri" w:hAnsi="Rockwell" w:cs="Times New Roman"/>
          <w:sz w:val="26"/>
          <w:szCs w:val="26"/>
        </w:rPr>
        <w:t xml:space="preserve">, </w:t>
      </w:r>
      <w:r>
        <w:rPr>
          <w:rFonts w:ascii="Rockwell" w:hAnsi="Rockwell" w:cs="Times New Roman"/>
          <w:sz w:val="26"/>
          <w:szCs w:val="26"/>
        </w:rPr>
        <w:t xml:space="preserve">le 25 janvier 2023. </w:t>
      </w:r>
    </w:p>
    <w:p w14:paraId="0B2AE2C5"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 1er février 2023, il a poursuivi la visite des médias et agences de communication, à la </w:t>
      </w:r>
      <w:r>
        <w:rPr>
          <w:rFonts w:ascii="Rockwell" w:eastAsia="Calibri" w:hAnsi="Rockwell" w:cs="Times New Roman"/>
          <w:i/>
          <w:sz w:val="26"/>
          <w:szCs w:val="26"/>
        </w:rPr>
        <w:t>RTB</w:t>
      </w:r>
      <w:r>
        <w:rPr>
          <w:rFonts w:ascii="Rockwell" w:eastAsia="Calibri" w:hAnsi="Rockwell" w:cs="Times New Roman"/>
          <w:sz w:val="26"/>
          <w:szCs w:val="26"/>
        </w:rPr>
        <w:t xml:space="preserve">, au journal </w:t>
      </w:r>
      <w:r>
        <w:rPr>
          <w:rFonts w:ascii="Rockwell" w:eastAsia="Calibri" w:hAnsi="Rockwell" w:cs="Times New Roman"/>
          <w:i/>
          <w:sz w:val="26"/>
          <w:szCs w:val="26"/>
        </w:rPr>
        <w:t>Le Quotidien</w:t>
      </w:r>
      <w:r>
        <w:rPr>
          <w:rFonts w:ascii="Rockwell" w:eastAsia="Calibri" w:hAnsi="Rockwell" w:cs="Times New Roman"/>
          <w:color w:val="00B050"/>
          <w:sz w:val="26"/>
          <w:szCs w:val="26"/>
        </w:rPr>
        <w:t xml:space="preserve"> </w:t>
      </w:r>
      <w:r>
        <w:rPr>
          <w:rFonts w:ascii="Rockwell" w:eastAsia="Calibri" w:hAnsi="Rockwell" w:cs="Times New Roman"/>
          <w:sz w:val="26"/>
          <w:szCs w:val="26"/>
        </w:rPr>
        <w:t xml:space="preserve">ainsi qu’à l’agence </w:t>
      </w:r>
      <w:proofErr w:type="spellStart"/>
      <w:r>
        <w:rPr>
          <w:rFonts w:ascii="Rockwell" w:eastAsia="Calibri" w:hAnsi="Rockwell" w:cs="Times New Roman"/>
          <w:i/>
          <w:sz w:val="26"/>
          <w:szCs w:val="26"/>
        </w:rPr>
        <w:t>Djiguiya</w:t>
      </w:r>
      <w:proofErr w:type="spellEnd"/>
      <w:r>
        <w:rPr>
          <w:rFonts w:ascii="Rockwell" w:eastAsia="Calibri" w:hAnsi="Rockwell" w:cs="Times New Roman"/>
          <w:sz w:val="26"/>
          <w:szCs w:val="26"/>
        </w:rPr>
        <w:t xml:space="preserve">. </w:t>
      </w:r>
    </w:p>
    <w:p w14:paraId="074A463C"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 8 février 2023, le Président a rendu visite, respectivement aux Editions </w:t>
      </w:r>
      <w:r>
        <w:rPr>
          <w:rFonts w:ascii="Rockwell" w:eastAsia="Calibri" w:hAnsi="Rockwell" w:cs="Times New Roman"/>
          <w:i/>
          <w:sz w:val="26"/>
          <w:szCs w:val="26"/>
        </w:rPr>
        <w:t>Le Pays</w:t>
      </w:r>
      <w:r>
        <w:rPr>
          <w:rFonts w:ascii="Rockwell" w:eastAsia="Calibri" w:hAnsi="Rockwell" w:cs="Times New Roman"/>
          <w:sz w:val="26"/>
          <w:szCs w:val="26"/>
        </w:rPr>
        <w:t xml:space="preserve">, à la télévision </w:t>
      </w:r>
      <w:r>
        <w:rPr>
          <w:rFonts w:ascii="Rockwell" w:eastAsia="Calibri" w:hAnsi="Rockwell" w:cs="Times New Roman"/>
          <w:i/>
          <w:sz w:val="26"/>
          <w:szCs w:val="26"/>
        </w:rPr>
        <w:t>BF1</w:t>
      </w:r>
      <w:r>
        <w:rPr>
          <w:rFonts w:ascii="Rockwell" w:eastAsia="Calibri" w:hAnsi="Rockwell" w:cs="Times New Roman"/>
          <w:sz w:val="26"/>
          <w:szCs w:val="26"/>
        </w:rPr>
        <w:t xml:space="preserve"> et à l’agence </w:t>
      </w:r>
      <w:r>
        <w:rPr>
          <w:rFonts w:ascii="Rockwell" w:eastAsia="Calibri" w:hAnsi="Rockwell" w:cs="Times New Roman"/>
          <w:i/>
          <w:sz w:val="26"/>
          <w:szCs w:val="26"/>
        </w:rPr>
        <w:t>Label qualité</w:t>
      </w:r>
      <w:r>
        <w:rPr>
          <w:rFonts w:ascii="Rockwell" w:eastAsia="Calibri" w:hAnsi="Rockwell" w:cs="Times New Roman"/>
          <w:sz w:val="26"/>
          <w:szCs w:val="26"/>
        </w:rPr>
        <w:t xml:space="preserve">. </w:t>
      </w:r>
    </w:p>
    <w:p w14:paraId="477514C8"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 Le 15 mars 2023, le Président a visité la télévision chrétienne </w:t>
      </w:r>
      <w:r>
        <w:rPr>
          <w:rFonts w:ascii="Rockwell" w:hAnsi="Rockwell" w:cs="Times New Roman"/>
          <w:i/>
          <w:sz w:val="26"/>
          <w:szCs w:val="26"/>
        </w:rPr>
        <w:t xml:space="preserve">Canal </w:t>
      </w:r>
      <w:proofErr w:type="spellStart"/>
      <w:r>
        <w:rPr>
          <w:rFonts w:ascii="Rockwell" w:hAnsi="Rockwell" w:cs="Times New Roman"/>
          <w:i/>
          <w:sz w:val="26"/>
          <w:szCs w:val="26"/>
        </w:rPr>
        <w:t>Viim</w:t>
      </w:r>
      <w:proofErr w:type="spellEnd"/>
      <w:r>
        <w:rPr>
          <w:rFonts w:ascii="Rockwell" w:hAnsi="Rockwell" w:cs="Times New Roman"/>
          <w:i/>
          <w:sz w:val="26"/>
          <w:szCs w:val="26"/>
        </w:rPr>
        <w:t xml:space="preserve"> </w:t>
      </w:r>
      <w:proofErr w:type="spellStart"/>
      <w:r>
        <w:rPr>
          <w:rFonts w:ascii="Rockwell" w:hAnsi="Rockwell" w:cs="Times New Roman"/>
          <w:i/>
          <w:sz w:val="26"/>
          <w:szCs w:val="26"/>
        </w:rPr>
        <w:t>Koeega</w:t>
      </w:r>
      <w:proofErr w:type="spellEnd"/>
      <w:r>
        <w:rPr>
          <w:rFonts w:ascii="Rockwell" w:hAnsi="Rockwell" w:cs="Times New Roman"/>
          <w:sz w:val="26"/>
          <w:szCs w:val="26"/>
        </w:rPr>
        <w:t xml:space="preserve"> (CVK) dont une partie du bâtiment a été victime d’un incendie le 13 </w:t>
      </w:r>
      <w:r>
        <w:rPr>
          <w:rFonts w:ascii="Rockwell" w:hAnsi="Rockwell" w:cs="Times New Roman"/>
          <w:sz w:val="26"/>
          <w:szCs w:val="26"/>
        </w:rPr>
        <w:lastRenderedPageBreak/>
        <w:t>mars 2023. Il est allé témoigner la compassion du CSC aux premiers responsables de cette télévision et à ses collaborateurs.</w:t>
      </w:r>
    </w:p>
    <w:p w14:paraId="71AB2434"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 </w:t>
      </w:r>
      <w:r>
        <w:rPr>
          <w:rFonts w:ascii="Rockwell" w:eastAsia="Calibri" w:hAnsi="Rockwell" w:cs="Times New Roman"/>
          <w:i/>
          <w:sz w:val="26"/>
          <w:szCs w:val="26"/>
        </w:rPr>
        <w:t>groupe Oméga médias</w:t>
      </w:r>
      <w:r>
        <w:rPr>
          <w:rFonts w:ascii="Rockwell" w:eastAsia="Calibri" w:hAnsi="Rockwell" w:cs="Times New Roman"/>
          <w:sz w:val="26"/>
          <w:szCs w:val="26"/>
        </w:rPr>
        <w:t xml:space="preserve"> a reçu la visite du Président du CSC, le 22 mars 2023. Les échanges ont porté sur la responsabilité sociale du journaliste dans le traitement de l’information, en période de crise. </w:t>
      </w:r>
    </w:p>
    <w:p w14:paraId="4D98E024"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 Président a poursuivi sa tournée dans les médias et les agences de communication de la capitale, le 29 mars 2023. Il a été accueilli tour à tour, à la télévision </w:t>
      </w:r>
      <w:r>
        <w:rPr>
          <w:rFonts w:ascii="Rockwell" w:eastAsia="Calibri" w:hAnsi="Rockwell" w:cs="Times New Roman"/>
          <w:i/>
          <w:sz w:val="26"/>
          <w:szCs w:val="26"/>
        </w:rPr>
        <w:t>LCA</w:t>
      </w:r>
      <w:r>
        <w:rPr>
          <w:rFonts w:ascii="Rockwell" w:eastAsia="Calibri" w:hAnsi="Rockwell" w:cs="Times New Roman"/>
          <w:sz w:val="26"/>
          <w:szCs w:val="26"/>
        </w:rPr>
        <w:t xml:space="preserve">, à la radio </w:t>
      </w:r>
      <w:r>
        <w:rPr>
          <w:rFonts w:ascii="Rockwell" w:eastAsia="Calibri" w:hAnsi="Rockwell" w:cs="Times New Roman"/>
          <w:i/>
          <w:sz w:val="26"/>
          <w:szCs w:val="26"/>
        </w:rPr>
        <w:t>Ouaga FM</w:t>
      </w:r>
      <w:r>
        <w:rPr>
          <w:rFonts w:ascii="Rockwell" w:eastAsia="Calibri" w:hAnsi="Rockwell" w:cs="Times New Roman"/>
          <w:sz w:val="26"/>
          <w:szCs w:val="26"/>
        </w:rPr>
        <w:t xml:space="preserve"> et à l’agence </w:t>
      </w:r>
      <w:r>
        <w:rPr>
          <w:rFonts w:ascii="Rockwell" w:eastAsia="Calibri" w:hAnsi="Rockwell" w:cs="Times New Roman"/>
          <w:i/>
          <w:sz w:val="26"/>
          <w:szCs w:val="26"/>
        </w:rPr>
        <w:t>Edifice</w:t>
      </w:r>
      <w:r>
        <w:rPr>
          <w:rFonts w:ascii="Rockwell" w:eastAsia="Calibri" w:hAnsi="Rockwell" w:cs="Times New Roman"/>
          <w:sz w:val="26"/>
          <w:szCs w:val="26"/>
        </w:rPr>
        <w:t xml:space="preserve">. </w:t>
      </w:r>
    </w:p>
    <w:p w14:paraId="7CDBABA7"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 Président a visité, le 13 avril 2023, le journal </w:t>
      </w:r>
      <w:r>
        <w:rPr>
          <w:rFonts w:ascii="Rockwell" w:eastAsia="Calibri" w:hAnsi="Rockwell" w:cs="Times New Roman"/>
          <w:i/>
          <w:sz w:val="26"/>
          <w:szCs w:val="26"/>
        </w:rPr>
        <w:t>Aujourd'hui au Faso</w:t>
      </w:r>
      <w:r>
        <w:rPr>
          <w:rFonts w:ascii="Rockwell" w:eastAsia="Calibri" w:hAnsi="Rockwell" w:cs="Times New Roman"/>
          <w:sz w:val="26"/>
          <w:szCs w:val="26"/>
        </w:rPr>
        <w:t>, la télévision </w:t>
      </w:r>
      <w:r>
        <w:rPr>
          <w:rFonts w:ascii="Rockwell" w:eastAsia="Calibri" w:hAnsi="Rockwell" w:cs="Times New Roman"/>
          <w:i/>
          <w:sz w:val="26"/>
          <w:szCs w:val="26"/>
        </w:rPr>
        <w:t>Burkina info</w:t>
      </w:r>
      <w:r>
        <w:rPr>
          <w:rFonts w:ascii="Rockwell" w:eastAsia="Calibri" w:hAnsi="Rockwell" w:cs="Times New Roman"/>
          <w:sz w:val="26"/>
          <w:szCs w:val="26"/>
        </w:rPr>
        <w:t xml:space="preserve"> et l'agence de communication </w:t>
      </w:r>
      <w:r>
        <w:rPr>
          <w:rFonts w:ascii="Rockwell" w:eastAsia="Calibri" w:hAnsi="Rockwell" w:cs="Times New Roman"/>
          <w:i/>
          <w:sz w:val="26"/>
          <w:szCs w:val="26"/>
        </w:rPr>
        <w:t>Médias com</w:t>
      </w:r>
      <w:r>
        <w:rPr>
          <w:rFonts w:ascii="Rockwell" w:eastAsia="Calibri" w:hAnsi="Rockwell" w:cs="Times New Roman"/>
          <w:sz w:val="26"/>
          <w:szCs w:val="26"/>
        </w:rPr>
        <w:t xml:space="preserve">. </w:t>
      </w:r>
    </w:p>
    <w:p w14:paraId="12551910"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 10 mai 2023, le Président a effectué une visite dans les médias </w:t>
      </w:r>
      <w:r>
        <w:rPr>
          <w:rFonts w:ascii="Rockwell" w:eastAsia="Calibri" w:hAnsi="Rockwell" w:cs="Times New Roman"/>
          <w:i/>
          <w:sz w:val="26"/>
          <w:szCs w:val="26"/>
        </w:rPr>
        <w:t>Al Houda</w:t>
      </w:r>
      <w:r>
        <w:rPr>
          <w:rFonts w:ascii="Rockwell" w:eastAsia="Calibri" w:hAnsi="Rockwell" w:cs="Times New Roman"/>
          <w:sz w:val="26"/>
          <w:szCs w:val="26"/>
        </w:rPr>
        <w:t xml:space="preserve">, </w:t>
      </w:r>
      <w:r>
        <w:rPr>
          <w:rFonts w:ascii="Rockwell" w:eastAsia="Calibri" w:hAnsi="Rockwell" w:cs="Times New Roman"/>
          <w:i/>
          <w:sz w:val="26"/>
          <w:szCs w:val="26"/>
        </w:rPr>
        <w:t>El Bethel</w:t>
      </w:r>
      <w:r>
        <w:rPr>
          <w:rFonts w:ascii="Rockwell" w:eastAsia="Calibri" w:hAnsi="Rockwell" w:cs="Times New Roman"/>
          <w:sz w:val="26"/>
          <w:szCs w:val="26"/>
        </w:rPr>
        <w:t xml:space="preserve">, </w:t>
      </w:r>
      <w:r>
        <w:rPr>
          <w:rFonts w:ascii="Rockwell" w:eastAsia="Calibri" w:hAnsi="Rockwell" w:cs="Times New Roman"/>
          <w:i/>
          <w:sz w:val="26"/>
          <w:szCs w:val="26"/>
        </w:rPr>
        <w:t>Lefaso.net</w:t>
      </w:r>
      <w:r>
        <w:rPr>
          <w:rFonts w:ascii="Rockwell" w:eastAsia="Calibri" w:hAnsi="Rockwell" w:cs="Times New Roman"/>
          <w:sz w:val="26"/>
          <w:szCs w:val="26"/>
        </w:rPr>
        <w:t xml:space="preserve"> et à l’agence de communication </w:t>
      </w:r>
      <w:r>
        <w:rPr>
          <w:rFonts w:ascii="Rockwell" w:eastAsia="Calibri" w:hAnsi="Rockwell" w:cs="Times New Roman"/>
          <w:i/>
          <w:sz w:val="26"/>
          <w:szCs w:val="26"/>
        </w:rPr>
        <w:t xml:space="preserve">Focus </w:t>
      </w:r>
      <w:proofErr w:type="spellStart"/>
      <w:r>
        <w:rPr>
          <w:rFonts w:ascii="Rockwell" w:eastAsia="Calibri" w:hAnsi="Rockwell" w:cs="Times New Roman"/>
          <w:i/>
          <w:sz w:val="26"/>
          <w:szCs w:val="26"/>
        </w:rPr>
        <w:t>Digicom</w:t>
      </w:r>
      <w:proofErr w:type="spellEnd"/>
      <w:r>
        <w:rPr>
          <w:rFonts w:ascii="Rockwell" w:eastAsia="Calibri" w:hAnsi="Rockwell" w:cs="Times New Roman"/>
          <w:i/>
          <w:sz w:val="26"/>
          <w:szCs w:val="26"/>
        </w:rPr>
        <w:t>.</w:t>
      </w:r>
      <w:r>
        <w:rPr>
          <w:rFonts w:ascii="Rockwell" w:eastAsia="Calibri" w:hAnsi="Rockwell" w:cs="Times New Roman"/>
          <w:sz w:val="26"/>
          <w:szCs w:val="26"/>
        </w:rPr>
        <w:t xml:space="preserve"> </w:t>
      </w:r>
    </w:p>
    <w:p w14:paraId="65AF23CC"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 Les visites du Président aux acteurs de l’information et de la communication au public se sont poursuivies, le 17 mai 2023 à </w:t>
      </w:r>
      <w:proofErr w:type="spellStart"/>
      <w:r>
        <w:rPr>
          <w:rFonts w:ascii="Rockwell" w:eastAsia="Calibri" w:hAnsi="Rockwell" w:cs="Times New Roman"/>
          <w:i/>
          <w:sz w:val="26"/>
          <w:szCs w:val="26"/>
        </w:rPr>
        <w:t>Wakat</w:t>
      </w:r>
      <w:proofErr w:type="spellEnd"/>
      <w:r>
        <w:rPr>
          <w:rFonts w:ascii="Rockwell" w:eastAsia="Calibri" w:hAnsi="Rockwell" w:cs="Times New Roman"/>
          <w:i/>
          <w:sz w:val="26"/>
          <w:szCs w:val="26"/>
        </w:rPr>
        <w:t xml:space="preserve"> </w:t>
      </w:r>
      <w:proofErr w:type="spellStart"/>
      <w:r>
        <w:rPr>
          <w:rFonts w:ascii="Rockwell" w:eastAsia="Calibri" w:hAnsi="Rockwell" w:cs="Times New Roman"/>
          <w:i/>
          <w:sz w:val="26"/>
          <w:szCs w:val="26"/>
        </w:rPr>
        <w:t>Séra</w:t>
      </w:r>
      <w:proofErr w:type="spellEnd"/>
      <w:r>
        <w:rPr>
          <w:rFonts w:ascii="Rockwell" w:eastAsia="Calibri" w:hAnsi="Rockwell" w:cs="Times New Roman"/>
          <w:i/>
          <w:sz w:val="26"/>
          <w:szCs w:val="26"/>
        </w:rPr>
        <w:t>,</w:t>
      </w:r>
      <w:r>
        <w:rPr>
          <w:rFonts w:ascii="Rockwell" w:eastAsia="Calibri" w:hAnsi="Rockwell" w:cs="Times New Roman"/>
          <w:sz w:val="26"/>
          <w:szCs w:val="26"/>
        </w:rPr>
        <w:t xml:space="preserve"> </w:t>
      </w:r>
      <w:r>
        <w:rPr>
          <w:rFonts w:ascii="Rockwell" w:eastAsia="Calibri" w:hAnsi="Rockwell" w:cs="Times New Roman"/>
          <w:i/>
          <w:sz w:val="26"/>
          <w:szCs w:val="26"/>
        </w:rPr>
        <w:t>Burkina 24</w:t>
      </w:r>
      <w:r>
        <w:rPr>
          <w:rFonts w:ascii="Rockwell" w:eastAsia="Calibri" w:hAnsi="Rockwell" w:cs="Times New Roman"/>
          <w:sz w:val="26"/>
          <w:szCs w:val="26"/>
        </w:rPr>
        <w:t xml:space="preserve">, la </w:t>
      </w:r>
      <w:r>
        <w:rPr>
          <w:rFonts w:ascii="Rockwell" w:eastAsia="Calibri" w:hAnsi="Rockwell" w:cs="Times New Roman"/>
          <w:i/>
          <w:sz w:val="26"/>
          <w:szCs w:val="26"/>
        </w:rPr>
        <w:t>Radio du Parlement</w:t>
      </w:r>
      <w:r>
        <w:rPr>
          <w:rFonts w:ascii="Rockwell" w:eastAsia="Calibri" w:hAnsi="Rockwell" w:cs="Times New Roman"/>
          <w:sz w:val="26"/>
          <w:szCs w:val="26"/>
        </w:rPr>
        <w:t xml:space="preserve"> et à la </w:t>
      </w:r>
      <w:r>
        <w:rPr>
          <w:rFonts w:ascii="Rockwell" w:eastAsia="Calibri" w:hAnsi="Rockwell" w:cs="Times New Roman"/>
          <w:i/>
          <w:sz w:val="26"/>
          <w:szCs w:val="26"/>
        </w:rPr>
        <w:t>Radio municipale</w:t>
      </w:r>
      <w:r>
        <w:rPr>
          <w:rFonts w:ascii="Rockwell" w:eastAsia="Calibri" w:hAnsi="Rockwell" w:cs="Times New Roman"/>
          <w:sz w:val="26"/>
          <w:szCs w:val="26"/>
        </w:rPr>
        <w:t xml:space="preserve"> de Ouagadougou, </w:t>
      </w:r>
    </w:p>
    <w:p w14:paraId="0AFD30AA"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 Le Président a participé, le 25 mai 2023, aux Journées portes ouvertes de </w:t>
      </w:r>
      <w:r>
        <w:rPr>
          <w:rFonts w:ascii="Rockwell" w:hAnsi="Rockwell" w:cs="Times New Roman"/>
          <w:i/>
          <w:sz w:val="26"/>
          <w:szCs w:val="26"/>
        </w:rPr>
        <w:t xml:space="preserve">L’Observateur </w:t>
      </w:r>
      <w:proofErr w:type="spellStart"/>
      <w:r>
        <w:rPr>
          <w:rFonts w:ascii="Rockwell" w:hAnsi="Rockwell" w:cs="Times New Roman"/>
          <w:i/>
          <w:sz w:val="26"/>
          <w:szCs w:val="26"/>
        </w:rPr>
        <w:t>Paalga</w:t>
      </w:r>
      <w:proofErr w:type="spellEnd"/>
      <w:r>
        <w:rPr>
          <w:rFonts w:ascii="Rockwell" w:hAnsi="Rockwell" w:cs="Times New Roman"/>
          <w:sz w:val="26"/>
          <w:szCs w:val="26"/>
        </w:rPr>
        <w:t xml:space="preserve">, organisées dans le cadre de la célébration du cinquantenaire du journal. Au cours de cette visite, il a salué l’effort et la résilience au quotidien du promoteur, le doyen Edouard OUEDRAOGO. Il a aussi loué la pertinence de l’organisation de ces Journées portes ouvertes qui permettent de revisiter, non seulement l’histoire de cet organe de presse, mais aussi celle du Burkina Faso. </w:t>
      </w:r>
    </w:p>
    <w:p w14:paraId="2E409E49" w14:textId="77777777" w:rsidR="00733207" w:rsidRDefault="00912BAE">
      <w:pPr>
        <w:spacing w:before="120" w:after="120" w:line="360" w:lineRule="auto"/>
        <w:jc w:val="center"/>
        <w:rPr>
          <w:rFonts w:ascii="Rockwell" w:hAnsi="Rockwell" w:cs="Times New Roman"/>
          <w:sz w:val="26"/>
          <w:szCs w:val="26"/>
        </w:rPr>
      </w:pPr>
      <w:r>
        <w:rPr>
          <w:rFonts w:ascii="Rockwell" w:hAnsi="Rockwell" w:cs="Times New Roman"/>
          <w:noProof/>
          <w:sz w:val="26"/>
          <w:szCs w:val="26"/>
          <w:lang w:eastAsia="fr-FR"/>
        </w:rPr>
        <w:lastRenderedPageBreak/>
        <w:drawing>
          <wp:inline distT="0" distB="0" distL="0" distR="0" wp14:anchorId="1653D48D" wp14:editId="290DD9C0">
            <wp:extent cx="5760720" cy="3840480"/>
            <wp:effectExtent l="0" t="0" r="0" b="7620"/>
            <wp:docPr id="52"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 52"/>
                    <pic:cNvPicPr>
                      <a:picLocks noChangeAspect="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000516AA" w14:textId="77777777" w:rsidR="00733207" w:rsidRDefault="00912BAE">
      <w:pPr>
        <w:spacing w:before="120" w:after="120" w:line="360" w:lineRule="auto"/>
        <w:jc w:val="center"/>
        <w:rPr>
          <w:rFonts w:ascii="Rockwell" w:hAnsi="Rockwell" w:cs="Times New Roman"/>
          <w:i/>
          <w:sz w:val="18"/>
          <w:szCs w:val="18"/>
        </w:rPr>
      </w:pPr>
      <w:r>
        <w:rPr>
          <w:rFonts w:ascii="Rockwell" w:hAnsi="Rockwell" w:cs="Times New Roman"/>
          <w:i/>
          <w:sz w:val="18"/>
          <w:szCs w:val="18"/>
        </w:rPr>
        <w:t xml:space="preserve">Le Président BAMOGO en visite au Journal L’Observateur </w:t>
      </w:r>
      <w:proofErr w:type="spellStart"/>
      <w:r>
        <w:rPr>
          <w:rFonts w:ascii="Rockwell" w:hAnsi="Rockwell" w:cs="Times New Roman"/>
          <w:i/>
          <w:sz w:val="18"/>
          <w:szCs w:val="18"/>
        </w:rPr>
        <w:t>Paalga</w:t>
      </w:r>
      <w:proofErr w:type="spellEnd"/>
    </w:p>
    <w:p w14:paraId="5E431773" w14:textId="77777777" w:rsidR="00733207" w:rsidRDefault="00733207">
      <w:pPr>
        <w:spacing w:before="120" w:after="120" w:line="360" w:lineRule="auto"/>
        <w:jc w:val="both"/>
        <w:rPr>
          <w:rFonts w:ascii="Rockwell" w:hAnsi="Rockwell" w:cs="Times New Roman"/>
          <w:i/>
          <w:sz w:val="26"/>
          <w:szCs w:val="26"/>
        </w:rPr>
      </w:pPr>
    </w:p>
    <w:p w14:paraId="4EE7909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 Le Président a effectué une visite, le 12 juin 2023, dans les locaux de </w:t>
      </w:r>
      <w:r>
        <w:rPr>
          <w:rFonts w:ascii="Rockwell" w:hAnsi="Rockwell" w:cs="Times New Roman"/>
          <w:i/>
          <w:sz w:val="26"/>
          <w:szCs w:val="26"/>
        </w:rPr>
        <w:t>Tam- Tam Groupe Presse</w:t>
      </w:r>
      <w:r>
        <w:rPr>
          <w:rFonts w:ascii="Rockwell" w:hAnsi="Rockwell" w:cs="Times New Roman"/>
          <w:sz w:val="26"/>
          <w:szCs w:val="26"/>
        </w:rPr>
        <w:t xml:space="preserve"> dont les filiales, la radio </w:t>
      </w:r>
      <w:r>
        <w:rPr>
          <w:rFonts w:ascii="Rockwell" w:hAnsi="Rockwell" w:cs="Times New Roman"/>
          <w:i/>
          <w:sz w:val="26"/>
          <w:szCs w:val="26"/>
        </w:rPr>
        <w:t>Wat FM</w:t>
      </w:r>
      <w:r>
        <w:rPr>
          <w:rFonts w:ascii="Rockwell" w:hAnsi="Rockwell" w:cs="Times New Roman"/>
          <w:sz w:val="26"/>
          <w:szCs w:val="26"/>
        </w:rPr>
        <w:t xml:space="preserve"> et la télévision </w:t>
      </w:r>
      <w:r>
        <w:rPr>
          <w:rFonts w:ascii="Rockwell" w:hAnsi="Rockwell" w:cs="Times New Roman"/>
          <w:i/>
          <w:sz w:val="26"/>
          <w:szCs w:val="26"/>
        </w:rPr>
        <w:t>3TV</w:t>
      </w:r>
      <w:r>
        <w:rPr>
          <w:rFonts w:ascii="Rockwell" w:hAnsi="Rockwell" w:cs="Times New Roman"/>
          <w:sz w:val="26"/>
          <w:szCs w:val="26"/>
        </w:rPr>
        <w:t xml:space="preserve">, ont été victimes d’intempéries. </w:t>
      </w:r>
    </w:p>
    <w:p w14:paraId="24A3A5B6"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A travers ces visites, le Président du CSC a pu toucher du doigt, les conditions de travail des femmes et hommes desdits médias. Il a félicité et encouragé les travailleurs de ces structures qui font déjà un travail remarquable pour satisfaire le droit à l’information des citoyens. Il les a, par ailleurs, exhortés à rester professionnels dans ce contexte de crise sécuritaire et de tension sociale. Enfin, il les a invités à toujours privilégier l’intérêt supérieur de la nation et à faire en sorte que leur travail serve à renforcer ou à construire la cohésion sociale au Burkina Faso. </w:t>
      </w:r>
    </w:p>
    <w:p w14:paraId="35190651" w14:textId="77777777" w:rsidR="00733207" w:rsidRDefault="00733207">
      <w:pPr>
        <w:spacing w:before="120" w:after="120" w:line="360" w:lineRule="auto"/>
        <w:jc w:val="both"/>
        <w:rPr>
          <w:rFonts w:ascii="Rockwell" w:hAnsi="Rockwell" w:cs="Times New Roman"/>
          <w:sz w:val="26"/>
          <w:szCs w:val="26"/>
        </w:rPr>
      </w:pPr>
    </w:p>
    <w:p w14:paraId="3DC8675B" w14:textId="77777777" w:rsidR="00733207" w:rsidRDefault="00733207">
      <w:pPr>
        <w:spacing w:before="120" w:after="120" w:line="360" w:lineRule="auto"/>
        <w:jc w:val="both"/>
        <w:rPr>
          <w:rFonts w:ascii="Rockwell" w:hAnsi="Rockwell" w:cs="Times New Roman"/>
          <w:sz w:val="26"/>
          <w:szCs w:val="26"/>
        </w:rPr>
      </w:pPr>
    </w:p>
    <w:p w14:paraId="1C142B0B" w14:textId="77777777" w:rsidR="00733207" w:rsidRDefault="00912BAE">
      <w:pPr>
        <w:pStyle w:val="Titre4"/>
        <w:spacing w:before="120" w:after="120" w:line="360" w:lineRule="auto"/>
        <w:jc w:val="center"/>
        <w:rPr>
          <w:rFonts w:ascii="Rockwell" w:hAnsi="Rockwell" w:cs="Times New Roman"/>
          <w:b/>
          <w:i w:val="0"/>
          <w:color w:val="auto"/>
          <w:sz w:val="28"/>
          <w:szCs w:val="28"/>
        </w:rPr>
      </w:pPr>
      <w:bookmarkStart w:id="441" w:name="_Toc175128561"/>
      <w:bookmarkStart w:id="442" w:name="_Toc169855205"/>
      <w:r>
        <w:rPr>
          <w:rFonts w:ascii="Rockwell" w:hAnsi="Rockwell" w:cs="Times New Roman"/>
          <w:b/>
          <w:i w:val="0"/>
          <w:color w:val="auto"/>
          <w:sz w:val="28"/>
          <w:szCs w:val="28"/>
        </w:rPr>
        <w:lastRenderedPageBreak/>
        <w:t>Paragraphe 2 : Visites de courtoisie</w:t>
      </w:r>
      <w:bookmarkEnd w:id="441"/>
      <w:bookmarkEnd w:id="442"/>
    </w:p>
    <w:p w14:paraId="4CC401C3" w14:textId="77777777" w:rsidR="00733207" w:rsidRDefault="00733207">
      <w:pPr>
        <w:jc w:val="both"/>
        <w:rPr>
          <w:rFonts w:ascii="Rockwell" w:hAnsi="Rockwell"/>
          <w:sz w:val="10"/>
          <w:szCs w:val="10"/>
        </w:rPr>
      </w:pPr>
    </w:p>
    <w:p w14:paraId="16847B98" w14:textId="77777777" w:rsidR="00733207" w:rsidRDefault="00912BAE">
      <w:pPr>
        <w:pStyle w:val="Titre5"/>
        <w:spacing w:before="120" w:after="120" w:line="360" w:lineRule="auto"/>
        <w:jc w:val="center"/>
        <w:rPr>
          <w:rFonts w:ascii="Rockwell" w:eastAsia="Calibri" w:hAnsi="Rockwell"/>
          <w:color w:val="auto"/>
          <w:sz w:val="26"/>
          <w:szCs w:val="26"/>
        </w:rPr>
      </w:pPr>
      <w:bookmarkStart w:id="443" w:name="_Toc169855206"/>
      <w:bookmarkStart w:id="444" w:name="_Toc175128562"/>
      <w:r>
        <w:rPr>
          <w:rFonts w:ascii="Rockwell" w:hAnsi="Rockwell"/>
          <w:color w:val="auto"/>
          <w:sz w:val="26"/>
          <w:szCs w:val="26"/>
        </w:rPr>
        <w:t>2.1.</w:t>
      </w:r>
      <w:r>
        <w:rPr>
          <w:rFonts w:ascii="Rockwell" w:eastAsia="Calibri" w:hAnsi="Rockwell"/>
          <w:color w:val="auto"/>
          <w:sz w:val="26"/>
          <w:szCs w:val="26"/>
        </w:rPr>
        <w:t xml:space="preserve"> A Madame la ministre en charge de la Justice</w:t>
      </w:r>
      <w:bookmarkEnd w:id="443"/>
      <w:bookmarkEnd w:id="444"/>
    </w:p>
    <w:p w14:paraId="73864351" w14:textId="77777777" w:rsidR="00733207" w:rsidRDefault="00733207">
      <w:pPr>
        <w:jc w:val="both"/>
        <w:rPr>
          <w:rFonts w:ascii="Rockwell" w:hAnsi="Rockwell"/>
          <w:sz w:val="6"/>
          <w:szCs w:val="6"/>
        </w:rPr>
      </w:pPr>
    </w:p>
    <w:p w14:paraId="00D1771C"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sz w:val="26"/>
          <w:szCs w:val="26"/>
        </w:rPr>
        <w:t xml:space="preserve">Le Président a été reçu, le 07 mars 2023, par Madame la ministre de la Justice et des Droits humains, chargée des Relations avec les institutions, Madame </w:t>
      </w:r>
      <w:proofErr w:type="spellStart"/>
      <w:r>
        <w:rPr>
          <w:rFonts w:ascii="Rockwell" w:eastAsia="Calibri" w:hAnsi="Rockwell" w:cs="Times New Roman"/>
          <w:sz w:val="26"/>
          <w:szCs w:val="26"/>
        </w:rPr>
        <w:t>Bibata</w:t>
      </w:r>
      <w:proofErr w:type="spellEnd"/>
      <w:r>
        <w:rPr>
          <w:rFonts w:ascii="Rockwell" w:eastAsia="Calibri" w:hAnsi="Rockwell" w:cs="Times New Roman"/>
          <w:sz w:val="26"/>
          <w:szCs w:val="26"/>
        </w:rPr>
        <w:t xml:space="preserve"> NEBIE/OUEDRAOGO. Il est allé la remercier du rôle joué dans la sortie de crise au CSC et partager avec elle, l’actualité de l’institution. Il a rassuré la ministre de la bonne reprise des activités de l’institution qui fonctionne de nouveau à plein régime. Les deux personnalités ont en outre, fait un tour d’horizon de plusieurs sujets d’intérêt, notamment, les réformes en perspective dans le secteur de l’information et de la communication. Pour ces chantiers et toutes les initiatives en vue de l’élargissement des espaces de liberté, le Président a dit compter sur le soutien du ministre en charge des relations avec les institutions.</w:t>
      </w:r>
    </w:p>
    <w:p w14:paraId="7ED32A3C" w14:textId="77777777" w:rsidR="00733207" w:rsidRDefault="00912BAE">
      <w:pPr>
        <w:spacing w:before="120" w:after="120" w:line="360" w:lineRule="auto"/>
        <w:jc w:val="both"/>
        <w:rPr>
          <w:rFonts w:ascii="Rockwell" w:eastAsia="Calibri" w:hAnsi="Rockwell" w:cs="Times New Roman"/>
          <w:sz w:val="26"/>
          <w:szCs w:val="26"/>
        </w:rPr>
      </w:pPr>
      <w:r>
        <w:rPr>
          <w:rFonts w:ascii="Rockwell" w:eastAsia="Calibri" w:hAnsi="Rockwell" w:cs="Times New Roman"/>
          <w:noProof/>
          <w:sz w:val="26"/>
          <w:szCs w:val="26"/>
          <w:lang w:eastAsia="fr-FR"/>
        </w:rPr>
        <w:drawing>
          <wp:inline distT="0" distB="0" distL="0" distR="0" wp14:anchorId="13675AE4" wp14:editId="7F16A2E2">
            <wp:extent cx="5760720" cy="3840480"/>
            <wp:effectExtent l="0" t="0" r="0" b="7620"/>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 43"/>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0608416E" w14:textId="77777777" w:rsidR="00733207" w:rsidRDefault="00912BAE">
      <w:pPr>
        <w:spacing w:before="120" w:after="120" w:line="360" w:lineRule="auto"/>
        <w:jc w:val="center"/>
        <w:rPr>
          <w:rFonts w:ascii="Rockwell" w:eastAsia="Calibri" w:hAnsi="Rockwell" w:cs="Times New Roman"/>
          <w:i/>
          <w:sz w:val="18"/>
          <w:szCs w:val="18"/>
        </w:rPr>
      </w:pPr>
      <w:r>
        <w:rPr>
          <w:rFonts w:ascii="Rockwell" w:eastAsia="Calibri" w:hAnsi="Rockwell" w:cs="Times New Roman"/>
          <w:i/>
          <w:sz w:val="18"/>
          <w:szCs w:val="18"/>
        </w:rPr>
        <w:t>Madame le ministre en charge de la Justice échangeant avec Monsieur le Président du CSC</w:t>
      </w:r>
    </w:p>
    <w:p w14:paraId="3B5C229E" w14:textId="77777777" w:rsidR="00733207" w:rsidRDefault="00912BAE">
      <w:pPr>
        <w:pStyle w:val="Titre5"/>
        <w:numPr>
          <w:ilvl w:val="1"/>
          <w:numId w:val="30"/>
        </w:numPr>
        <w:spacing w:before="240" w:after="240" w:line="360" w:lineRule="auto"/>
        <w:ind w:hanging="436"/>
        <w:jc w:val="center"/>
        <w:rPr>
          <w:rFonts w:ascii="Rockwell" w:hAnsi="Rockwell"/>
          <w:color w:val="auto"/>
          <w:sz w:val="26"/>
          <w:szCs w:val="26"/>
        </w:rPr>
      </w:pPr>
      <w:bookmarkStart w:id="445" w:name="_Toc169855207"/>
      <w:r>
        <w:rPr>
          <w:rFonts w:ascii="Rockwell" w:eastAsia="Calibri" w:hAnsi="Rockwell"/>
          <w:color w:val="auto"/>
          <w:sz w:val="26"/>
          <w:szCs w:val="26"/>
        </w:rPr>
        <w:lastRenderedPageBreak/>
        <w:t xml:space="preserve"> </w:t>
      </w:r>
      <w:bookmarkStart w:id="446" w:name="_Toc175128563"/>
      <w:r>
        <w:rPr>
          <w:rFonts w:ascii="Rockwell" w:eastAsia="Calibri" w:hAnsi="Rockwell"/>
          <w:color w:val="auto"/>
          <w:sz w:val="26"/>
          <w:szCs w:val="26"/>
        </w:rPr>
        <w:t xml:space="preserve">A la </w:t>
      </w:r>
      <w:r>
        <w:rPr>
          <w:rFonts w:ascii="Rockwell" w:hAnsi="Rockwell"/>
          <w:color w:val="auto"/>
          <w:sz w:val="26"/>
          <w:szCs w:val="26"/>
        </w:rPr>
        <w:t>Brigade numérique de veille, d’alerte et d’assistance de la Gendarmerie nationale (BNVAA)</w:t>
      </w:r>
      <w:bookmarkEnd w:id="445"/>
      <w:bookmarkEnd w:id="446"/>
    </w:p>
    <w:p w14:paraId="58A8C9EF" w14:textId="77777777" w:rsidR="00733207" w:rsidRDefault="00733207">
      <w:pPr>
        <w:pStyle w:val="Paragraphedeliste"/>
        <w:jc w:val="both"/>
        <w:rPr>
          <w:rFonts w:ascii="Rockwell" w:hAnsi="Rockwell"/>
          <w:sz w:val="10"/>
          <w:szCs w:val="10"/>
        </w:rPr>
      </w:pPr>
    </w:p>
    <w:p w14:paraId="5E57BB0D" w14:textId="45FA0996" w:rsidR="00733207" w:rsidRDefault="00912BAE">
      <w:pPr>
        <w:spacing w:before="120" w:after="120" w:line="360" w:lineRule="auto"/>
        <w:jc w:val="both"/>
        <w:rPr>
          <w:rFonts w:ascii="Rockwell" w:eastAsia="Calibri" w:hAnsi="Rockwell" w:cs="Times New Roman"/>
          <w:sz w:val="26"/>
          <w:szCs w:val="26"/>
        </w:rPr>
      </w:pPr>
      <w:r>
        <w:rPr>
          <w:rFonts w:ascii="Rockwell" w:hAnsi="Rockwell" w:cs="Times New Roman"/>
          <w:sz w:val="26"/>
          <w:szCs w:val="26"/>
        </w:rPr>
        <w:t xml:space="preserve">Le Président a visité la Brigade numérique de veille, d’alerte et d’assistance de la Gendarmerie nationale (BNVAA), sise à l’Etat-Major de la Gendarmerie nationale, le 24 mai 2023. A l'occasion, il a félicité les premiers responsables de cette institution pour cette innovation qui les rapproche davantage </w:t>
      </w:r>
      <w:r w:rsidR="009F165A">
        <w:rPr>
          <w:rFonts w:ascii="Rockwell" w:hAnsi="Rockwell" w:cs="Times New Roman"/>
          <w:sz w:val="26"/>
          <w:szCs w:val="26"/>
        </w:rPr>
        <w:t xml:space="preserve">des </w:t>
      </w:r>
      <w:r>
        <w:rPr>
          <w:rFonts w:ascii="Rockwell" w:hAnsi="Rockwell" w:cs="Times New Roman"/>
          <w:sz w:val="26"/>
          <w:szCs w:val="26"/>
        </w:rPr>
        <w:t xml:space="preserve">populations dans le cadre de la protection des citoyens et de leurs biens. </w:t>
      </w:r>
    </w:p>
    <w:p w14:paraId="66AFCAC5"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Selon le Commandant de la BNVAA, l’Adjudant Christian KIEMA, cette Brigade, à l’écoute des usagers, est accessible 7 jours sur 7 et 24 heures sur 24, sur toute l’étendue du territoire, pour répondre aux différentes sollicitations, notamment les plaintes, les demandes de secours, l’assistance, les dénonciations, les témoignages.</w:t>
      </w:r>
    </w:p>
    <w:p w14:paraId="0102DAB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A la fin de la visite, le Président a marqué la disponibilité du CSC à une éventuelle collaboration avec la BNVAA, notamment dans le domaine du renforcement des capacités communicationnelles des hommes et femmes qui animent cette Brigade.   </w:t>
      </w:r>
    </w:p>
    <w:p w14:paraId="4B916F07" w14:textId="77777777" w:rsidR="00733207" w:rsidRDefault="00733207">
      <w:pPr>
        <w:spacing w:before="120" w:after="120" w:line="360" w:lineRule="auto"/>
        <w:jc w:val="both"/>
        <w:rPr>
          <w:rFonts w:ascii="Rockwell" w:hAnsi="Rockwell" w:cs="Times New Roman"/>
          <w:sz w:val="26"/>
          <w:szCs w:val="26"/>
        </w:rPr>
        <w:sectPr w:rsidR="00733207">
          <w:pgSz w:w="11906" w:h="16838"/>
          <w:pgMar w:top="1417" w:right="1417" w:bottom="1417" w:left="1417" w:header="708" w:footer="708" w:gutter="0"/>
          <w:cols w:space="708"/>
          <w:docGrid w:linePitch="360"/>
        </w:sectPr>
      </w:pPr>
    </w:p>
    <w:p w14:paraId="1757FE94" w14:textId="77777777" w:rsidR="00733207" w:rsidRDefault="00912BAE">
      <w:pPr>
        <w:pStyle w:val="Titre2"/>
        <w:spacing w:before="120" w:after="120" w:line="360" w:lineRule="auto"/>
        <w:jc w:val="center"/>
        <w:rPr>
          <w:rFonts w:ascii="Rockwell" w:hAnsi="Rockwell" w:cs="Times New Roman"/>
          <w:b/>
          <w:color w:val="auto"/>
          <w:sz w:val="30"/>
          <w:szCs w:val="30"/>
        </w:rPr>
      </w:pPr>
      <w:bookmarkStart w:id="447" w:name="_Toc170209348"/>
      <w:bookmarkStart w:id="448" w:name="_Toc175128564"/>
      <w:bookmarkStart w:id="449" w:name="_Toc169854387"/>
      <w:bookmarkStart w:id="450" w:name="_Toc169855208"/>
      <w:r>
        <w:rPr>
          <w:rFonts w:ascii="Rockwell" w:hAnsi="Rockwell" w:cs="Times New Roman"/>
          <w:b/>
          <w:color w:val="auto"/>
          <w:sz w:val="30"/>
          <w:szCs w:val="30"/>
        </w:rPr>
        <w:lastRenderedPageBreak/>
        <w:t xml:space="preserve">CHAPITRE II : COOPERATION ET </w:t>
      </w:r>
      <w:bookmarkEnd w:id="388"/>
      <w:bookmarkEnd w:id="389"/>
      <w:bookmarkEnd w:id="390"/>
      <w:r>
        <w:rPr>
          <w:rFonts w:ascii="Rockwell" w:hAnsi="Rockwell" w:cs="Times New Roman"/>
          <w:b/>
          <w:color w:val="auto"/>
          <w:sz w:val="30"/>
          <w:szCs w:val="30"/>
        </w:rPr>
        <w:t>PARTENARIAT</w:t>
      </w:r>
      <w:bookmarkEnd w:id="447"/>
      <w:bookmarkEnd w:id="448"/>
      <w:bookmarkEnd w:id="449"/>
      <w:bookmarkEnd w:id="450"/>
    </w:p>
    <w:p w14:paraId="25CE32A2" w14:textId="77777777" w:rsidR="00733207" w:rsidRDefault="00733207">
      <w:pPr>
        <w:jc w:val="both"/>
        <w:rPr>
          <w:rFonts w:ascii="Rockwell" w:hAnsi="Rockwell"/>
        </w:rPr>
      </w:pPr>
    </w:p>
    <w:p w14:paraId="72793389" w14:textId="77777777" w:rsidR="00733207" w:rsidRDefault="00912BAE">
      <w:pPr>
        <w:spacing w:before="120" w:after="120" w:line="360" w:lineRule="auto"/>
        <w:ind w:right="-284"/>
        <w:jc w:val="both"/>
        <w:rPr>
          <w:rFonts w:ascii="Rockwell" w:hAnsi="Rockwell" w:cs="Times New Roman"/>
          <w:sz w:val="26"/>
          <w:szCs w:val="26"/>
        </w:rPr>
      </w:pPr>
      <w:r>
        <w:rPr>
          <w:rFonts w:ascii="Rockwell" w:hAnsi="Rockwell" w:cs="Times New Roman"/>
          <w:sz w:val="26"/>
          <w:szCs w:val="26"/>
        </w:rPr>
        <w:t>Le Conseil supérieur de la communication entretient d’excellentes relations de coopération, non seulement au plan national (section 1), mais aussi au niveau sous-régional et régional où il contribue activement à l’animation de la vie des réseaux et structures de régulation de la communication (section 2).</w:t>
      </w:r>
    </w:p>
    <w:p w14:paraId="2EBB01F0" w14:textId="77777777" w:rsidR="00733207" w:rsidRDefault="00733207">
      <w:pPr>
        <w:spacing w:before="120" w:after="120" w:line="360" w:lineRule="auto"/>
        <w:ind w:right="-284"/>
        <w:jc w:val="both"/>
        <w:rPr>
          <w:rFonts w:ascii="Rockwell" w:hAnsi="Rockwell" w:cs="Times New Roman"/>
          <w:sz w:val="26"/>
          <w:szCs w:val="26"/>
        </w:rPr>
      </w:pPr>
    </w:p>
    <w:p w14:paraId="57460EB5" w14:textId="77777777" w:rsidR="00733207" w:rsidRPr="009F165A" w:rsidRDefault="00912BAE">
      <w:pPr>
        <w:pStyle w:val="Titre3"/>
        <w:spacing w:before="120" w:after="120" w:line="360" w:lineRule="auto"/>
        <w:jc w:val="center"/>
        <w:rPr>
          <w:rFonts w:ascii="Rockwell" w:hAnsi="Rockwell" w:cs="Times New Roman"/>
          <w:b/>
          <w:i/>
          <w:color w:val="auto"/>
          <w:sz w:val="28"/>
          <w:szCs w:val="28"/>
        </w:rPr>
      </w:pPr>
      <w:bookmarkStart w:id="451" w:name="_Toc175128565"/>
      <w:bookmarkStart w:id="452" w:name="_Toc141088442"/>
      <w:bookmarkStart w:id="453" w:name="_Toc169855209"/>
      <w:bookmarkStart w:id="454" w:name="_Toc169854388"/>
      <w:bookmarkStart w:id="455" w:name="_Toc141088590"/>
      <w:bookmarkStart w:id="456" w:name="_Toc170209349"/>
      <w:bookmarkStart w:id="457" w:name="_Toc138337990"/>
      <w:r w:rsidRPr="009F165A">
        <w:rPr>
          <w:rFonts w:ascii="Rockwell" w:hAnsi="Rockwell" w:cs="Times New Roman"/>
          <w:b/>
          <w:i/>
          <w:color w:val="auto"/>
          <w:sz w:val="28"/>
          <w:szCs w:val="28"/>
        </w:rPr>
        <w:t>SECTION 1 : COOPERATION AU PLAN NATIONAL</w:t>
      </w:r>
      <w:bookmarkEnd w:id="451"/>
      <w:bookmarkEnd w:id="452"/>
      <w:bookmarkEnd w:id="453"/>
      <w:bookmarkEnd w:id="454"/>
      <w:bookmarkEnd w:id="455"/>
      <w:bookmarkEnd w:id="456"/>
      <w:bookmarkEnd w:id="457"/>
    </w:p>
    <w:p w14:paraId="35AF0A46" w14:textId="77777777" w:rsidR="00733207" w:rsidRDefault="00733207">
      <w:pPr>
        <w:jc w:val="both"/>
        <w:rPr>
          <w:rFonts w:ascii="Rockwell" w:hAnsi="Rockwell"/>
          <w:i/>
        </w:rPr>
      </w:pPr>
    </w:p>
    <w:p w14:paraId="1729F513" w14:textId="11DF5CFA" w:rsidR="00733207" w:rsidRDefault="00912BAE">
      <w:pPr>
        <w:pStyle w:val="Titre4"/>
        <w:spacing w:before="120" w:after="120" w:line="360" w:lineRule="auto"/>
        <w:jc w:val="center"/>
        <w:rPr>
          <w:rFonts w:ascii="Rockwell" w:hAnsi="Rockwell" w:cs="Times New Roman"/>
          <w:b/>
          <w:i w:val="0"/>
          <w:color w:val="auto"/>
          <w:sz w:val="28"/>
          <w:szCs w:val="28"/>
        </w:rPr>
      </w:pPr>
      <w:bookmarkStart w:id="458" w:name="_Toc169855210"/>
      <w:bookmarkStart w:id="459" w:name="_Toc141088591"/>
      <w:bookmarkStart w:id="460" w:name="_Toc175128566"/>
      <w:r>
        <w:rPr>
          <w:rFonts w:ascii="Rockwell" w:hAnsi="Rockwell" w:cs="Times New Roman"/>
          <w:b/>
          <w:i w:val="0"/>
          <w:color w:val="auto"/>
          <w:sz w:val="28"/>
          <w:szCs w:val="28"/>
        </w:rPr>
        <w:t xml:space="preserve">Paragraphe 1 : </w:t>
      </w:r>
      <w:r w:rsidR="009F165A">
        <w:rPr>
          <w:rFonts w:ascii="Rockwell" w:hAnsi="Rockwell" w:cs="Times New Roman"/>
          <w:b/>
          <w:i w:val="0"/>
          <w:color w:val="auto"/>
          <w:sz w:val="28"/>
          <w:szCs w:val="28"/>
        </w:rPr>
        <w:t xml:space="preserve">Coopération </w:t>
      </w:r>
      <w:r>
        <w:rPr>
          <w:rFonts w:ascii="Rockwell" w:hAnsi="Rockwell" w:cs="Times New Roman"/>
          <w:b/>
          <w:i w:val="0"/>
          <w:color w:val="auto"/>
          <w:sz w:val="28"/>
          <w:szCs w:val="28"/>
        </w:rPr>
        <w:t>avec l</w:t>
      </w:r>
      <w:r w:rsidR="000A5BE8">
        <w:rPr>
          <w:rFonts w:ascii="Rockwell" w:hAnsi="Rockwell" w:cs="Times New Roman"/>
          <w:b/>
          <w:i w:val="0"/>
          <w:color w:val="auto"/>
          <w:sz w:val="28"/>
          <w:szCs w:val="28"/>
        </w:rPr>
        <w:t>’Ambassade du</w:t>
      </w:r>
      <w:r>
        <w:rPr>
          <w:rFonts w:ascii="Rockwell" w:hAnsi="Rockwell" w:cs="Times New Roman"/>
          <w:b/>
          <w:i w:val="0"/>
          <w:color w:val="auto"/>
          <w:sz w:val="28"/>
          <w:szCs w:val="28"/>
        </w:rPr>
        <w:t xml:space="preserve"> Japon</w:t>
      </w:r>
      <w:bookmarkEnd w:id="458"/>
      <w:bookmarkEnd w:id="459"/>
      <w:bookmarkEnd w:id="460"/>
      <w:r w:rsidR="000A5BE8">
        <w:rPr>
          <w:rFonts w:ascii="Rockwell" w:hAnsi="Rockwell" w:cs="Times New Roman"/>
          <w:b/>
          <w:i w:val="0"/>
          <w:color w:val="auto"/>
          <w:sz w:val="28"/>
          <w:szCs w:val="28"/>
        </w:rPr>
        <w:t xml:space="preserve"> au Burkina Faso</w:t>
      </w:r>
    </w:p>
    <w:p w14:paraId="3FABA4FB" w14:textId="77777777" w:rsidR="00733207" w:rsidRDefault="00733207">
      <w:pPr>
        <w:jc w:val="both"/>
        <w:rPr>
          <w:rFonts w:ascii="Rockwell" w:hAnsi="Rockwell"/>
          <w:sz w:val="16"/>
          <w:szCs w:val="16"/>
        </w:rPr>
      </w:pPr>
    </w:p>
    <w:p w14:paraId="36E50B2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La coopération entre le CSC et l’Ambassade du Japon au Burkina Faso est excellente. Elle est la résultante du Plan stratégique 2017-2021 du CSC et se matérialise par le soutien nippon, apporté à d’importants projets infrastructurels, afin de permettre à l’instance de régulation de mieux remplir sa mission. Une visite de courtoisie au Président </w:t>
      </w:r>
      <w:proofErr w:type="spellStart"/>
      <w:r>
        <w:rPr>
          <w:rFonts w:ascii="Rockwell" w:hAnsi="Rockwell" w:cs="Times New Roman"/>
          <w:sz w:val="26"/>
          <w:szCs w:val="26"/>
        </w:rPr>
        <w:t>Abdoulazize</w:t>
      </w:r>
      <w:proofErr w:type="spellEnd"/>
      <w:r>
        <w:rPr>
          <w:rFonts w:ascii="Rockwell" w:hAnsi="Rockwell" w:cs="Times New Roman"/>
          <w:sz w:val="26"/>
          <w:szCs w:val="26"/>
        </w:rPr>
        <w:t xml:space="preserve"> BAMOGO effectuée par l’Ambassadeur Kato MASAAKI, le 12 mai 2023, a permis aux deux personnalités de faire le point de la coopération, et particulièrement, des projets d’extension du siège du CSC à Ouagadougou et de construction de la délégation régionale du Nord à Ouahigouya.  </w:t>
      </w:r>
    </w:p>
    <w:p w14:paraId="0BEA7699"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Après cette visite de courtoisie, Son Excellence a, à nouveau, été reçu en audience le 27 juillet 2023. Les échanges ont surtout porté sur l’état d’avancement de la coopération entre les deux institutions. </w:t>
      </w:r>
    </w:p>
    <w:p w14:paraId="3CD4765E"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Président a remercié le diplomate nippon pour le soutien apporté au CSC en vue de la construction de sa Délégation régionale du Nord (DRN) à Ouahigouya. Cet accompagnement, a-t-il ajouté, est très important au regard du contexte de défi sécuritaire et permettra au régulateur d’être proche des </w:t>
      </w:r>
      <w:r>
        <w:rPr>
          <w:rFonts w:ascii="Rockwell" w:hAnsi="Rockwell" w:cs="Times New Roman"/>
          <w:sz w:val="26"/>
          <w:szCs w:val="26"/>
        </w:rPr>
        <w:lastRenderedPageBreak/>
        <w:t xml:space="preserve">médias ainsi que des populations de la région. Le Président a également remis à l’Ambassadeur les quatre (04) instruments destinés aux acteurs médiatiques et aux citoyens burkinabè, avant de le désigner </w:t>
      </w:r>
      <w:r>
        <w:rPr>
          <w:rFonts w:ascii="Rockwell" w:hAnsi="Rockwell" w:cs="Times New Roman"/>
          <w:i/>
          <w:sz w:val="26"/>
          <w:szCs w:val="26"/>
        </w:rPr>
        <w:t>Ambassadeur du CSC</w:t>
      </w:r>
      <w:r>
        <w:rPr>
          <w:rFonts w:ascii="Rockwell" w:hAnsi="Rockwell" w:cs="Times New Roman"/>
          <w:sz w:val="26"/>
          <w:szCs w:val="26"/>
        </w:rPr>
        <w:t xml:space="preserve">. </w:t>
      </w:r>
    </w:p>
    <w:p w14:paraId="3DCDC32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Pour sa part, l’Ambassadeur, Kato MASAAKI, s’est dit fier du travail accompli par le CSC. Il a indiqué que son institution continuera de soutenir l’instance de régulation de la communication qui joue un rôle important dans la sensibilisation des populations, surtout de la jeunesse. </w:t>
      </w:r>
    </w:p>
    <w:p w14:paraId="19C36756" w14:textId="77777777" w:rsidR="00733207" w:rsidRDefault="00733207">
      <w:pPr>
        <w:spacing w:before="120" w:after="120" w:line="360" w:lineRule="auto"/>
        <w:jc w:val="both"/>
        <w:rPr>
          <w:rFonts w:ascii="Rockwell" w:hAnsi="Rockwell" w:cs="Times New Roman"/>
          <w:sz w:val="26"/>
          <w:szCs w:val="26"/>
        </w:rPr>
      </w:pPr>
    </w:p>
    <w:p w14:paraId="7860175E" w14:textId="0ED67C4D" w:rsidR="00733207" w:rsidRDefault="00912BAE">
      <w:pPr>
        <w:pStyle w:val="Titre4"/>
        <w:spacing w:before="240" w:after="240" w:line="360" w:lineRule="auto"/>
        <w:jc w:val="center"/>
        <w:rPr>
          <w:rFonts w:ascii="Rockwell" w:hAnsi="Rockwell"/>
          <w:b/>
          <w:i w:val="0"/>
          <w:color w:val="auto"/>
          <w:sz w:val="28"/>
          <w:szCs w:val="28"/>
        </w:rPr>
      </w:pPr>
      <w:bookmarkStart w:id="461" w:name="_Toc175128567"/>
      <w:bookmarkStart w:id="462" w:name="_Toc141088592"/>
      <w:bookmarkStart w:id="463" w:name="_Toc169855211"/>
      <w:r>
        <w:rPr>
          <w:rFonts w:ascii="Rockwell" w:hAnsi="Rockwell"/>
          <w:b/>
          <w:i w:val="0"/>
          <w:color w:val="auto"/>
          <w:sz w:val="28"/>
          <w:szCs w:val="28"/>
        </w:rPr>
        <w:t xml:space="preserve">Paragraphe 2 : </w:t>
      </w:r>
      <w:r w:rsidR="00AF5387">
        <w:rPr>
          <w:rFonts w:ascii="Rockwell" w:hAnsi="Rockwell"/>
          <w:b/>
          <w:i w:val="0"/>
          <w:color w:val="auto"/>
          <w:sz w:val="28"/>
          <w:szCs w:val="28"/>
        </w:rPr>
        <w:t xml:space="preserve">Coopération </w:t>
      </w:r>
      <w:r>
        <w:rPr>
          <w:rFonts w:ascii="Rockwell" w:hAnsi="Rockwell"/>
          <w:b/>
          <w:i w:val="0"/>
          <w:color w:val="auto"/>
          <w:sz w:val="28"/>
          <w:szCs w:val="28"/>
        </w:rPr>
        <w:t xml:space="preserve">avec </w:t>
      </w:r>
      <w:r w:rsidR="000A5BE8">
        <w:rPr>
          <w:rFonts w:ascii="Rockwell" w:hAnsi="Rockwell"/>
          <w:b/>
          <w:i w:val="0"/>
          <w:color w:val="auto"/>
          <w:sz w:val="28"/>
          <w:szCs w:val="28"/>
        </w:rPr>
        <w:t xml:space="preserve">la représentation </w:t>
      </w:r>
      <w:r>
        <w:rPr>
          <w:rFonts w:ascii="Rockwell" w:hAnsi="Rockwell"/>
          <w:b/>
          <w:i w:val="0"/>
          <w:color w:val="auto"/>
          <w:sz w:val="28"/>
          <w:szCs w:val="28"/>
        </w:rPr>
        <w:t>Programme des Nations Unies pour le Développement (PNUD)</w:t>
      </w:r>
      <w:bookmarkEnd w:id="461"/>
      <w:bookmarkEnd w:id="462"/>
      <w:bookmarkEnd w:id="463"/>
      <w:r w:rsidR="000A5BE8" w:rsidRPr="000A5BE8">
        <w:rPr>
          <w:rFonts w:ascii="Rockwell" w:eastAsiaTheme="minorHAnsi" w:hAnsi="Rockwell" w:cs="Times New Roman"/>
          <w:b/>
          <w:iCs w:val="0"/>
          <w:color w:val="auto"/>
          <w:sz w:val="28"/>
          <w:szCs w:val="28"/>
        </w:rPr>
        <w:t xml:space="preserve"> </w:t>
      </w:r>
      <w:r w:rsidR="000A5BE8">
        <w:rPr>
          <w:rFonts w:ascii="Rockwell" w:eastAsiaTheme="minorHAnsi" w:hAnsi="Rockwell" w:cs="Times New Roman"/>
          <w:b/>
          <w:iCs w:val="0"/>
          <w:color w:val="auto"/>
          <w:sz w:val="28"/>
          <w:szCs w:val="28"/>
        </w:rPr>
        <w:t xml:space="preserve">au </w:t>
      </w:r>
      <w:r w:rsidR="000A5BE8" w:rsidRPr="000A5BE8">
        <w:rPr>
          <w:rFonts w:ascii="Rockwell" w:hAnsi="Rockwell"/>
          <w:b/>
          <w:i w:val="0"/>
          <w:color w:val="auto"/>
          <w:sz w:val="28"/>
          <w:szCs w:val="28"/>
        </w:rPr>
        <w:t>Burkina Faso</w:t>
      </w:r>
    </w:p>
    <w:p w14:paraId="196D7C25" w14:textId="77777777" w:rsidR="00733207" w:rsidRDefault="00733207">
      <w:pPr>
        <w:jc w:val="both"/>
        <w:rPr>
          <w:rFonts w:ascii="Rockwell" w:hAnsi="Rockwell"/>
        </w:rPr>
      </w:pPr>
    </w:p>
    <w:p w14:paraId="184048D2"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Outre les activités de formation réalisées dans le cadre des élections de 2020, la coopération avec le PNUD a permis, en 2023, l’élaboration d’un nouveau plan stratégique 2023-2027, celui de 2017-2021 ayant connu son terme. </w:t>
      </w:r>
    </w:p>
    <w:p w14:paraId="75366EA9" w14:textId="4B945C9D"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 CSC et le PNUD se sont également engagés sur de nouveaux chantiers. En effet, à la faveur de la séance de travail que le Président a eue, le 24 mars 2023, avec la Représentante-Résidente du Programme des Nations Unies pour le Développement (PNUD) au Burkina Faso, Madame Elsie Laurence CHOUCHOUNE, le point des chantiers entrepris ensemble, depuis quelques années, a été fait et des actions futures envisagées. Il s’agit, entre autres, de l’accompagnement du projet du CSC (Projet</w:t>
      </w:r>
      <w:r w:rsidR="000A5BE8">
        <w:rPr>
          <w:rFonts w:ascii="Rockwell" w:hAnsi="Rockwell" w:cs="Times New Roman"/>
          <w:sz w:val="26"/>
          <w:szCs w:val="26"/>
        </w:rPr>
        <w:t xml:space="preserve"> de</w:t>
      </w:r>
      <w:r>
        <w:rPr>
          <w:rFonts w:ascii="Rockwell" w:hAnsi="Rockwell" w:cs="Times New Roman"/>
          <w:sz w:val="26"/>
          <w:szCs w:val="26"/>
        </w:rPr>
        <w:t xml:space="preserve"> lutte contre </w:t>
      </w:r>
      <w:proofErr w:type="gramStart"/>
      <w:r>
        <w:rPr>
          <w:rFonts w:ascii="Rockwell" w:hAnsi="Rockwell" w:cs="Times New Roman"/>
          <w:sz w:val="26"/>
          <w:szCs w:val="26"/>
        </w:rPr>
        <w:t>les fake</w:t>
      </w:r>
      <w:proofErr w:type="gramEnd"/>
      <w:r>
        <w:rPr>
          <w:rFonts w:ascii="Rockwell" w:hAnsi="Rockwell" w:cs="Times New Roman"/>
          <w:sz w:val="26"/>
          <w:szCs w:val="26"/>
        </w:rPr>
        <w:t xml:space="preserve"> news et les discours de haine et de violence).</w:t>
      </w:r>
    </w:p>
    <w:p w14:paraId="7D366A5D" w14:textId="77777777" w:rsidR="00733207" w:rsidRDefault="00733207">
      <w:pPr>
        <w:spacing w:before="120" w:after="120" w:line="360" w:lineRule="auto"/>
        <w:jc w:val="both"/>
        <w:rPr>
          <w:rFonts w:ascii="Rockwell" w:hAnsi="Rockwell" w:cs="Times New Roman"/>
          <w:sz w:val="26"/>
          <w:szCs w:val="26"/>
        </w:rPr>
        <w:sectPr w:rsidR="00733207">
          <w:pgSz w:w="11906" w:h="16838"/>
          <w:pgMar w:top="1417" w:right="1417" w:bottom="1417" w:left="1417" w:header="708" w:footer="708" w:gutter="0"/>
          <w:cols w:space="708"/>
          <w:docGrid w:linePitch="360"/>
        </w:sectPr>
      </w:pPr>
    </w:p>
    <w:p w14:paraId="714E8496" w14:textId="77777777" w:rsidR="00733207" w:rsidRPr="000A5BE8" w:rsidRDefault="00912BAE">
      <w:pPr>
        <w:pStyle w:val="Titre3"/>
        <w:spacing w:before="120" w:after="120" w:line="360" w:lineRule="auto"/>
        <w:jc w:val="center"/>
        <w:rPr>
          <w:rFonts w:ascii="Rockwell" w:hAnsi="Rockwell" w:cs="Times New Roman"/>
          <w:b/>
          <w:i/>
          <w:color w:val="auto"/>
          <w:sz w:val="28"/>
          <w:szCs w:val="28"/>
        </w:rPr>
      </w:pPr>
      <w:bookmarkStart w:id="464" w:name="_Toc170209350"/>
      <w:bookmarkStart w:id="465" w:name="_Toc141088443"/>
      <w:bookmarkStart w:id="466" w:name="_Toc169854389"/>
      <w:bookmarkStart w:id="467" w:name="_Toc138337991"/>
      <w:bookmarkStart w:id="468" w:name="_Toc169855212"/>
      <w:bookmarkStart w:id="469" w:name="_Toc141088593"/>
      <w:bookmarkStart w:id="470" w:name="_Toc175128568"/>
      <w:r w:rsidRPr="000A5BE8">
        <w:rPr>
          <w:rFonts w:ascii="Rockwell" w:hAnsi="Rockwell" w:cs="Times New Roman"/>
          <w:b/>
          <w:i/>
          <w:color w:val="auto"/>
          <w:sz w:val="28"/>
          <w:szCs w:val="28"/>
        </w:rPr>
        <w:lastRenderedPageBreak/>
        <w:t>SECTION 2 : COOPERATION AU NIVEAU SOUS-REGIONAL ET REGIONAL</w:t>
      </w:r>
      <w:bookmarkEnd w:id="464"/>
      <w:bookmarkEnd w:id="465"/>
      <w:bookmarkEnd w:id="466"/>
      <w:bookmarkEnd w:id="467"/>
      <w:bookmarkEnd w:id="468"/>
      <w:bookmarkEnd w:id="469"/>
      <w:bookmarkEnd w:id="470"/>
    </w:p>
    <w:p w14:paraId="6C41571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Pour une régulation optimale de la communication, basée sur les bonnes pratiques mutuelles, les régulateurs africains se sont organisés en réseaux, à l’échelle internationale. Il s’agit du Réseau des instances africaines de régulation de la communication (RIARC), du Réseau francophone des régulateurs des médias (REFRAM), de la Plateforme des régulateurs de l’audiovisuel des pays membres de l’UEMOA et de la Guinée (PRA-UEMOA-GUINEE).</w:t>
      </w:r>
    </w:p>
    <w:p w14:paraId="21B6FD1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 CSC entretient, non seulement des relations d’amitié et de coopération avec les instances-sœurs de régulation de la communication de l’espace sous-régional, mais aussi, contribue à l’animation de la vie des différents réseaux à travers sa participation aux activités organisées.</w:t>
      </w:r>
    </w:p>
    <w:p w14:paraId="04179527" w14:textId="77777777" w:rsidR="00733207" w:rsidRDefault="00733207">
      <w:pPr>
        <w:spacing w:before="120" w:after="120" w:line="360" w:lineRule="auto"/>
        <w:jc w:val="both"/>
        <w:rPr>
          <w:rFonts w:ascii="Rockwell" w:hAnsi="Rockwell" w:cs="Times New Roman"/>
          <w:sz w:val="26"/>
          <w:szCs w:val="26"/>
        </w:rPr>
      </w:pPr>
    </w:p>
    <w:p w14:paraId="17C1A514" w14:textId="4B18D838" w:rsidR="00733207" w:rsidRDefault="00912BAE">
      <w:pPr>
        <w:pStyle w:val="Titre4"/>
        <w:spacing w:before="120" w:after="120" w:line="360" w:lineRule="auto"/>
        <w:jc w:val="center"/>
        <w:rPr>
          <w:rFonts w:ascii="Rockwell" w:hAnsi="Rockwell" w:cs="Times New Roman"/>
          <w:b/>
          <w:i w:val="0"/>
          <w:color w:val="auto"/>
          <w:sz w:val="28"/>
          <w:szCs w:val="28"/>
        </w:rPr>
      </w:pPr>
      <w:bookmarkStart w:id="471" w:name="_Toc169855213"/>
      <w:bookmarkStart w:id="472" w:name="_Toc141088594"/>
      <w:bookmarkStart w:id="473" w:name="_Toc175128569"/>
      <w:bookmarkStart w:id="474" w:name="_Toc138337992"/>
      <w:r>
        <w:rPr>
          <w:rFonts w:ascii="Rockwell" w:hAnsi="Rockwell" w:cs="Times New Roman"/>
          <w:b/>
          <w:i w:val="0"/>
          <w:color w:val="auto"/>
          <w:sz w:val="28"/>
          <w:szCs w:val="28"/>
        </w:rPr>
        <w:t xml:space="preserve">Paragraphe 1 : </w:t>
      </w:r>
      <w:r w:rsidR="00AF5387">
        <w:rPr>
          <w:rFonts w:ascii="Rockwell" w:hAnsi="Rockwell" w:cs="Times New Roman"/>
          <w:b/>
          <w:i w:val="0"/>
          <w:color w:val="auto"/>
          <w:sz w:val="28"/>
          <w:szCs w:val="28"/>
        </w:rPr>
        <w:t xml:space="preserve">Participation </w:t>
      </w:r>
      <w:r>
        <w:rPr>
          <w:rFonts w:ascii="Rockwell" w:hAnsi="Rockwell" w:cs="Times New Roman"/>
          <w:b/>
          <w:i w:val="0"/>
          <w:color w:val="auto"/>
          <w:sz w:val="28"/>
          <w:szCs w:val="28"/>
        </w:rPr>
        <w:t>du CSC aux activités des réseaux</w:t>
      </w:r>
      <w:bookmarkEnd w:id="471"/>
      <w:bookmarkEnd w:id="472"/>
      <w:bookmarkEnd w:id="473"/>
    </w:p>
    <w:p w14:paraId="7AE6B4AC" w14:textId="77777777" w:rsidR="00733207" w:rsidRDefault="00733207">
      <w:pPr>
        <w:pStyle w:val="Titre5"/>
        <w:spacing w:before="240" w:after="240"/>
        <w:jc w:val="center"/>
        <w:rPr>
          <w:rFonts w:ascii="Rockwell" w:hAnsi="Rockwell"/>
        </w:rPr>
      </w:pPr>
    </w:p>
    <w:p w14:paraId="7FAE2477" w14:textId="77777777" w:rsidR="00733207" w:rsidRDefault="00912BAE">
      <w:pPr>
        <w:pStyle w:val="Titre5"/>
        <w:numPr>
          <w:ilvl w:val="1"/>
          <w:numId w:val="31"/>
        </w:numPr>
        <w:spacing w:before="240" w:after="240"/>
        <w:jc w:val="center"/>
        <w:rPr>
          <w:rFonts w:ascii="Rockwell" w:hAnsi="Rockwell"/>
          <w:color w:val="auto"/>
          <w:sz w:val="26"/>
          <w:szCs w:val="26"/>
        </w:rPr>
      </w:pPr>
      <w:bookmarkStart w:id="475" w:name="_Toc175128570"/>
      <w:bookmarkStart w:id="476" w:name="_Toc169855214"/>
      <w:bookmarkStart w:id="477" w:name="_Toc141088595"/>
      <w:bookmarkEnd w:id="474"/>
      <w:r>
        <w:rPr>
          <w:rFonts w:ascii="Rockwell" w:hAnsi="Rockwell"/>
          <w:color w:val="auto"/>
          <w:sz w:val="26"/>
          <w:szCs w:val="26"/>
        </w:rPr>
        <w:t>Participation à la conférence internationale de Fès au Maroc</w:t>
      </w:r>
      <w:bookmarkEnd w:id="475"/>
      <w:bookmarkEnd w:id="476"/>
      <w:bookmarkEnd w:id="477"/>
    </w:p>
    <w:p w14:paraId="56B9DE58" w14:textId="77777777" w:rsidR="00733207" w:rsidRDefault="00733207">
      <w:pPr>
        <w:pStyle w:val="Paragraphedeliste"/>
        <w:ind w:left="525"/>
        <w:jc w:val="both"/>
        <w:rPr>
          <w:rFonts w:ascii="Rockwell" w:hAnsi="Rockwell"/>
        </w:rPr>
      </w:pPr>
    </w:p>
    <w:p w14:paraId="3393AC36" w14:textId="77777777" w:rsidR="00733207" w:rsidRDefault="00912BAE">
      <w:pPr>
        <w:spacing w:before="120" w:after="120" w:line="360" w:lineRule="auto"/>
        <w:jc w:val="both"/>
        <w:rPr>
          <w:rFonts w:ascii="Rockwell" w:hAnsi="Rockwell" w:cs="Times New Roman"/>
          <w:i/>
          <w:sz w:val="26"/>
          <w:szCs w:val="26"/>
        </w:rPr>
      </w:pPr>
      <w:r>
        <w:rPr>
          <w:rFonts w:ascii="Rockwell" w:hAnsi="Rockwell" w:cs="Times New Roman"/>
          <w:sz w:val="26"/>
          <w:szCs w:val="26"/>
        </w:rPr>
        <w:t xml:space="preserve">Le Burkina Faso a participé les 27 et 28 avril 2023 à Fès, au Maroc, à la conférence internationale sur le thème suivant : </w:t>
      </w:r>
      <w:r>
        <w:rPr>
          <w:rFonts w:ascii="Rockwell" w:hAnsi="Rockwell" w:cs="Times New Roman"/>
          <w:i/>
          <w:sz w:val="26"/>
          <w:szCs w:val="26"/>
        </w:rPr>
        <w:t>« Pour une régulation éthique et inclusive de l’espace numérique : dialogue entre les régulateurs des médias africains et les plateformes numériques globales ».</w:t>
      </w:r>
    </w:p>
    <w:p w14:paraId="4342701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Organisée par la HACA du Maroc, cette conférence se voulait être une réaction à la nouvelle réalité des médias et de la communication. En effet, au-delà du phénomène des contenus numériques toxiques, les régulateurs sont tenus de par leur mandat, d’apporter des réponses réglementaires aux questions de la préservation de la souveraineté culturelle et de la promotion </w:t>
      </w:r>
      <w:r>
        <w:rPr>
          <w:rFonts w:ascii="Rockwell" w:hAnsi="Rockwell" w:cs="Times New Roman"/>
          <w:sz w:val="26"/>
          <w:szCs w:val="26"/>
        </w:rPr>
        <w:lastRenderedPageBreak/>
        <w:t>de la production nationale et continentale dans le nouvel espace médiatique transfrontalier.</w:t>
      </w:r>
    </w:p>
    <w:p w14:paraId="66D28EA6" w14:textId="77777777" w:rsidR="00733207" w:rsidRDefault="00912BAE">
      <w:pPr>
        <w:spacing w:before="120" w:after="120" w:line="360" w:lineRule="auto"/>
        <w:jc w:val="center"/>
        <w:rPr>
          <w:rFonts w:ascii="Rockwell" w:hAnsi="Rockwell" w:cs="Times New Roman"/>
          <w:sz w:val="26"/>
          <w:szCs w:val="26"/>
        </w:rPr>
      </w:pPr>
      <w:r>
        <w:rPr>
          <w:rFonts w:ascii="Rockwell" w:hAnsi="Rockwell" w:cs="Times New Roman"/>
          <w:noProof/>
          <w:sz w:val="26"/>
          <w:szCs w:val="26"/>
          <w:lang w:eastAsia="fr-FR"/>
        </w:rPr>
        <w:drawing>
          <wp:inline distT="0" distB="0" distL="0" distR="0" wp14:anchorId="2273B1F0" wp14:editId="4B7E0526">
            <wp:extent cx="5833110" cy="4123690"/>
            <wp:effectExtent l="0" t="0" r="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33"/>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5902402" cy="4172410"/>
                    </a:xfrm>
                    <a:prstGeom prst="rect">
                      <a:avLst/>
                    </a:prstGeom>
                  </pic:spPr>
                </pic:pic>
              </a:graphicData>
            </a:graphic>
          </wp:inline>
        </w:drawing>
      </w:r>
    </w:p>
    <w:p w14:paraId="36B758E9" w14:textId="77777777" w:rsidR="00733207" w:rsidRDefault="00733207">
      <w:pPr>
        <w:spacing w:before="120" w:after="120" w:line="360" w:lineRule="auto"/>
        <w:jc w:val="both"/>
        <w:rPr>
          <w:rFonts w:ascii="Rockwell" w:hAnsi="Rockwell" w:cs="Times New Roman"/>
          <w:sz w:val="26"/>
          <w:szCs w:val="26"/>
        </w:rPr>
      </w:pPr>
    </w:p>
    <w:p w14:paraId="32DABDFC"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Ils se sont donc engagés, au cours de cette première rencontre bilatérale réunissant les régulateurs des pays membres du RIARC et des représentants de plateformes numériques globales, Meta et </w:t>
      </w:r>
      <w:proofErr w:type="spellStart"/>
      <w:r>
        <w:rPr>
          <w:rFonts w:ascii="Rockwell" w:hAnsi="Rockwell" w:cs="Times New Roman"/>
          <w:sz w:val="26"/>
          <w:szCs w:val="26"/>
        </w:rPr>
        <w:t>Tik</w:t>
      </w:r>
      <w:proofErr w:type="spellEnd"/>
      <w:r>
        <w:rPr>
          <w:rFonts w:ascii="Rockwell" w:hAnsi="Rockwell" w:cs="Times New Roman"/>
          <w:sz w:val="26"/>
          <w:szCs w:val="26"/>
        </w:rPr>
        <w:t xml:space="preserve">-Tok en l’occurrence, à mutualiser leurs actions pour mettre en place une régulation garantissant à la fois les libertés fondamentales et l’ordre public dans ce nouvel environnement qui, quoique virtuel, reste en interaction permanente avec le monde réel. </w:t>
      </w:r>
    </w:p>
    <w:p w14:paraId="0CB73023" w14:textId="77777777" w:rsidR="00733207" w:rsidRDefault="00733207">
      <w:pPr>
        <w:spacing w:before="120" w:after="120" w:line="360" w:lineRule="auto"/>
        <w:jc w:val="both"/>
        <w:rPr>
          <w:rFonts w:ascii="Rockwell" w:hAnsi="Rockwell" w:cs="Times New Roman"/>
          <w:sz w:val="26"/>
          <w:szCs w:val="26"/>
        </w:rPr>
      </w:pPr>
    </w:p>
    <w:p w14:paraId="6ABE5C0B" w14:textId="77777777" w:rsidR="00733207" w:rsidRDefault="00912BAE">
      <w:pPr>
        <w:pStyle w:val="Titre5"/>
        <w:numPr>
          <w:ilvl w:val="1"/>
          <w:numId w:val="32"/>
        </w:numPr>
        <w:spacing w:before="120" w:after="120" w:line="360" w:lineRule="auto"/>
        <w:jc w:val="center"/>
        <w:rPr>
          <w:rFonts w:ascii="Rockwell" w:hAnsi="Rockwell"/>
          <w:color w:val="auto"/>
          <w:sz w:val="26"/>
          <w:szCs w:val="26"/>
        </w:rPr>
      </w:pPr>
      <w:bookmarkStart w:id="478" w:name="_Toc141088597"/>
      <w:bookmarkStart w:id="479" w:name="_Toc175128571"/>
      <w:bookmarkStart w:id="480" w:name="_Toc169855215"/>
      <w:r>
        <w:rPr>
          <w:rFonts w:ascii="Rockwell" w:hAnsi="Rockwell"/>
          <w:color w:val="auto"/>
          <w:sz w:val="26"/>
          <w:szCs w:val="26"/>
        </w:rPr>
        <w:t>Participation au colloque international d’Abidjan</w:t>
      </w:r>
      <w:bookmarkEnd w:id="478"/>
      <w:bookmarkEnd w:id="479"/>
      <w:bookmarkEnd w:id="480"/>
    </w:p>
    <w:p w14:paraId="23DE0E14"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lang w:val="zh-CN"/>
        </w:rPr>
        <w:t xml:space="preserve">La Haute Autorité de la Communication Audiovisuelle (HACA) de Côte d’Ivoire a organisé les 07 et 08 juin 2023, </w:t>
      </w:r>
      <w:r>
        <w:rPr>
          <w:rFonts w:ascii="Rockwell" w:hAnsi="Rockwell" w:cs="Times New Roman"/>
          <w:sz w:val="26"/>
          <w:szCs w:val="26"/>
          <w:shd w:val="clear" w:color="auto" w:fill="FFFFFF"/>
        </w:rPr>
        <w:t>à Abidjan</w:t>
      </w:r>
      <w:r>
        <w:rPr>
          <w:rFonts w:ascii="Rockwell" w:hAnsi="Rockwell" w:cs="Times New Roman"/>
          <w:sz w:val="26"/>
          <w:szCs w:val="26"/>
          <w:lang w:val="zh-CN"/>
        </w:rPr>
        <w:t xml:space="preserve">, un Colloque International </w:t>
      </w:r>
      <w:r>
        <w:rPr>
          <w:rFonts w:ascii="Rockwell" w:hAnsi="Rockwell" w:cs="Times New Roman"/>
          <w:sz w:val="26"/>
          <w:szCs w:val="26"/>
          <w:lang w:val="zh-CN"/>
        </w:rPr>
        <w:lastRenderedPageBreak/>
        <w:t xml:space="preserve">sur le thème </w:t>
      </w:r>
      <w:r>
        <w:rPr>
          <w:rFonts w:ascii="Rockwell" w:hAnsi="Rockwell" w:cs="Times New Roman"/>
          <w:i/>
          <w:sz w:val="26"/>
          <w:szCs w:val="26"/>
        </w:rPr>
        <w:t>« Quelle approche commune des Régulateurs de l'Audiovisuel des pays membres de l'UEMOA et de la Guinée face aux Plateformes numériques ? ».</w:t>
      </w:r>
      <w:r>
        <w:rPr>
          <w:rFonts w:ascii="Rockwell" w:hAnsi="Rockwell" w:cs="Times New Roman"/>
          <w:sz w:val="26"/>
          <w:szCs w:val="26"/>
        </w:rPr>
        <w:t xml:space="preserve"> </w:t>
      </w:r>
    </w:p>
    <w:p w14:paraId="18CEE751" w14:textId="77777777" w:rsidR="00733207" w:rsidRDefault="00912BAE">
      <w:pPr>
        <w:spacing w:before="120" w:after="120" w:line="360" w:lineRule="auto"/>
        <w:ind w:right="62"/>
        <w:jc w:val="both"/>
        <w:rPr>
          <w:rFonts w:ascii="Rockwell" w:eastAsia="Tahoma" w:hAnsi="Rockwell" w:cs="Times New Roman"/>
          <w:color w:val="000000"/>
          <w:kern w:val="2"/>
          <w:sz w:val="26"/>
          <w:szCs w:val="26"/>
          <w:lang w:eastAsia="fr-FR"/>
          <w14:ligatures w14:val="standardContextual"/>
        </w:rPr>
      </w:pPr>
      <w:r>
        <w:rPr>
          <w:rFonts w:ascii="Rockwell" w:eastAsia="Tahoma" w:hAnsi="Rockwell" w:cs="Times New Roman"/>
          <w:color w:val="000000"/>
          <w:kern w:val="2"/>
          <w:sz w:val="26"/>
          <w:szCs w:val="26"/>
          <w:lang w:eastAsia="fr-FR"/>
          <w14:ligatures w14:val="standardContextual"/>
        </w:rPr>
        <w:t xml:space="preserve">L’organisation de ce colloque découle de la volonté commune des régulateurs de l’espace UEMOA et de la Guinée de mettre en place un cadre de coopération formel entre les Régulateurs de l’Audiovisuel et les Plateformes numériques. </w:t>
      </w:r>
    </w:p>
    <w:p w14:paraId="548CBDEE" w14:textId="77777777" w:rsidR="00733207" w:rsidRDefault="00912BAE">
      <w:pPr>
        <w:spacing w:before="120" w:after="120" w:line="360" w:lineRule="auto"/>
        <w:jc w:val="both"/>
        <w:rPr>
          <w:rFonts w:ascii="Rockwell" w:hAnsi="Rockwell" w:cs="Times New Roman"/>
          <w:sz w:val="26"/>
          <w:szCs w:val="26"/>
          <w:lang w:val="zh-CN"/>
        </w:rPr>
      </w:pPr>
      <w:r>
        <w:rPr>
          <w:rFonts w:ascii="Rockwell" w:hAnsi="Rockwell" w:cs="Times New Roman"/>
          <w:sz w:val="26"/>
          <w:szCs w:val="26"/>
        </w:rPr>
        <w:t>Le CSC a participé</w:t>
      </w:r>
      <w:r>
        <w:rPr>
          <w:rFonts w:ascii="Rockwell" w:hAnsi="Rockwell" w:cs="Times New Roman"/>
          <w:sz w:val="26"/>
          <w:szCs w:val="26"/>
          <w:lang w:val="zh-CN"/>
        </w:rPr>
        <w:t xml:space="preserve"> à cette importante rencontre aux côtés des</w:t>
      </w:r>
      <w:r>
        <w:rPr>
          <w:rFonts w:ascii="Rockwell" w:hAnsi="Rockwell" w:cs="Times New Roman"/>
          <w:color w:val="000000"/>
          <w:sz w:val="26"/>
          <w:szCs w:val="26"/>
        </w:rPr>
        <w:t xml:space="preserve"> régulateurs des pays membres de la Plateforme, de représentants de Meta et de Google, d’un représentant du président de l’UEMOA et de l’ancien secrétaire général de l’Union Internationale des Télécommunications (IUT).</w:t>
      </w:r>
      <w:r>
        <w:rPr>
          <w:rFonts w:ascii="Rockwell" w:hAnsi="Rockwell" w:cs="Times New Roman"/>
          <w:sz w:val="26"/>
          <w:szCs w:val="26"/>
          <w:lang w:val="zh-CN"/>
        </w:rPr>
        <w:t xml:space="preserve"> </w:t>
      </w:r>
    </w:p>
    <w:p w14:paraId="365F3372" w14:textId="77777777" w:rsidR="00733207" w:rsidRDefault="00912BAE">
      <w:pPr>
        <w:spacing w:before="120" w:after="120" w:line="360" w:lineRule="auto"/>
        <w:jc w:val="both"/>
        <w:rPr>
          <w:rFonts w:ascii="Rockwell" w:hAnsi="Rockwell" w:cs="Times New Roman"/>
          <w:sz w:val="26"/>
          <w:szCs w:val="26"/>
          <w:lang w:val="zh-CN"/>
        </w:rPr>
      </w:pPr>
      <w:r>
        <w:rPr>
          <w:rFonts w:ascii="Rockwell" w:hAnsi="Rockwell" w:cs="Times New Roman"/>
          <w:sz w:val="26"/>
          <w:szCs w:val="26"/>
          <w:lang w:val="zh-CN"/>
        </w:rPr>
        <w:t xml:space="preserve">Les acteurs ont échangé sur quatre grandes thématiques : </w:t>
      </w:r>
    </w:p>
    <w:p w14:paraId="7D456A09" w14:textId="77777777" w:rsidR="00733207" w:rsidRDefault="00912BAE">
      <w:pPr>
        <w:pStyle w:val="Paragraphedeliste"/>
        <w:numPr>
          <w:ilvl w:val="0"/>
          <w:numId w:val="33"/>
        </w:numPr>
        <w:spacing w:before="120" w:after="120" w:line="360" w:lineRule="auto"/>
        <w:jc w:val="both"/>
        <w:rPr>
          <w:rFonts w:ascii="Rockwell" w:hAnsi="Rockwell" w:cs="Times New Roman"/>
          <w:sz w:val="26"/>
          <w:szCs w:val="26"/>
          <w:lang w:val="zh-CN"/>
        </w:rPr>
      </w:pPr>
      <w:r>
        <w:rPr>
          <w:rFonts w:ascii="Rockwell" w:hAnsi="Rockwell" w:cs="Times New Roman"/>
          <w:sz w:val="26"/>
          <w:szCs w:val="26"/>
          <w:lang w:val="zh-CN"/>
        </w:rPr>
        <w:t>enjeux et défis de la régulation des plateformes numériques en matière de souveraineté et de protection des droits fondamentaux ;</w:t>
      </w:r>
    </w:p>
    <w:p w14:paraId="6B01E25D" w14:textId="77777777" w:rsidR="00733207" w:rsidRDefault="00912BAE">
      <w:pPr>
        <w:pStyle w:val="Paragraphedeliste"/>
        <w:numPr>
          <w:ilvl w:val="0"/>
          <w:numId w:val="33"/>
        </w:numPr>
        <w:spacing w:before="120" w:after="120" w:line="360" w:lineRule="auto"/>
        <w:jc w:val="both"/>
        <w:rPr>
          <w:rFonts w:ascii="Rockwell" w:hAnsi="Rockwell" w:cs="Times New Roman"/>
          <w:sz w:val="26"/>
          <w:szCs w:val="26"/>
          <w:lang w:val="zh-CN"/>
        </w:rPr>
      </w:pPr>
      <w:r>
        <w:rPr>
          <w:rFonts w:ascii="Rockwell" w:hAnsi="Rockwell" w:cs="Times New Roman"/>
          <w:sz w:val="26"/>
          <w:szCs w:val="26"/>
          <w:lang w:val="zh-CN"/>
        </w:rPr>
        <w:t xml:space="preserve">plateformes numériques de diffusion des contenus audiovisuels et souveraineté nationale ; </w:t>
      </w:r>
    </w:p>
    <w:p w14:paraId="4255F6CE" w14:textId="77777777" w:rsidR="00733207" w:rsidRDefault="00912BAE">
      <w:pPr>
        <w:pStyle w:val="Paragraphedeliste"/>
        <w:numPr>
          <w:ilvl w:val="0"/>
          <w:numId w:val="33"/>
        </w:numPr>
        <w:spacing w:before="120" w:after="120" w:line="360" w:lineRule="auto"/>
        <w:jc w:val="both"/>
        <w:rPr>
          <w:rFonts w:ascii="Rockwell" w:hAnsi="Rockwell" w:cs="Times New Roman"/>
          <w:sz w:val="26"/>
          <w:szCs w:val="26"/>
          <w:lang w:val="zh-CN"/>
        </w:rPr>
      </w:pPr>
      <w:r>
        <w:rPr>
          <w:rFonts w:ascii="Rockwell" w:hAnsi="Rockwell" w:cs="Times New Roman"/>
          <w:sz w:val="26"/>
          <w:szCs w:val="26"/>
          <w:lang w:val="zh-CN"/>
        </w:rPr>
        <w:t xml:space="preserve">définition d’un cadre réglementaire à minima de régulation des contenus audiovisuels diffusés par les plateformes numériques, au niveau de l’espace UEMOA et en Guinée ; </w:t>
      </w:r>
    </w:p>
    <w:p w14:paraId="76EA21C3" w14:textId="77777777" w:rsidR="00733207" w:rsidRDefault="00912BAE">
      <w:pPr>
        <w:pStyle w:val="Paragraphedeliste"/>
        <w:numPr>
          <w:ilvl w:val="0"/>
          <w:numId w:val="34"/>
        </w:numPr>
        <w:spacing w:before="120" w:after="120" w:line="360" w:lineRule="auto"/>
        <w:jc w:val="both"/>
        <w:rPr>
          <w:rFonts w:ascii="Rockwell" w:hAnsi="Rockwell" w:cs="Times New Roman"/>
          <w:sz w:val="26"/>
          <w:szCs w:val="26"/>
          <w:lang w:val="zh-CN"/>
        </w:rPr>
      </w:pPr>
      <w:r>
        <w:rPr>
          <w:rFonts w:ascii="Rockwell" w:hAnsi="Rockwell" w:cs="Times New Roman"/>
          <w:sz w:val="26"/>
          <w:szCs w:val="26"/>
          <w:lang w:val="zh-CN"/>
        </w:rPr>
        <w:t>mise en œuvre du Règlement sur les services numériques (RSN) : opportunités et défis.</w:t>
      </w:r>
    </w:p>
    <w:p w14:paraId="0F1E2962" w14:textId="77777777" w:rsidR="00733207" w:rsidRDefault="00733207">
      <w:pPr>
        <w:pStyle w:val="Paragraphedeliste"/>
        <w:spacing w:before="120" w:after="120" w:line="360" w:lineRule="auto"/>
        <w:jc w:val="both"/>
        <w:rPr>
          <w:rFonts w:ascii="Rockwell" w:hAnsi="Rockwell" w:cs="Times New Roman"/>
          <w:sz w:val="26"/>
          <w:szCs w:val="26"/>
          <w:lang w:val="zh-CN"/>
        </w:rPr>
      </w:pPr>
    </w:p>
    <w:p w14:paraId="13264BAD" w14:textId="77777777" w:rsidR="00733207" w:rsidRDefault="00912BAE">
      <w:pPr>
        <w:pStyle w:val="Titre5"/>
        <w:numPr>
          <w:ilvl w:val="1"/>
          <w:numId w:val="32"/>
        </w:numPr>
        <w:spacing w:before="120" w:after="120" w:line="360" w:lineRule="auto"/>
        <w:jc w:val="center"/>
        <w:rPr>
          <w:rFonts w:ascii="Rockwell" w:hAnsi="Rockwell"/>
          <w:color w:val="auto"/>
          <w:sz w:val="26"/>
          <w:szCs w:val="26"/>
        </w:rPr>
      </w:pPr>
      <w:bookmarkStart w:id="481" w:name="_Toc169855216"/>
      <w:bookmarkStart w:id="482" w:name="_Toc175128572"/>
      <w:bookmarkStart w:id="483" w:name="_Toc141088598"/>
      <w:r>
        <w:rPr>
          <w:rFonts w:ascii="Rockwell" w:hAnsi="Rockwell"/>
          <w:color w:val="auto"/>
          <w:sz w:val="26"/>
          <w:szCs w:val="26"/>
        </w:rPr>
        <w:t>Participation au colloque international du REFRAM sur le cadre juridique de la régulation des contenus en ligne</w:t>
      </w:r>
      <w:bookmarkEnd w:id="481"/>
      <w:bookmarkEnd w:id="482"/>
      <w:bookmarkEnd w:id="483"/>
    </w:p>
    <w:p w14:paraId="3F31F2BB" w14:textId="77777777" w:rsidR="00733207" w:rsidRDefault="00733207">
      <w:pPr>
        <w:jc w:val="both"/>
        <w:rPr>
          <w:rFonts w:ascii="Rockwell" w:hAnsi="Rockwell"/>
          <w:sz w:val="10"/>
          <w:szCs w:val="10"/>
        </w:rPr>
      </w:pPr>
    </w:p>
    <w:p w14:paraId="7A39C353"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Le Conseil supérieur de la communication du Niger a organisé, les 12 et 13 février 2023, à Niamey, un c</w:t>
      </w:r>
      <w:r>
        <w:rPr>
          <w:rFonts w:ascii="Rockwell" w:hAnsi="Rockwell" w:cs="Times New Roman"/>
          <w:bCs/>
          <w:color w:val="000000" w:themeColor="text1"/>
          <w:sz w:val="26"/>
          <w:szCs w:val="26"/>
        </w:rPr>
        <w:t>olloque international</w:t>
      </w:r>
      <w:r>
        <w:rPr>
          <w:rFonts w:ascii="Rockwell" w:hAnsi="Rockwell" w:cs="Times New Roman"/>
          <w:sz w:val="26"/>
          <w:szCs w:val="26"/>
        </w:rPr>
        <w:t xml:space="preserve"> sur le thème central : </w:t>
      </w:r>
      <w:r>
        <w:rPr>
          <w:rFonts w:ascii="Rockwell" w:hAnsi="Rockwell" w:cs="Times New Roman"/>
          <w:i/>
          <w:sz w:val="26"/>
          <w:szCs w:val="26"/>
        </w:rPr>
        <w:t xml:space="preserve">« </w:t>
      </w:r>
      <w:r>
        <w:rPr>
          <w:rFonts w:ascii="Rockwell" w:hAnsi="Rockwell" w:cs="Times New Roman"/>
          <w:bCs/>
          <w:i/>
          <w:color w:val="000000" w:themeColor="text1"/>
          <w:sz w:val="26"/>
          <w:szCs w:val="26"/>
        </w:rPr>
        <w:t xml:space="preserve">Cadre juridique de la régulation des contenus en ligne </w:t>
      </w:r>
      <w:r>
        <w:rPr>
          <w:rFonts w:ascii="Rockwell" w:hAnsi="Rockwell" w:cs="Times New Roman"/>
          <w:i/>
          <w:sz w:val="26"/>
          <w:szCs w:val="26"/>
        </w:rPr>
        <w:t>».</w:t>
      </w:r>
      <w:r>
        <w:rPr>
          <w:rFonts w:ascii="Rockwell" w:hAnsi="Rockwell" w:cs="Times New Roman"/>
          <w:bCs/>
          <w:color w:val="000000" w:themeColor="text1"/>
          <w:sz w:val="26"/>
          <w:szCs w:val="26"/>
        </w:rPr>
        <w:t xml:space="preserve"> Placé</w:t>
      </w:r>
      <w:r>
        <w:rPr>
          <w:rFonts w:ascii="Rockwell" w:hAnsi="Rockwell" w:cs="Times New Roman"/>
          <w:sz w:val="26"/>
          <w:szCs w:val="26"/>
        </w:rPr>
        <w:t xml:space="preserve"> sous l’égide du Réseau Francophone des Régulateurs des Médias (REFRAM), le colloque </w:t>
      </w:r>
      <w:r>
        <w:rPr>
          <w:rFonts w:ascii="Rockwell" w:hAnsi="Rockwell" w:cs="Times New Roman"/>
          <w:sz w:val="26"/>
          <w:szCs w:val="26"/>
        </w:rPr>
        <w:lastRenderedPageBreak/>
        <w:t xml:space="preserve">visait à engager, au niveau des régulateurs de l’espace francophone, les réflexions sur la perspective d’une réglementation des contenus en ligne. </w:t>
      </w:r>
    </w:p>
    <w:p w14:paraId="15074DBA"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Quatorze (14) pays membres du REFRAM y ont participé dont le Burkina Faso, à travers une </w:t>
      </w:r>
      <w:r>
        <w:rPr>
          <w:rFonts w:ascii="Rockwell" w:hAnsi="Rockwell" w:cs="Times New Roman"/>
          <w:bCs/>
          <w:color w:val="000000" w:themeColor="text1"/>
          <w:sz w:val="26"/>
          <w:szCs w:val="26"/>
        </w:rPr>
        <w:t xml:space="preserve">délégation </w:t>
      </w:r>
      <w:r>
        <w:rPr>
          <w:rFonts w:ascii="Rockwell" w:hAnsi="Rockwell" w:cs="Times New Roman"/>
          <w:sz w:val="26"/>
          <w:szCs w:val="26"/>
        </w:rPr>
        <w:t>du Conseil supérieur de la communication, conduite par sa Vice-Présidente, Madame Eugénie Séraphine YAMEOGO/OUATTARA.  Les échanges se sont déroulés autour des thèmes suivants :</w:t>
      </w:r>
    </w:p>
    <w:p w14:paraId="543D94BD" w14:textId="77777777" w:rsidR="00733207" w:rsidRDefault="00912BAE">
      <w:pPr>
        <w:pStyle w:val="Paragraphedeliste"/>
        <w:numPr>
          <w:ilvl w:val="0"/>
          <w:numId w:val="35"/>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les</w:t>
      </w:r>
      <w:proofErr w:type="gramEnd"/>
      <w:r>
        <w:rPr>
          <w:rFonts w:ascii="Rockwell" w:hAnsi="Rockwell" w:cs="Times New Roman"/>
          <w:sz w:val="26"/>
          <w:szCs w:val="26"/>
        </w:rPr>
        <w:t xml:space="preserve"> défis et enjeux des contenus en ligne ;</w:t>
      </w:r>
    </w:p>
    <w:p w14:paraId="597FEB07" w14:textId="77777777" w:rsidR="00733207" w:rsidRDefault="00912BAE">
      <w:pPr>
        <w:pStyle w:val="Paragraphedeliste"/>
        <w:numPr>
          <w:ilvl w:val="0"/>
          <w:numId w:val="35"/>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l’évolution</w:t>
      </w:r>
      <w:proofErr w:type="gramEnd"/>
      <w:r>
        <w:rPr>
          <w:rFonts w:ascii="Rockwell" w:hAnsi="Rockwell" w:cs="Times New Roman"/>
          <w:sz w:val="26"/>
          <w:szCs w:val="26"/>
        </w:rPr>
        <w:t xml:space="preserve"> de la régulation des contenus en ligne au sein du RIARC ;</w:t>
      </w:r>
    </w:p>
    <w:p w14:paraId="1B68599D" w14:textId="77777777" w:rsidR="00733207" w:rsidRDefault="00912BAE">
      <w:pPr>
        <w:pStyle w:val="Paragraphedeliste"/>
        <w:numPr>
          <w:ilvl w:val="0"/>
          <w:numId w:val="35"/>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la</w:t>
      </w:r>
      <w:proofErr w:type="gramEnd"/>
      <w:r>
        <w:rPr>
          <w:rFonts w:ascii="Rockwell" w:hAnsi="Rockwell" w:cs="Times New Roman"/>
          <w:sz w:val="26"/>
          <w:szCs w:val="26"/>
        </w:rPr>
        <w:t xml:space="preserve"> réglementation des contenus en ligne ;</w:t>
      </w:r>
    </w:p>
    <w:p w14:paraId="0D42AF5C" w14:textId="77777777" w:rsidR="00733207" w:rsidRDefault="00912BAE">
      <w:pPr>
        <w:pStyle w:val="Paragraphedeliste"/>
        <w:numPr>
          <w:ilvl w:val="0"/>
          <w:numId w:val="35"/>
        </w:numPr>
        <w:spacing w:before="120" w:after="120" w:line="360" w:lineRule="auto"/>
        <w:jc w:val="both"/>
        <w:rPr>
          <w:rFonts w:ascii="Rockwell" w:hAnsi="Rockwell" w:cs="Times New Roman"/>
          <w:sz w:val="26"/>
          <w:szCs w:val="26"/>
        </w:rPr>
      </w:pPr>
      <w:r>
        <w:rPr>
          <w:rFonts w:ascii="Rockwell" w:hAnsi="Rockwell" w:cs="Times New Roman"/>
          <w:sz w:val="26"/>
          <w:szCs w:val="26"/>
        </w:rPr>
        <w:t xml:space="preserve"> </w:t>
      </w:r>
      <w:proofErr w:type="gramStart"/>
      <w:r>
        <w:rPr>
          <w:rFonts w:ascii="Rockwell" w:hAnsi="Rockwell" w:cs="Times New Roman"/>
          <w:sz w:val="26"/>
          <w:szCs w:val="26"/>
        </w:rPr>
        <w:t>les</w:t>
      </w:r>
      <w:proofErr w:type="gramEnd"/>
      <w:r>
        <w:rPr>
          <w:rFonts w:ascii="Rockwell" w:hAnsi="Rockwell" w:cs="Times New Roman"/>
          <w:sz w:val="26"/>
          <w:szCs w:val="26"/>
        </w:rPr>
        <w:t> défis de la régulation des contenus en ligne au sein du REFRAM ;</w:t>
      </w:r>
    </w:p>
    <w:p w14:paraId="524E0F4C" w14:textId="77777777" w:rsidR="00733207" w:rsidRDefault="00912BAE">
      <w:pPr>
        <w:pStyle w:val="Paragraphedeliste"/>
        <w:numPr>
          <w:ilvl w:val="0"/>
          <w:numId w:val="35"/>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le</w:t>
      </w:r>
      <w:proofErr w:type="gramEnd"/>
      <w:r>
        <w:rPr>
          <w:rFonts w:ascii="Rockwell" w:hAnsi="Rockwell" w:cs="Times New Roman"/>
          <w:sz w:val="26"/>
          <w:szCs w:val="26"/>
        </w:rPr>
        <w:t xml:space="preserve"> cadre juridique et institutionnel de la protection des données personnelles au Niger.</w:t>
      </w:r>
    </w:p>
    <w:p w14:paraId="17ADBD44" w14:textId="77777777" w:rsidR="00733207" w:rsidRDefault="00733207">
      <w:pPr>
        <w:pStyle w:val="Paragraphedeliste"/>
        <w:spacing w:before="120" w:after="120" w:line="360" w:lineRule="auto"/>
        <w:ind w:left="435"/>
        <w:jc w:val="both"/>
        <w:rPr>
          <w:rFonts w:ascii="Rockwell" w:hAnsi="Rockwell" w:cs="Times New Roman"/>
          <w:sz w:val="26"/>
          <w:szCs w:val="26"/>
        </w:rPr>
      </w:pPr>
    </w:p>
    <w:p w14:paraId="7F428755" w14:textId="77777777" w:rsidR="00733207" w:rsidRDefault="00912BAE">
      <w:pPr>
        <w:pStyle w:val="Titre4"/>
        <w:spacing w:before="240" w:after="240" w:line="360" w:lineRule="auto"/>
        <w:ind w:left="437"/>
        <w:jc w:val="center"/>
        <w:rPr>
          <w:rFonts w:ascii="Rockwell" w:hAnsi="Rockwell" w:cs="Times New Roman"/>
          <w:b/>
          <w:i w:val="0"/>
          <w:color w:val="auto"/>
          <w:sz w:val="28"/>
          <w:szCs w:val="28"/>
        </w:rPr>
      </w:pPr>
      <w:bookmarkStart w:id="484" w:name="_Toc169855217"/>
      <w:bookmarkStart w:id="485" w:name="_Toc141088599"/>
      <w:bookmarkStart w:id="486" w:name="_Toc175128573"/>
      <w:bookmarkStart w:id="487" w:name="_Toc138337995"/>
      <w:r>
        <w:rPr>
          <w:rFonts w:ascii="Rockwell" w:hAnsi="Rockwell" w:cs="Times New Roman"/>
          <w:b/>
          <w:i w:val="0"/>
          <w:color w:val="auto"/>
          <w:sz w:val="28"/>
          <w:szCs w:val="28"/>
        </w:rPr>
        <w:t xml:space="preserve">Paragraphe 2 : Coopération avec les instances de régulation dans l’espace </w:t>
      </w:r>
      <w:bookmarkStart w:id="488" w:name="_Toc141088600"/>
      <w:bookmarkEnd w:id="484"/>
      <w:bookmarkEnd w:id="485"/>
      <w:r>
        <w:rPr>
          <w:rFonts w:ascii="Rockwell" w:hAnsi="Rockwell" w:cs="Times New Roman"/>
          <w:b/>
          <w:i w:val="0"/>
          <w:color w:val="auto"/>
          <w:sz w:val="28"/>
          <w:szCs w:val="28"/>
        </w:rPr>
        <w:t>sous régional</w:t>
      </w:r>
      <w:bookmarkEnd w:id="486"/>
    </w:p>
    <w:p w14:paraId="364EB979" w14:textId="77777777" w:rsidR="00733207" w:rsidRDefault="00733207">
      <w:pPr>
        <w:jc w:val="both"/>
        <w:rPr>
          <w:rFonts w:ascii="Rockwell" w:hAnsi="Rockwell"/>
          <w:sz w:val="10"/>
          <w:szCs w:val="10"/>
        </w:rPr>
      </w:pPr>
    </w:p>
    <w:p w14:paraId="052E1886" w14:textId="77777777" w:rsidR="00733207" w:rsidRDefault="00912BAE">
      <w:pPr>
        <w:pStyle w:val="Titre5"/>
        <w:numPr>
          <w:ilvl w:val="1"/>
          <w:numId w:val="36"/>
        </w:numPr>
        <w:spacing w:before="240" w:after="240" w:line="360" w:lineRule="auto"/>
        <w:ind w:firstLine="273"/>
        <w:jc w:val="center"/>
        <w:rPr>
          <w:rFonts w:ascii="Rockwell" w:hAnsi="Rockwell"/>
          <w:color w:val="auto"/>
          <w:sz w:val="26"/>
          <w:szCs w:val="26"/>
        </w:rPr>
      </w:pPr>
      <w:bookmarkStart w:id="489" w:name="_Toc169855218"/>
      <w:bookmarkStart w:id="490" w:name="_Toc175128574"/>
      <w:r>
        <w:rPr>
          <w:rFonts w:ascii="Rockwell" w:hAnsi="Rockwell"/>
          <w:i w:val="0"/>
          <w:color w:val="auto"/>
          <w:sz w:val="26"/>
          <w:szCs w:val="26"/>
        </w:rPr>
        <w:t xml:space="preserve">. </w:t>
      </w:r>
      <w:r>
        <w:rPr>
          <w:rFonts w:ascii="Rockwell" w:hAnsi="Rockwell"/>
          <w:color w:val="auto"/>
          <w:sz w:val="26"/>
          <w:szCs w:val="26"/>
        </w:rPr>
        <w:t>Visite de travail à la Haute Autorité de la Communication Audiovisuelle (HACA) de Côte-d’Ivoire</w:t>
      </w:r>
      <w:bookmarkEnd w:id="487"/>
      <w:bookmarkEnd w:id="488"/>
      <w:bookmarkEnd w:id="489"/>
      <w:bookmarkEnd w:id="490"/>
    </w:p>
    <w:p w14:paraId="546F7DAF" w14:textId="77777777" w:rsidR="00733207" w:rsidRDefault="00733207">
      <w:pPr>
        <w:pStyle w:val="Paragraphedeliste"/>
        <w:ind w:left="780"/>
        <w:jc w:val="both"/>
        <w:rPr>
          <w:rFonts w:ascii="Rockwell" w:hAnsi="Rockwell"/>
          <w:sz w:val="10"/>
          <w:szCs w:val="10"/>
        </w:rPr>
      </w:pPr>
    </w:p>
    <w:p w14:paraId="54357478" w14:textId="77777777" w:rsidR="00733207" w:rsidRDefault="00912BAE">
      <w:pPr>
        <w:pStyle w:val="Sansinterligne"/>
        <w:spacing w:before="120" w:after="120" w:line="360" w:lineRule="auto"/>
        <w:jc w:val="both"/>
        <w:rPr>
          <w:rFonts w:ascii="Rockwell" w:hAnsi="Rockwell" w:cs="Times New Roman"/>
          <w:sz w:val="26"/>
          <w:szCs w:val="26"/>
        </w:rPr>
      </w:pPr>
      <w:r>
        <w:rPr>
          <w:rFonts w:ascii="Rockwell" w:hAnsi="Rockwell" w:cs="Times New Roman"/>
          <w:sz w:val="26"/>
          <w:szCs w:val="26"/>
        </w:rPr>
        <w:t>Une délégation, conduite par le Président, a séjourné à Abidjan, en Côte d’Ivoire, du 13 au 19 février 2023, dans le cadre d’une mission de partage d’expériences avec la Haute Autorité de la Communication Audiovisuelle (HACA) sur la problématique de l’utilisation des médias sociaux.</w:t>
      </w:r>
    </w:p>
    <w:p w14:paraId="21C20DE4" w14:textId="77777777" w:rsidR="00733207" w:rsidRDefault="00733207">
      <w:pPr>
        <w:pStyle w:val="Sansinterligne"/>
        <w:spacing w:before="120" w:after="120" w:line="360" w:lineRule="auto"/>
        <w:jc w:val="both"/>
        <w:rPr>
          <w:rFonts w:ascii="Rockwell" w:hAnsi="Rockwell" w:cs="Times New Roman"/>
          <w:sz w:val="10"/>
          <w:szCs w:val="10"/>
        </w:rPr>
      </w:pPr>
    </w:p>
    <w:p w14:paraId="2C9BA5B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Il s’est agi, pour le CSC, de s’enrichir des expériences de la HACA en matière de réformes visant l’encadrement juridique de l’utilisation des médias sociaux, de prendre connaissance du dispositif technique (équipements, matériels et méthodologie) mis en place pour la régulation </w:t>
      </w:r>
      <w:r>
        <w:rPr>
          <w:rFonts w:ascii="Rockwell" w:hAnsi="Rockwell" w:cs="Times New Roman"/>
          <w:sz w:val="26"/>
          <w:szCs w:val="26"/>
        </w:rPr>
        <w:lastRenderedPageBreak/>
        <w:t xml:space="preserve">des médias sociaux en Côte d’ivoire, d’échanger sur le rôle et la collaboration des acteurs institutionnels intervenant dans le cyberespace et intéressés par la question particulière des médias sociaux. </w:t>
      </w:r>
    </w:p>
    <w:p w14:paraId="6A30442D"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noProof/>
          <w:sz w:val="26"/>
          <w:szCs w:val="26"/>
          <w:lang w:eastAsia="fr-FR"/>
        </w:rPr>
        <w:drawing>
          <wp:inline distT="0" distB="0" distL="0" distR="0" wp14:anchorId="3C986F27" wp14:editId="3EECF7AC">
            <wp:extent cx="5760720" cy="4027805"/>
            <wp:effectExtent l="0" t="0" r="0" b="0"/>
            <wp:docPr id="45"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45"/>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60720" cy="4027805"/>
                    </a:xfrm>
                    <a:prstGeom prst="rect">
                      <a:avLst/>
                    </a:prstGeom>
                  </pic:spPr>
                </pic:pic>
              </a:graphicData>
            </a:graphic>
          </wp:inline>
        </w:drawing>
      </w:r>
    </w:p>
    <w:p w14:paraId="58B45A1F" w14:textId="77777777" w:rsidR="00733207" w:rsidRDefault="00912BAE">
      <w:pPr>
        <w:spacing w:before="120" w:after="120" w:line="360" w:lineRule="auto"/>
        <w:jc w:val="center"/>
        <w:rPr>
          <w:rFonts w:ascii="Rockwell" w:hAnsi="Rockwell" w:cs="Times New Roman"/>
          <w:i/>
          <w:sz w:val="18"/>
          <w:szCs w:val="18"/>
        </w:rPr>
      </w:pPr>
      <w:r>
        <w:rPr>
          <w:rFonts w:ascii="Rockwell" w:hAnsi="Rockwell" w:cs="Times New Roman"/>
          <w:i/>
          <w:sz w:val="18"/>
          <w:szCs w:val="18"/>
        </w:rPr>
        <w:t>Photo de famille à l’issue d’échanges fructueux avec les partenaires ivoiriens</w:t>
      </w:r>
    </w:p>
    <w:p w14:paraId="19F2470F" w14:textId="77777777" w:rsidR="00733207" w:rsidRDefault="00733207">
      <w:pPr>
        <w:spacing w:before="120" w:after="120" w:line="360" w:lineRule="auto"/>
        <w:jc w:val="center"/>
        <w:rPr>
          <w:rFonts w:ascii="Rockwell" w:hAnsi="Rockwell" w:cs="Times New Roman"/>
        </w:rPr>
      </w:pPr>
    </w:p>
    <w:p w14:paraId="7E9CBE39"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CSC s’est également intéressé à l’évolution du processus de la TNT dans ce pays et les perspectives pour le déploiement des futurs multiplex. Dans ce cadre, la délégation a rencontré les différents acteurs intervenant dans le domaine, à savoir l’Autorité de Régulation des Télécommunications de Côte d’Ivoire (ARTCI), l'Agence Ivoirienne de Gestion des Fréquences Radioélectriques (l’AIGF), le Réseau des Professionnels de la Presse en ligne de la Côte d’Ivoire (REPPRELCI), l’Autorité Nationale de Presse (ANP) et l’ONG National Democratic Institute (NDI). </w:t>
      </w:r>
    </w:p>
    <w:p w14:paraId="5E3A7E40" w14:textId="77777777" w:rsidR="00733207" w:rsidRDefault="00733207">
      <w:pPr>
        <w:spacing w:before="120" w:after="120" w:line="360" w:lineRule="auto"/>
        <w:jc w:val="both"/>
        <w:rPr>
          <w:rFonts w:ascii="Rockwell" w:hAnsi="Rockwell" w:cs="Times New Roman"/>
          <w:sz w:val="26"/>
          <w:szCs w:val="26"/>
        </w:rPr>
      </w:pPr>
    </w:p>
    <w:p w14:paraId="050A4CAC" w14:textId="77777777" w:rsidR="00733207" w:rsidRDefault="00912BAE">
      <w:pPr>
        <w:pStyle w:val="Titre5"/>
        <w:spacing w:before="240" w:after="240" w:line="360" w:lineRule="auto"/>
        <w:ind w:left="357"/>
        <w:jc w:val="center"/>
        <w:rPr>
          <w:rFonts w:ascii="Rockwell" w:hAnsi="Rockwell"/>
        </w:rPr>
      </w:pPr>
      <w:bookmarkStart w:id="491" w:name="_Toc141088601"/>
      <w:bookmarkStart w:id="492" w:name="_Toc175128575"/>
      <w:bookmarkStart w:id="493" w:name="_Toc169855219"/>
      <w:r>
        <w:rPr>
          <w:rFonts w:ascii="Rockwell" w:hAnsi="Rockwell"/>
          <w:i w:val="0"/>
          <w:color w:val="auto"/>
          <w:sz w:val="26"/>
          <w:szCs w:val="26"/>
        </w:rPr>
        <w:lastRenderedPageBreak/>
        <w:t xml:space="preserve">2.2. </w:t>
      </w:r>
      <w:r>
        <w:rPr>
          <w:rFonts w:ascii="Rockwell" w:hAnsi="Rockwell"/>
          <w:color w:val="auto"/>
          <w:sz w:val="26"/>
          <w:szCs w:val="26"/>
        </w:rPr>
        <w:t>Organisation d’une table ronde</w:t>
      </w:r>
      <w:bookmarkEnd w:id="491"/>
      <w:bookmarkEnd w:id="492"/>
      <w:bookmarkEnd w:id="493"/>
    </w:p>
    <w:p w14:paraId="772C19C7"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Conseil supérieur de la communication a reçu, dans le cadre de la 28è édition du Festival panafricain du Cinéma et de la Télévision de Ouagadougou (FESPACO), des autorités des instances de régulation des médias-sœurs du Bénin et du Togo. Monsieur Rémi Prosper MORETTI, Président de la Haute Autorité de l’Audiovisuel et de la Communication (HAAC) du Bénin, par ailleurs Secrétaire exécutif du Réseau des instances africaines de régulation de la communication (RIARC) et Vice-président de la Plateforme des régulateurs de l’UEMOA et de la Guinée, a, en compagnie du Président BAMOGO, visité les structures de communication, de production et des médias présents au FESPACO et au Marché international du cinéma et de l’audiovisuel africain (MICA). </w:t>
      </w:r>
    </w:p>
    <w:p w14:paraId="71E5E97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 marge de cette 28</w:t>
      </w:r>
      <w:r>
        <w:rPr>
          <w:rFonts w:ascii="Rockwell" w:hAnsi="Rockwell" w:cs="Times New Roman"/>
          <w:sz w:val="26"/>
          <w:szCs w:val="26"/>
          <w:vertAlign w:val="superscript"/>
        </w:rPr>
        <w:t>e</w:t>
      </w:r>
      <w:r>
        <w:rPr>
          <w:rFonts w:ascii="Rockwell" w:hAnsi="Rockwell" w:cs="Times New Roman"/>
          <w:sz w:val="26"/>
          <w:szCs w:val="26"/>
        </w:rPr>
        <w:t xml:space="preserve"> édition du Festival panafricain du cinéma et de la télévision de Ouagadougou, le CSC a organisé, en partenariat avec des instances-sœurs de la Plateforme des régulateurs de l’audiovisuel des pays membres de l’UEMOA et de la Guinée et celles du RIARC, une table ronde pour réfléchir sur le rôle des régulateurs africains en relation avec le thème de cette édition, à savoir : </w:t>
      </w:r>
      <w:r>
        <w:rPr>
          <w:rFonts w:ascii="Rockwell" w:hAnsi="Rockwell" w:cs="Times New Roman"/>
          <w:i/>
          <w:sz w:val="26"/>
          <w:szCs w:val="26"/>
        </w:rPr>
        <w:t>« Cinéma d’Afrique et culture de la paix »</w:t>
      </w:r>
      <w:r>
        <w:rPr>
          <w:rFonts w:ascii="Rockwell" w:hAnsi="Rockwell" w:cs="Times New Roman"/>
          <w:sz w:val="26"/>
          <w:szCs w:val="26"/>
        </w:rPr>
        <w:t xml:space="preserve">. </w:t>
      </w:r>
    </w:p>
    <w:p w14:paraId="1C398186"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L’activité s’est tenue le 02 mars 2023, au siège de l’institution, à Ouagadougou et a permis aux participants de faire des propositions qui seront partagées avec l’ensemble des acteurs pour des actions futures.</w:t>
      </w:r>
    </w:p>
    <w:p w14:paraId="7E3330C6" w14:textId="77777777" w:rsidR="00733207" w:rsidRDefault="00733207">
      <w:pPr>
        <w:spacing w:before="120" w:after="120" w:line="360" w:lineRule="auto"/>
        <w:jc w:val="both"/>
        <w:rPr>
          <w:rFonts w:ascii="Rockwell" w:hAnsi="Rockwell" w:cs="Times New Roman"/>
          <w:sz w:val="26"/>
          <w:szCs w:val="26"/>
        </w:rPr>
        <w:sectPr w:rsidR="00733207">
          <w:pgSz w:w="11906" w:h="16838"/>
          <w:pgMar w:top="1417" w:right="1417" w:bottom="1417" w:left="1417" w:header="708" w:footer="708" w:gutter="0"/>
          <w:cols w:space="708"/>
          <w:docGrid w:linePitch="360"/>
        </w:sectPr>
      </w:pPr>
    </w:p>
    <w:p w14:paraId="323C681D" w14:textId="77777777" w:rsidR="00733207" w:rsidRDefault="00912BAE">
      <w:pPr>
        <w:pStyle w:val="Titre5"/>
        <w:spacing w:before="120" w:after="120" w:line="360" w:lineRule="auto"/>
        <w:jc w:val="center"/>
        <w:rPr>
          <w:rFonts w:ascii="Rockwell" w:hAnsi="Rockwell"/>
          <w:color w:val="auto"/>
          <w:sz w:val="26"/>
          <w:szCs w:val="26"/>
        </w:rPr>
      </w:pPr>
      <w:bookmarkStart w:id="494" w:name="_Toc175128576"/>
      <w:bookmarkStart w:id="495" w:name="_Toc141088602"/>
      <w:bookmarkStart w:id="496" w:name="_Toc169855220"/>
      <w:r>
        <w:rPr>
          <w:rFonts w:ascii="Rockwell" w:hAnsi="Rockwell"/>
          <w:i w:val="0"/>
          <w:color w:val="auto"/>
          <w:sz w:val="28"/>
          <w:szCs w:val="28"/>
        </w:rPr>
        <w:lastRenderedPageBreak/>
        <w:t>2</w:t>
      </w:r>
      <w:r>
        <w:rPr>
          <w:rFonts w:ascii="Rockwell" w:hAnsi="Rockwell"/>
          <w:i w:val="0"/>
          <w:color w:val="auto"/>
          <w:sz w:val="26"/>
          <w:szCs w:val="26"/>
        </w:rPr>
        <w:t xml:space="preserve">.3. </w:t>
      </w:r>
      <w:r>
        <w:rPr>
          <w:rFonts w:ascii="Rockwell" w:hAnsi="Rockwell"/>
          <w:color w:val="auto"/>
          <w:sz w:val="26"/>
          <w:szCs w:val="26"/>
        </w:rPr>
        <w:t>Participation au forum tripartite des instances de régulation des médias du Burkina Faso, de la Guinée et du Mali</w:t>
      </w:r>
      <w:bookmarkEnd w:id="494"/>
      <w:bookmarkEnd w:id="495"/>
      <w:bookmarkEnd w:id="496"/>
    </w:p>
    <w:p w14:paraId="52730011" w14:textId="77777777" w:rsidR="00733207" w:rsidRDefault="00733207">
      <w:pPr>
        <w:jc w:val="both"/>
        <w:rPr>
          <w:rFonts w:ascii="Rockwell" w:hAnsi="Rockwell"/>
          <w:sz w:val="10"/>
          <w:szCs w:val="10"/>
        </w:rPr>
      </w:pPr>
    </w:p>
    <w:p w14:paraId="20D67CB8"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Du 27 au 31 mai 2023, s’est tenue, à Conakry en Guinée, la première rencontre tripartite des Présidents des instances de régulation de la communication du Mali, du Burkina Faso et de la Guinée, sur le thème : </w:t>
      </w:r>
      <w:r>
        <w:rPr>
          <w:rFonts w:ascii="Rockwell" w:hAnsi="Rockwell" w:cs="Times New Roman"/>
          <w:i/>
          <w:sz w:val="26"/>
          <w:szCs w:val="26"/>
        </w:rPr>
        <w:t>« La régulation des médias en période de transition ».</w:t>
      </w:r>
      <w:r>
        <w:rPr>
          <w:rFonts w:ascii="Rockwell" w:hAnsi="Rockwell" w:cs="Times New Roman"/>
          <w:sz w:val="26"/>
          <w:szCs w:val="26"/>
        </w:rPr>
        <w:t xml:space="preserve"> </w:t>
      </w:r>
    </w:p>
    <w:p w14:paraId="5F7B71F0"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 effet, pendant cette période exceptionnelle de transition politique, la mission de veille des instances de régulation s’accroît. Il en est de même de la responsabilité sociale des médias. Afin de jouer leur partition dans la préservation de la paix et du climat social indispensables à une bonne transition politique, les régulateurs de ces pays se sont engagés à développer des initiatives en vue d’accompagner les professionnels des médias dans la lutte contre la désinformation et les discours de haine dans les médias et les réseaux sociaux d’une part, et d’autre part à sensibiliser les citoyens aux bons comportements à adopter durant cette période difficile que traversent leurs pays respectifs.</w:t>
      </w:r>
    </w:p>
    <w:p w14:paraId="1DCEEEE3" w14:textId="77777777" w:rsidR="00733207" w:rsidRDefault="00733207">
      <w:pPr>
        <w:spacing w:before="120" w:after="120" w:line="360" w:lineRule="auto"/>
        <w:jc w:val="both"/>
        <w:rPr>
          <w:rFonts w:ascii="Rockwell" w:hAnsi="Rockwell" w:cs="Times New Roman"/>
          <w:sz w:val="26"/>
          <w:szCs w:val="26"/>
        </w:rPr>
      </w:pPr>
    </w:p>
    <w:p w14:paraId="26AF471E" w14:textId="77777777" w:rsidR="00733207" w:rsidRDefault="00912BAE">
      <w:pPr>
        <w:pStyle w:val="Titre4"/>
        <w:spacing w:before="240" w:after="240"/>
        <w:jc w:val="center"/>
        <w:rPr>
          <w:rFonts w:ascii="Rockwell" w:hAnsi="Rockwell"/>
          <w:b/>
          <w:i w:val="0"/>
          <w:color w:val="auto"/>
          <w:sz w:val="28"/>
          <w:szCs w:val="28"/>
        </w:rPr>
      </w:pPr>
      <w:bookmarkStart w:id="497" w:name="_Toc169855221"/>
      <w:bookmarkStart w:id="498" w:name="_Toc175128577"/>
      <w:r>
        <w:rPr>
          <w:rFonts w:ascii="Rockwell" w:hAnsi="Rockwell"/>
          <w:b/>
          <w:i w:val="0"/>
          <w:color w:val="auto"/>
          <w:sz w:val="28"/>
          <w:szCs w:val="28"/>
        </w:rPr>
        <w:t>Paragraphe 3 : Participation à d’autres rencontres d’intérêt</w:t>
      </w:r>
      <w:bookmarkEnd w:id="497"/>
      <w:bookmarkEnd w:id="498"/>
    </w:p>
    <w:p w14:paraId="2D481CC5" w14:textId="77777777" w:rsidR="00733207" w:rsidRDefault="00733207">
      <w:pPr>
        <w:pStyle w:val="Titre5"/>
        <w:jc w:val="both"/>
        <w:rPr>
          <w:rFonts w:ascii="Rockwell" w:hAnsi="Rockwell"/>
          <w:i w:val="0"/>
          <w:color w:val="auto"/>
        </w:rPr>
      </w:pPr>
    </w:p>
    <w:p w14:paraId="4284875C" w14:textId="77777777" w:rsidR="00733207" w:rsidRDefault="00912BAE">
      <w:pPr>
        <w:pStyle w:val="Titre5"/>
        <w:spacing w:before="240" w:after="240"/>
        <w:jc w:val="center"/>
        <w:rPr>
          <w:rFonts w:ascii="Rockwell" w:hAnsi="Rockwell"/>
          <w:color w:val="auto"/>
          <w:sz w:val="26"/>
          <w:szCs w:val="26"/>
        </w:rPr>
      </w:pPr>
      <w:bookmarkStart w:id="499" w:name="_Toc175128578"/>
      <w:bookmarkStart w:id="500" w:name="_Toc169855222"/>
      <w:r>
        <w:rPr>
          <w:rFonts w:ascii="Rockwell" w:hAnsi="Rockwell"/>
          <w:i w:val="0"/>
          <w:color w:val="auto"/>
          <w:sz w:val="26"/>
          <w:szCs w:val="26"/>
        </w:rPr>
        <w:t xml:space="preserve">3.1. </w:t>
      </w:r>
      <w:r>
        <w:rPr>
          <w:rFonts w:ascii="Rockwell" w:hAnsi="Rockwell"/>
          <w:color w:val="auto"/>
          <w:sz w:val="26"/>
          <w:szCs w:val="26"/>
        </w:rPr>
        <w:t>Le colloque régional en République du Sénégal</w:t>
      </w:r>
      <w:bookmarkEnd w:id="499"/>
      <w:bookmarkEnd w:id="500"/>
    </w:p>
    <w:p w14:paraId="7149AD6F" w14:textId="77777777" w:rsidR="00733207" w:rsidRDefault="00733207">
      <w:pPr>
        <w:spacing w:before="240" w:after="240"/>
        <w:jc w:val="both"/>
        <w:rPr>
          <w:rFonts w:ascii="Rockwell" w:hAnsi="Rockwell"/>
          <w:i/>
        </w:rPr>
      </w:pPr>
    </w:p>
    <w:p w14:paraId="328F736F" w14:textId="77777777" w:rsidR="00733207" w:rsidRDefault="00912BAE">
      <w:pPr>
        <w:spacing w:before="120" w:after="120" w:line="360" w:lineRule="auto"/>
        <w:jc w:val="both"/>
        <w:rPr>
          <w:rFonts w:ascii="Rockwell" w:hAnsi="Rockwell"/>
          <w:bCs/>
          <w:sz w:val="26"/>
          <w:szCs w:val="26"/>
        </w:rPr>
      </w:pPr>
      <w:r>
        <w:rPr>
          <w:rFonts w:ascii="Rockwell" w:hAnsi="Rockwell"/>
          <w:sz w:val="26"/>
          <w:szCs w:val="26"/>
        </w:rPr>
        <w:t>Le CSC a pris part, du 08 au 10 mars 2023</w:t>
      </w:r>
      <w:r>
        <w:rPr>
          <w:rFonts w:ascii="Rockwell" w:hAnsi="Rockwell"/>
          <w:b/>
          <w:sz w:val="26"/>
          <w:szCs w:val="26"/>
        </w:rPr>
        <w:t>,</w:t>
      </w:r>
      <w:r>
        <w:rPr>
          <w:rFonts w:ascii="Rockwell" w:hAnsi="Rockwell"/>
          <w:sz w:val="26"/>
          <w:szCs w:val="26"/>
        </w:rPr>
        <w:t xml:space="preserve"> à un colloque régional tenu à Dakar en République du Sénégal sur le thème : </w:t>
      </w:r>
      <w:r>
        <w:rPr>
          <w:rFonts w:ascii="Rockwell" w:hAnsi="Rockwell"/>
          <w:bCs/>
          <w:i/>
          <w:sz w:val="26"/>
          <w:szCs w:val="26"/>
        </w:rPr>
        <w:t xml:space="preserve">« Repenser </w:t>
      </w:r>
      <w:r>
        <w:rPr>
          <w:rFonts w:ascii="Rockwell" w:hAnsi="Rockwell"/>
          <w:i/>
          <w:sz w:val="26"/>
          <w:szCs w:val="26"/>
          <w:lang w:val="zh-CN"/>
        </w:rPr>
        <w:t xml:space="preserve">les transitions démocratiques : Réinventer la démocratie et l’Etat de droit en Afrique de l’Ouest </w:t>
      </w:r>
      <w:r>
        <w:rPr>
          <w:rFonts w:ascii="Rockwell" w:hAnsi="Rockwell"/>
          <w:bCs/>
          <w:i/>
          <w:sz w:val="26"/>
          <w:szCs w:val="26"/>
        </w:rPr>
        <w:t xml:space="preserve">». </w:t>
      </w:r>
    </w:p>
    <w:p w14:paraId="444C49C2" w14:textId="77777777" w:rsidR="00733207" w:rsidRDefault="00912BAE">
      <w:pPr>
        <w:spacing w:before="120" w:after="120" w:line="360" w:lineRule="auto"/>
        <w:jc w:val="both"/>
        <w:rPr>
          <w:rFonts w:ascii="Rockwell" w:hAnsi="Rockwell"/>
          <w:bCs/>
          <w:sz w:val="26"/>
          <w:szCs w:val="26"/>
        </w:rPr>
      </w:pPr>
      <w:r>
        <w:rPr>
          <w:rFonts w:ascii="Rockwell" w:hAnsi="Rockwell"/>
          <w:bCs/>
          <w:sz w:val="26"/>
          <w:szCs w:val="26"/>
        </w:rPr>
        <w:t xml:space="preserve">L’objectif était d’évaluer les transitions démocratiques en crise, pour les repenser par un grand débat sur la reconceptualisation, la redéfinition ou la </w:t>
      </w:r>
      <w:r>
        <w:rPr>
          <w:rFonts w:ascii="Rockwell" w:hAnsi="Rockwell"/>
          <w:bCs/>
          <w:sz w:val="26"/>
          <w:szCs w:val="26"/>
        </w:rPr>
        <w:lastRenderedPageBreak/>
        <w:t>réinvention de la démocratie en Afrique tout en s’appuyant sur le contexte africain et mondial.</w:t>
      </w:r>
    </w:p>
    <w:p w14:paraId="3DB6688D" w14:textId="77777777" w:rsidR="00733207" w:rsidRDefault="00912BAE">
      <w:pPr>
        <w:spacing w:before="120" w:after="120" w:line="360" w:lineRule="auto"/>
        <w:jc w:val="both"/>
        <w:rPr>
          <w:rFonts w:ascii="Rockwell" w:hAnsi="Rockwell"/>
          <w:bCs/>
          <w:sz w:val="26"/>
          <w:szCs w:val="26"/>
        </w:rPr>
      </w:pPr>
      <w:r>
        <w:rPr>
          <w:rFonts w:ascii="Rockwell" w:hAnsi="Rockwell"/>
          <w:bCs/>
          <w:sz w:val="26"/>
          <w:szCs w:val="26"/>
        </w:rPr>
        <w:t>Il s’est agi également d’apporter des réponses appropriées, collectives et consensuelles à la crise de l’Etat de droit dans les pays de l’Afrique de l’Ouest notamment les pays en transition dont le Burkina Faso.</w:t>
      </w:r>
    </w:p>
    <w:p w14:paraId="19D5B13B" w14:textId="77777777" w:rsidR="00733207" w:rsidRDefault="00912BAE">
      <w:pPr>
        <w:spacing w:before="120" w:after="120" w:line="360" w:lineRule="auto"/>
        <w:jc w:val="both"/>
        <w:rPr>
          <w:rFonts w:ascii="Rockwell" w:hAnsi="Rockwell"/>
          <w:bCs/>
          <w:i/>
          <w:sz w:val="26"/>
          <w:szCs w:val="26"/>
        </w:rPr>
      </w:pPr>
      <w:r>
        <w:rPr>
          <w:rFonts w:ascii="Rockwell" w:hAnsi="Rockwell"/>
          <w:bCs/>
          <w:sz w:val="26"/>
          <w:szCs w:val="26"/>
        </w:rPr>
        <w:t>Le représentant du CSC, Monsieur Daniel BONZI, a animé la Communication introductive sur le thème : « </w:t>
      </w:r>
      <w:r>
        <w:rPr>
          <w:rFonts w:ascii="Rockwell" w:hAnsi="Rockwell"/>
          <w:bCs/>
          <w:i/>
          <w:sz w:val="26"/>
          <w:szCs w:val="26"/>
        </w:rPr>
        <w:t>Impact de la révolution numérique et digitale sur la démocratie ».</w:t>
      </w:r>
    </w:p>
    <w:p w14:paraId="35FCED44" w14:textId="77777777" w:rsidR="00733207" w:rsidRDefault="00733207">
      <w:pPr>
        <w:spacing w:before="120" w:after="120" w:line="360" w:lineRule="auto"/>
        <w:jc w:val="both"/>
        <w:rPr>
          <w:rFonts w:ascii="Rockwell" w:hAnsi="Rockwell"/>
          <w:bCs/>
          <w:sz w:val="26"/>
          <w:szCs w:val="26"/>
        </w:rPr>
      </w:pPr>
    </w:p>
    <w:p w14:paraId="43271275" w14:textId="77777777" w:rsidR="00733207" w:rsidRPr="00AF5387" w:rsidRDefault="00912BAE">
      <w:pPr>
        <w:pStyle w:val="Titre3"/>
        <w:spacing w:before="240" w:after="240" w:line="360" w:lineRule="auto"/>
        <w:jc w:val="center"/>
        <w:rPr>
          <w:rFonts w:ascii="Rockwell" w:hAnsi="Rockwell"/>
          <w:b/>
          <w:i/>
          <w:color w:val="auto"/>
          <w:sz w:val="28"/>
          <w:szCs w:val="28"/>
        </w:rPr>
      </w:pPr>
      <w:bookmarkStart w:id="501" w:name="_Toc170209351"/>
      <w:bookmarkStart w:id="502" w:name="_Toc169854390"/>
      <w:bookmarkStart w:id="503" w:name="_Toc175128579"/>
      <w:bookmarkStart w:id="504" w:name="_Toc169855223"/>
      <w:r w:rsidRPr="00AF5387">
        <w:rPr>
          <w:rFonts w:ascii="Rockwell" w:hAnsi="Rockwell"/>
          <w:b/>
          <w:i/>
          <w:color w:val="auto"/>
          <w:sz w:val="28"/>
          <w:szCs w:val="28"/>
        </w:rPr>
        <w:t>SECTION 3 : PARTENARIAT AU NIVEAU NATIONAL</w:t>
      </w:r>
      <w:bookmarkEnd w:id="501"/>
      <w:bookmarkEnd w:id="502"/>
      <w:bookmarkEnd w:id="503"/>
      <w:bookmarkEnd w:id="504"/>
    </w:p>
    <w:p w14:paraId="4CFBFAA7" w14:textId="77777777" w:rsidR="00733207" w:rsidRDefault="00733207">
      <w:pPr>
        <w:jc w:val="both"/>
        <w:rPr>
          <w:rFonts w:ascii="Rockwell" w:hAnsi="Rockwell"/>
          <w:sz w:val="10"/>
          <w:szCs w:val="10"/>
        </w:rPr>
      </w:pPr>
    </w:p>
    <w:p w14:paraId="79CBC4F0" w14:textId="77777777" w:rsidR="00733207" w:rsidRDefault="00912BAE">
      <w:pPr>
        <w:tabs>
          <w:tab w:val="left" w:pos="1033"/>
        </w:tabs>
        <w:spacing w:before="120" w:after="120" w:line="360" w:lineRule="auto"/>
        <w:jc w:val="both"/>
        <w:rPr>
          <w:rFonts w:ascii="Rockwell" w:hAnsi="Rockwell"/>
          <w:sz w:val="26"/>
          <w:szCs w:val="26"/>
        </w:rPr>
      </w:pPr>
      <w:r>
        <w:rPr>
          <w:rFonts w:ascii="Rockwell" w:hAnsi="Rockwell"/>
          <w:sz w:val="26"/>
          <w:szCs w:val="26"/>
        </w:rPr>
        <w:t>Au cours de l’année 2023, les rencontres auxquelles le CSC a participé, peuvent se résumer de façon chronologique, comme suit :</w:t>
      </w:r>
    </w:p>
    <w:p w14:paraId="194F1716" w14:textId="77777777" w:rsidR="00733207" w:rsidRDefault="00733207">
      <w:pPr>
        <w:tabs>
          <w:tab w:val="left" w:pos="1033"/>
        </w:tabs>
        <w:spacing w:before="120" w:after="120" w:line="360" w:lineRule="auto"/>
        <w:jc w:val="both"/>
        <w:rPr>
          <w:rFonts w:ascii="Rockwell" w:hAnsi="Rockwell"/>
          <w:sz w:val="10"/>
          <w:szCs w:val="10"/>
        </w:rPr>
      </w:pPr>
    </w:p>
    <w:p w14:paraId="0A35700D" w14:textId="77777777" w:rsidR="00733207" w:rsidRDefault="00912BAE">
      <w:pPr>
        <w:pStyle w:val="Titre4"/>
        <w:spacing w:before="120" w:after="120" w:line="360" w:lineRule="auto"/>
        <w:jc w:val="center"/>
        <w:rPr>
          <w:rFonts w:ascii="Rockwell" w:hAnsi="Rockwell"/>
          <w:b/>
          <w:i w:val="0"/>
          <w:color w:val="auto"/>
          <w:sz w:val="28"/>
          <w:szCs w:val="28"/>
        </w:rPr>
      </w:pPr>
      <w:bookmarkStart w:id="505" w:name="_Toc92462408"/>
      <w:bookmarkStart w:id="506" w:name="_Toc92462487"/>
      <w:bookmarkStart w:id="507" w:name="_Toc175128580"/>
      <w:bookmarkStart w:id="508" w:name="_Toc169855224"/>
      <w:bookmarkEnd w:id="505"/>
      <w:bookmarkEnd w:id="506"/>
      <w:r>
        <w:rPr>
          <w:rFonts w:ascii="Rockwell" w:hAnsi="Rockwell"/>
          <w:b/>
          <w:i w:val="0"/>
          <w:color w:val="auto"/>
          <w:sz w:val="28"/>
          <w:szCs w:val="28"/>
        </w:rPr>
        <w:t>Paragraphe 1 : Participation aux rencontres de la Commission de l’Informatique et des Libertés (CIL)</w:t>
      </w:r>
      <w:bookmarkEnd w:id="507"/>
      <w:bookmarkEnd w:id="508"/>
    </w:p>
    <w:p w14:paraId="3F185A05" w14:textId="77777777" w:rsidR="00733207" w:rsidRDefault="00733207">
      <w:pPr>
        <w:jc w:val="both"/>
        <w:rPr>
          <w:rFonts w:ascii="Rockwell" w:hAnsi="Rockwell"/>
        </w:rPr>
      </w:pPr>
    </w:p>
    <w:p w14:paraId="24424D9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CSC a pris part aux activités suivantes :</w:t>
      </w:r>
    </w:p>
    <w:p w14:paraId="1EA7FA58"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w:t>
      </w:r>
      <w:proofErr w:type="gramEnd"/>
      <w:r>
        <w:rPr>
          <w:rFonts w:ascii="Rockwell" w:hAnsi="Rockwell"/>
          <w:sz w:val="26"/>
          <w:szCs w:val="26"/>
        </w:rPr>
        <w:t xml:space="preserve"> réunion d’échanges avec des membres de la Commission, le 17 janvier 2023, en vue d’élaborer une feuille de route pour le projet de sensibilisation sur la question des réseaux sociaux ;</w:t>
      </w:r>
    </w:p>
    <w:p w14:paraId="2D3BBCF0" w14:textId="77777777" w:rsidR="00733207" w:rsidRDefault="00912BAE">
      <w:pPr>
        <w:numPr>
          <w:ilvl w:val="0"/>
          <w:numId w:val="38"/>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w:t>
      </w:r>
      <w:proofErr w:type="gramEnd"/>
      <w:r>
        <w:rPr>
          <w:rFonts w:ascii="Rockwell" w:hAnsi="Rockwell"/>
          <w:sz w:val="26"/>
          <w:szCs w:val="26"/>
        </w:rPr>
        <w:t xml:space="preserve"> Journée nationale de protection des données personnelles, le 30 mars 2023. A cette occasion, le CSC a animé une communication sur la sensibilisation des web activistes dans l’utilisation des réseaux sociaux ;</w:t>
      </w:r>
    </w:p>
    <w:p w14:paraId="67CC1B27" w14:textId="77777777" w:rsidR="00733207" w:rsidRDefault="00912BAE">
      <w:pPr>
        <w:numPr>
          <w:ilvl w:val="0"/>
          <w:numId w:val="38"/>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la</w:t>
      </w:r>
      <w:proofErr w:type="gramEnd"/>
      <w:r>
        <w:rPr>
          <w:rFonts w:ascii="Rockwell" w:hAnsi="Rockwell"/>
          <w:sz w:val="26"/>
          <w:szCs w:val="26"/>
        </w:rPr>
        <w:t xml:space="preserve"> Conférence Internationale sur la protection des données personnelles, les 09 et 10 mai 2023</w:t>
      </w:r>
      <w:r>
        <w:rPr>
          <w:rFonts w:ascii="Rockwell" w:hAnsi="Rockwell"/>
          <w:b/>
          <w:sz w:val="26"/>
          <w:szCs w:val="26"/>
        </w:rPr>
        <w:t xml:space="preserve">, </w:t>
      </w:r>
      <w:r>
        <w:rPr>
          <w:rFonts w:ascii="Rockwell" w:hAnsi="Rockwell"/>
          <w:sz w:val="26"/>
          <w:szCs w:val="26"/>
        </w:rPr>
        <w:t xml:space="preserve">à l’occasion de l’Assemblée Générale du Réseau Africain des Autorités de Protection des Données </w:t>
      </w:r>
      <w:r>
        <w:rPr>
          <w:rFonts w:ascii="Rockwell" w:hAnsi="Rockwell"/>
          <w:sz w:val="26"/>
          <w:szCs w:val="26"/>
        </w:rPr>
        <w:lastRenderedPageBreak/>
        <w:t xml:space="preserve">Personnelles (RAPDP). La rencontre était placée sous le thème : « </w:t>
      </w:r>
      <w:r>
        <w:rPr>
          <w:rFonts w:ascii="Rockwell" w:hAnsi="Rockwell"/>
          <w:i/>
          <w:sz w:val="26"/>
          <w:szCs w:val="26"/>
        </w:rPr>
        <w:t xml:space="preserve">la protection des données à caractère personnel et de la vie privée sur les plateformes numériques : enjeux et perspectives </w:t>
      </w:r>
      <w:r>
        <w:rPr>
          <w:rFonts w:ascii="Rockwell" w:hAnsi="Rockwell"/>
          <w:sz w:val="26"/>
          <w:szCs w:val="26"/>
        </w:rPr>
        <w:t>».</w:t>
      </w:r>
    </w:p>
    <w:p w14:paraId="1C3A8A73" w14:textId="77777777" w:rsidR="00733207" w:rsidRDefault="00733207">
      <w:pPr>
        <w:suppressAutoHyphens/>
        <w:autoSpaceDN w:val="0"/>
        <w:spacing w:before="120" w:after="120" w:line="360" w:lineRule="auto"/>
        <w:ind w:left="795"/>
        <w:jc w:val="both"/>
        <w:textAlignment w:val="baseline"/>
        <w:rPr>
          <w:rFonts w:ascii="Rockwell" w:hAnsi="Rockwell"/>
          <w:sz w:val="26"/>
          <w:szCs w:val="26"/>
        </w:rPr>
      </w:pPr>
    </w:p>
    <w:p w14:paraId="0CDE2B1B" w14:textId="77777777" w:rsidR="00733207" w:rsidRDefault="00912BAE">
      <w:pPr>
        <w:pStyle w:val="Titre4"/>
        <w:spacing w:before="240" w:after="240" w:line="360" w:lineRule="auto"/>
        <w:jc w:val="center"/>
        <w:rPr>
          <w:rFonts w:ascii="Rockwell" w:hAnsi="Rockwell"/>
          <w:b/>
          <w:i w:val="0"/>
          <w:color w:val="auto"/>
          <w:sz w:val="28"/>
          <w:szCs w:val="28"/>
        </w:rPr>
      </w:pPr>
      <w:bookmarkStart w:id="509" w:name="_Toc169855225"/>
      <w:bookmarkStart w:id="510" w:name="_Toc175128581"/>
      <w:r>
        <w:rPr>
          <w:rFonts w:ascii="Rockwell" w:hAnsi="Rockwell"/>
          <w:b/>
          <w:i w:val="0"/>
          <w:color w:val="auto"/>
          <w:sz w:val="28"/>
          <w:szCs w:val="28"/>
        </w:rPr>
        <w:t>Paragraphe 2 : Participation aux rencontres du Ministère de la communication, de la culture, des arts et du tourisme (MCCAT)</w:t>
      </w:r>
      <w:bookmarkEnd w:id="509"/>
      <w:bookmarkEnd w:id="510"/>
    </w:p>
    <w:p w14:paraId="42286FAB" w14:textId="77777777" w:rsidR="00733207" w:rsidRDefault="00912BAE">
      <w:pPr>
        <w:spacing w:before="120" w:after="120" w:line="360" w:lineRule="auto"/>
        <w:jc w:val="both"/>
        <w:rPr>
          <w:rFonts w:ascii="Rockwell" w:hAnsi="Rockwell"/>
          <w:b/>
          <w:sz w:val="26"/>
          <w:szCs w:val="26"/>
        </w:rPr>
      </w:pPr>
      <w:r>
        <w:rPr>
          <w:rFonts w:ascii="Rockwell" w:hAnsi="Rockwell"/>
          <w:sz w:val="26"/>
          <w:szCs w:val="26"/>
        </w:rPr>
        <w:t>Le CSC a participé aux activités suivantes</w:t>
      </w:r>
      <w:r>
        <w:rPr>
          <w:rFonts w:ascii="Rockwell" w:hAnsi="Rockwell"/>
          <w:b/>
          <w:sz w:val="26"/>
          <w:szCs w:val="26"/>
        </w:rPr>
        <w:t> :</w:t>
      </w:r>
    </w:p>
    <w:p w14:paraId="2450CA31"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du</w:t>
      </w:r>
      <w:proofErr w:type="gramEnd"/>
      <w:r>
        <w:rPr>
          <w:rFonts w:ascii="Rockwell" w:hAnsi="Rockwell"/>
          <w:sz w:val="26"/>
          <w:szCs w:val="26"/>
        </w:rPr>
        <w:t xml:space="preserve"> 03 au 10 avril 2023 à Tenkodogo, atelier de validation du Code de la presse et de la communication audiovisuelle ;</w:t>
      </w:r>
    </w:p>
    <w:p w14:paraId="4A696FD3" w14:textId="77777777" w:rsidR="00733207" w:rsidRDefault="00912BAE">
      <w:pPr>
        <w:numPr>
          <w:ilvl w:val="0"/>
          <w:numId w:val="37"/>
        </w:numPr>
        <w:autoSpaceDN w:val="0"/>
        <w:spacing w:before="120" w:after="120" w:line="360" w:lineRule="auto"/>
        <w:jc w:val="both"/>
        <w:rPr>
          <w:rFonts w:ascii="Rockwell" w:hAnsi="Rockwell"/>
          <w:b/>
          <w:sz w:val="26"/>
          <w:szCs w:val="26"/>
        </w:rPr>
      </w:pPr>
      <w:proofErr w:type="gramStart"/>
      <w:r>
        <w:rPr>
          <w:rFonts w:ascii="Rockwell" w:hAnsi="Rockwell"/>
          <w:sz w:val="26"/>
          <w:szCs w:val="26"/>
        </w:rPr>
        <w:t>le</w:t>
      </w:r>
      <w:proofErr w:type="gramEnd"/>
      <w:r>
        <w:rPr>
          <w:rFonts w:ascii="Rockwell" w:hAnsi="Rockwell"/>
          <w:sz w:val="26"/>
          <w:szCs w:val="26"/>
        </w:rPr>
        <w:t xml:space="preserve"> 15 juin 2023, atelier de cadrage de la relecture de la loi d’orientation du cinéma et de l’audiovisuel au Burkina Faso ;</w:t>
      </w:r>
    </w:p>
    <w:p w14:paraId="49F3CA11"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du</w:t>
      </w:r>
      <w:proofErr w:type="gramEnd"/>
      <w:r>
        <w:rPr>
          <w:rFonts w:ascii="Rockwell" w:hAnsi="Rockwell"/>
          <w:sz w:val="26"/>
          <w:szCs w:val="26"/>
        </w:rPr>
        <w:t xml:space="preserve"> 11 au 16 juillet 2023, résidence de rédaction des textes encadrant le cinéma et l’audiovisuel, à Koudougou ;</w:t>
      </w:r>
    </w:p>
    <w:p w14:paraId="289BD4E7"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le</w:t>
      </w:r>
      <w:proofErr w:type="gramEnd"/>
      <w:r>
        <w:rPr>
          <w:rFonts w:ascii="Rockwell" w:hAnsi="Rockwell"/>
          <w:sz w:val="26"/>
          <w:szCs w:val="26"/>
        </w:rPr>
        <w:t xml:space="preserve"> 25 juillet 2023</w:t>
      </w:r>
      <w:r>
        <w:rPr>
          <w:rFonts w:ascii="Rockwell" w:hAnsi="Rockwell"/>
          <w:b/>
          <w:sz w:val="26"/>
          <w:szCs w:val="26"/>
        </w:rPr>
        <w:t>,</w:t>
      </w:r>
      <w:r>
        <w:rPr>
          <w:rFonts w:ascii="Rockwell" w:hAnsi="Rockwell"/>
          <w:sz w:val="26"/>
          <w:szCs w:val="26"/>
        </w:rPr>
        <w:t xml:space="preserve"> rencontre d’échanges sur le projet d'élaboration d'un cadre juridique favorable aux technologies des médias et de la communication ;</w:t>
      </w:r>
    </w:p>
    <w:p w14:paraId="7D437CE1"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le</w:t>
      </w:r>
      <w:proofErr w:type="gramEnd"/>
      <w:r>
        <w:rPr>
          <w:rFonts w:ascii="Rockwell" w:hAnsi="Rockwell"/>
          <w:sz w:val="26"/>
          <w:szCs w:val="26"/>
        </w:rPr>
        <w:t xml:space="preserve"> 31 août 2023,</w:t>
      </w:r>
      <w:r>
        <w:rPr>
          <w:rFonts w:ascii="Rockwell" w:hAnsi="Rockwell"/>
          <w:b/>
          <w:sz w:val="26"/>
          <w:szCs w:val="26"/>
        </w:rPr>
        <w:t xml:space="preserve"> </w:t>
      </w:r>
      <w:r>
        <w:rPr>
          <w:rFonts w:ascii="Rockwell" w:hAnsi="Rockwell"/>
          <w:sz w:val="26"/>
          <w:szCs w:val="26"/>
        </w:rPr>
        <w:t>atelier avec les organisations professionnelles des médias sur l’avant-projet de loi organique du CSC ;</w:t>
      </w:r>
    </w:p>
    <w:p w14:paraId="211AB136"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le</w:t>
      </w:r>
      <w:proofErr w:type="gramEnd"/>
      <w:r>
        <w:rPr>
          <w:rFonts w:ascii="Rockwell" w:hAnsi="Rockwell"/>
          <w:sz w:val="26"/>
          <w:szCs w:val="26"/>
        </w:rPr>
        <w:t xml:space="preserve"> 12 septembre 2023, rencontre sectorielle pour l’examen de l’avant-projet de la loi portant règlementation du cinéma, de l’audiovisuel et de l’image animée ;</w:t>
      </w:r>
    </w:p>
    <w:p w14:paraId="69758FEF" w14:textId="77777777" w:rsidR="00733207" w:rsidRDefault="00912BAE">
      <w:pPr>
        <w:numPr>
          <w:ilvl w:val="0"/>
          <w:numId w:val="37"/>
        </w:numPr>
        <w:autoSpaceDN w:val="0"/>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proofErr w:type="gramStart"/>
      <w:r>
        <w:rPr>
          <w:rFonts w:ascii="Rockwell" w:hAnsi="Rockwell"/>
          <w:sz w:val="26"/>
          <w:szCs w:val="26"/>
        </w:rPr>
        <w:t>le</w:t>
      </w:r>
      <w:proofErr w:type="gramEnd"/>
      <w:r>
        <w:rPr>
          <w:rFonts w:ascii="Rockwell" w:hAnsi="Rockwell"/>
          <w:sz w:val="26"/>
          <w:szCs w:val="26"/>
        </w:rPr>
        <w:t xml:space="preserve"> 27 décembre 2023, atelier national de validation de l’avant-projet de loi portant organisation du cinéma, de l’audiovisuel et de l’image animée.  </w:t>
      </w:r>
    </w:p>
    <w:p w14:paraId="4B8FC94D" w14:textId="77777777" w:rsidR="00733207" w:rsidRDefault="00912BAE">
      <w:pPr>
        <w:pStyle w:val="Titre4"/>
        <w:spacing w:before="120" w:after="120" w:line="360" w:lineRule="auto"/>
        <w:jc w:val="center"/>
        <w:rPr>
          <w:rFonts w:ascii="Rockwell" w:hAnsi="Rockwell"/>
          <w:b/>
          <w:i w:val="0"/>
          <w:color w:val="auto"/>
          <w:sz w:val="28"/>
          <w:szCs w:val="28"/>
        </w:rPr>
      </w:pPr>
      <w:bookmarkStart w:id="511" w:name="_Toc175128582"/>
      <w:bookmarkStart w:id="512" w:name="_Toc169855226"/>
      <w:r>
        <w:rPr>
          <w:rFonts w:ascii="Rockwell" w:hAnsi="Rockwell"/>
          <w:b/>
          <w:i w:val="0"/>
          <w:color w:val="auto"/>
          <w:sz w:val="28"/>
          <w:szCs w:val="28"/>
        </w:rPr>
        <w:lastRenderedPageBreak/>
        <w:t>Paragraphe 3 : Autres activités</w:t>
      </w:r>
      <w:bookmarkEnd w:id="511"/>
      <w:bookmarkEnd w:id="512"/>
    </w:p>
    <w:p w14:paraId="662A6E81" w14:textId="15DC61DF" w:rsidR="00733207" w:rsidRPr="00AF5387" w:rsidRDefault="00AF5387" w:rsidP="00AF5387">
      <w:pPr>
        <w:autoSpaceDN w:val="0"/>
        <w:spacing w:before="120" w:after="120" w:line="360" w:lineRule="auto"/>
        <w:jc w:val="both"/>
        <w:rPr>
          <w:rFonts w:ascii="Rockwell" w:hAnsi="Rockwell"/>
          <w:sz w:val="26"/>
          <w:szCs w:val="26"/>
        </w:rPr>
      </w:pPr>
      <w:r w:rsidRPr="00AF5387">
        <w:rPr>
          <w:rFonts w:ascii="Rockwell" w:hAnsi="Rockwell"/>
          <w:sz w:val="26"/>
          <w:szCs w:val="26"/>
        </w:rPr>
        <w:t xml:space="preserve">Au titre des activités menées par le CSC, on note la : </w:t>
      </w:r>
    </w:p>
    <w:p w14:paraId="04DE3B69" w14:textId="77777777" w:rsidR="00733207" w:rsidRDefault="00912BAE">
      <w:pPr>
        <w:pStyle w:val="Paragraphedeliste"/>
        <w:numPr>
          <w:ilvl w:val="0"/>
          <w:numId w:val="13"/>
        </w:numPr>
        <w:spacing w:before="120" w:after="120" w:line="360" w:lineRule="auto"/>
        <w:ind w:left="720"/>
        <w:jc w:val="both"/>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 le 12 avril 2023, à la réunion thématique de l’Autorité Supérieur de Contrôle d’Etat et de lutte contre la corruption (ASCE/LC) sur la protection des lanceurs d’alerte et des informateurs dans le cadre de la lutte contre la corruption ;</w:t>
      </w:r>
    </w:p>
    <w:p w14:paraId="5C99D7E0" w14:textId="77777777" w:rsidR="00733207" w:rsidRDefault="00912BAE">
      <w:pPr>
        <w:pStyle w:val="Paragraphedeliste"/>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 le 09 mai 2023,</w:t>
      </w:r>
      <w:r>
        <w:rPr>
          <w:rFonts w:ascii="Rockwell" w:hAnsi="Rockwell"/>
          <w:b/>
          <w:sz w:val="26"/>
          <w:szCs w:val="26"/>
        </w:rPr>
        <w:t xml:space="preserve"> </w:t>
      </w:r>
      <w:r>
        <w:rPr>
          <w:rFonts w:ascii="Rockwell" w:hAnsi="Rockwell"/>
          <w:sz w:val="26"/>
          <w:szCs w:val="26"/>
        </w:rPr>
        <w:t>à la table ronde sur la Journée mondiale de la liberté de la presse, organisée par le Haut-Commissariat des Nations Unies pour les droits de l’homme ;</w:t>
      </w:r>
    </w:p>
    <w:p w14:paraId="14FB9713" w14:textId="77777777" w:rsidR="00733207" w:rsidRDefault="00912BAE">
      <w:pPr>
        <w:pStyle w:val="Paragraphedeliste"/>
        <w:numPr>
          <w:ilvl w:val="0"/>
          <w:numId w:val="37"/>
        </w:numPr>
        <w:suppressAutoHyphens/>
        <w:autoSpaceDN w:val="0"/>
        <w:spacing w:before="120" w:after="120" w:line="360" w:lineRule="auto"/>
        <w:jc w:val="both"/>
        <w:textAlignment w:val="baseline"/>
        <w:rPr>
          <w:rFonts w:ascii="Rockwell" w:hAnsi="Rockwell"/>
          <w:b/>
          <w:sz w:val="26"/>
          <w:szCs w:val="26"/>
        </w:rPr>
      </w:pPr>
      <w:proofErr w:type="gramStart"/>
      <w:r>
        <w:rPr>
          <w:rFonts w:ascii="Rockwell" w:hAnsi="Rockwell"/>
          <w:sz w:val="26"/>
          <w:szCs w:val="26"/>
        </w:rPr>
        <w:t>participation</w:t>
      </w:r>
      <w:proofErr w:type="gramEnd"/>
      <w:r>
        <w:rPr>
          <w:rFonts w:ascii="Rockwell" w:hAnsi="Rockwell"/>
          <w:sz w:val="26"/>
          <w:szCs w:val="26"/>
        </w:rPr>
        <w:t>, le 28 juillet 2023, à la</w:t>
      </w:r>
      <w:r>
        <w:rPr>
          <w:rFonts w:ascii="Rockwell" w:hAnsi="Rockwell"/>
          <w:b/>
          <w:sz w:val="26"/>
          <w:szCs w:val="26"/>
        </w:rPr>
        <w:t xml:space="preserve"> </w:t>
      </w:r>
      <w:r>
        <w:rPr>
          <w:rFonts w:ascii="Rockwell" w:hAnsi="Rockwell"/>
          <w:sz w:val="26"/>
          <w:szCs w:val="26"/>
        </w:rPr>
        <w:t>rencontre de l’Autorité de régulation des communications électroniques et des postes (ARCEP) relative à la présentation des résultats du processus d’optimisation du plan de radiodiffusion sonore analogique (PLAN GE84) en l’occurrence celui portant sur la Bande FM ;</w:t>
      </w:r>
    </w:p>
    <w:p w14:paraId="12DF808F" w14:textId="77777777" w:rsidR="00733207" w:rsidRDefault="00912BAE">
      <w:pPr>
        <w:pStyle w:val="Paragraphedeliste"/>
        <w:numPr>
          <w:ilvl w:val="0"/>
          <w:numId w:val="37"/>
        </w:numPr>
        <w:suppressAutoHyphens/>
        <w:autoSpaceDN w:val="0"/>
        <w:spacing w:before="120" w:after="120" w:line="360" w:lineRule="auto"/>
        <w:jc w:val="both"/>
        <w:textAlignment w:val="baseline"/>
        <w:rPr>
          <w:rFonts w:ascii="Rockwell" w:hAnsi="Rockwell"/>
          <w:b/>
          <w:sz w:val="26"/>
          <w:szCs w:val="26"/>
        </w:rPr>
      </w:pPr>
      <w:proofErr w:type="gramStart"/>
      <w:r>
        <w:rPr>
          <w:rFonts w:ascii="Rockwell" w:hAnsi="Rockwell"/>
          <w:sz w:val="26"/>
          <w:szCs w:val="26"/>
        </w:rPr>
        <w:t>participation</w:t>
      </w:r>
      <w:proofErr w:type="gramEnd"/>
      <w:r>
        <w:rPr>
          <w:rFonts w:ascii="Rockwell" w:hAnsi="Rockwell"/>
          <w:sz w:val="26"/>
          <w:szCs w:val="26"/>
        </w:rPr>
        <w:t>, le 03 novembre 2023,</w:t>
      </w:r>
      <w:r>
        <w:rPr>
          <w:rFonts w:ascii="Rockwell" w:hAnsi="Rockwell"/>
          <w:b/>
          <w:sz w:val="26"/>
          <w:szCs w:val="26"/>
        </w:rPr>
        <w:t xml:space="preserve"> </w:t>
      </w:r>
      <w:r>
        <w:rPr>
          <w:rFonts w:ascii="Rockwell" w:hAnsi="Rockwell"/>
          <w:sz w:val="26"/>
          <w:szCs w:val="26"/>
        </w:rPr>
        <w:t xml:space="preserve">à l’atelier national préparatoire de  la participation du Burkina Faso à la CMR-2023 ; </w:t>
      </w:r>
    </w:p>
    <w:p w14:paraId="23539A75"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 le 17 novembre 2023,</w:t>
      </w:r>
      <w:r>
        <w:rPr>
          <w:rFonts w:ascii="Rockwell" w:hAnsi="Rockwell"/>
          <w:b/>
          <w:sz w:val="26"/>
          <w:szCs w:val="26"/>
        </w:rPr>
        <w:t xml:space="preserve"> </w:t>
      </w:r>
      <w:r>
        <w:rPr>
          <w:rFonts w:ascii="Rockwell" w:hAnsi="Rockwell"/>
          <w:sz w:val="26"/>
          <w:szCs w:val="26"/>
        </w:rPr>
        <w:t>au</w:t>
      </w:r>
      <w:r>
        <w:rPr>
          <w:rFonts w:ascii="Rockwell" w:hAnsi="Rockwell"/>
          <w:b/>
          <w:sz w:val="26"/>
          <w:szCs w:val="26"/>
        </w:rPr>
        <w:t xml:space="preserve"> </w:t>
      </w:r>
      <w:r>
        <w:rPr>
          <w:rFonts w:ascii="Rockwell" w:hAnsi="Rockwell"/>
          <w:sz w:val="26"/>
          <w:szCs w:val="26"/>
        </w:rPr>
        <w:t>forum sur la gouvernance de l’internet au Burkina Faso ;</w:t>
      </w:r>
    </w:p>
    <w:p w14:paraId="5959504C"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 du 12 au 14 septembre 2023, à une formation pour le renforcement des capacités en légistique, initiée par la Présidence du Faso ;</w:t>
      </w:r>
    </w:p>
    <w:p w14:paraId="526A4CA0"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w:t>
      </w:r>
      <w:r>
        <w:rPr>
          <w:rFonts w:ascii="Rockwell" w:hAnsi="Rockwell"/>
          <w:b/>
          <w:sz w:val="26"/>
          <w:szCs w:val="26"/>
        </w:rPr>
        <w:t xml:space="preserve"> </w:t>
      </w:r>
      <w:r>
        <w:rPr>
          <w:rFonts w:ascii="Rockwell" w:hAnsi="Rockwell"/>
          <w:sz w:val="26"/>
          <w:szCs w:val="26"/>
        </w:rPr>
        <w:t>le 15 septembre 2023,</w:t>
      </w:r>
      <w:r>
        <w:rPr>
          <w:rFonts w:ascii="Rockwell" w:hAnsi="Rockwell"/>
          <w:b/>
          <w:sz w:val="26"/>
          <w:szCs w:val="26"/>
        </w:rPr>
        <w:t xml:space="preserve"> </w:t>
      </w:r>
      <w:r>
        <w:rPr>
          <w:rFonts w:ascii="Rockwell" w:hAnsi="Rockwell"/>
          <w:sz w:val="26"/>
          <w:szCs w:val="26"/>
        </w:rPr>
        <w:t>à la session du COTEVAL sur l’avant-projet de loi organique du CSC ;</w:t>
      </w:r>
    </w:p>
    <w:p w14:paraId="530A67DF" w14:textId="77777777" w:rsidR="00733207" w:rsidRDefault="00912BAE">
      <w:pPr>
        <w:numPr>
          <w:ilvl w:val="0"/>
          <w:numId w:val="37"/>
        </w:numPr>
        <w:suppressAutoHyphens/>
        <w:autoSpaceDN w:val="0"/>
        <w:spacing w:before="120" w:after="120" w:line="360" w:lineRule="auto"/>
        <w:jc w:val="both"/>
        <w:textAlignment w:val="baseline"/>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 les 15 et 16 novembre 2023, à la 2</w:t>
      </w:r>
      <w:r>
        <w:rPr>
          <w:rFonts w:ascii="Rockwell" w:hAnsi="Rockwell"/>
          <w:sz w:val="26"/>
          <w:szCs w:val="26"/>
          <w:vertAlign w:val="superscript"/>
        </w:rPr>
        <w:t>e</w:t>
      </w:r>
      <w:r>
        <w:rPr>
          <w:rFonts w:ascii="Rockwell" w:hAnsi="Rockwell"/>
          <w:sz w:val="26"/>
          <w:szCs w:val="26"/>
        </w:rPr>
        <w:t xml:space="preserve"> session de l’année 2023 du comité de pilotage des licences d’affaires ;</w:t>
      </w:r>
    </w:p>
    <w:p w14:paraId="513FB65E" w14:textId="77777777" w:rsidR="00733207" w:rsidRDefault="00912BAE">
      <w:pPr>
        <w:pStyle w:val="Paragraphedeliste"/>
        <w:numPr>
          <w:ilvl w:val="0"/>
          <w:numId w:val="37"/>
        </w:numPr>
        <w:spacing w:before="120" w:after="120" w:line="360" w:lineRule="auto"/>
        <w:jc w:val="both"/>
        <w:rPr>
          <w:rFonts w:ascii="Rockwell" w:hAnsi="Rockwell"/>
          <w:b/>
          <w:sz w:val="26"/>
          <w:szCs w:val="26"/>
        </w:rPr>
      </w:pPr>
      <w:proofErr w:type="gramStart"/>
      <w:r>
        <w:rPr>
          <w:rFonts w:ascii="Rockwell" w:hAnsi="Rockwell"/>
          <w:sz w:val="26"/>
          <w:szCs w:val="26"/>
        </w:rPr>
        <w:t>participation</w:t>
      </w:r>
      <w:proofErr w:type="gramEnd"/>
      <w:r>
        <w:rPr>
          <w:rFonts w:ascii="Rockwell" w:hAnsi="Rockwell"/>
          <w:sz w:val="26"/>
          <w:szCs w:val="26"/>
        </w:rPr>
        <w:t>, du 14 au18 novembre 2023, au</w:t>
      </w:r>
      <w:r>
        <w:rPr>
          <w:rFonts w:ascii="Rockwell" w:hAnsi="Rockwell"/>
          <w:b/>
          <w:sz w:val="26"/>
          <w:szCs w:val="26"/>
        </w:rPr>
        <w:t xml:space="preserve"> </w:t>
      </w:r>
      <w:r>
        <w:rPr>
          <w:rFonts w:ascii="Rockwell" w:hAnsi="Rockwell"/>
          <w:sz w:val="26"/>
          <w:szCs w:val="26"/>
        </w:rPr>
        <w:t>panel de la 18</w:t>
      </w:r>
      <w:r>
        <w:rPr>
          <w:rFonts w:ascii="Rockwell" w:hAnsi="Rockwell"/>
          <w:sz w:val="26"/>
          <w:szCs w:val="26"/>
          <w:vertAlign w:val="superscript"/>
        </w:rPr>
        <w:t>e</w:t>
      </w:r>
      <w:r>
        <w:rPr>
          <w:rFonts w:ascii="Rockwell" w:hAnsi="Rockwell"/>
          <w:sz w:val="26"/>
          <w:szCs w:val="26"/>
        </w:rPr>
        <w:t xml:space="preserve"> édition de la semaine du numérique, organisé par le Ministère de la transition digitale, des postes et des communications électroniques (MTDPCE) ;</w:t>
      </w:r>
    </w:p>
    <w:p w14:paraId="1444249E" w14:textId="77777777" w:rsidR="00733207" w:rsidRDefault="00912BAE">
      <w:pPr>
        <w:pStyle w:val="Paragraphedeliste"/>
        <w:numPr>
          <w:ilvl w:val="0"/>
          <w:numId w:val="37"/>
        </w:numPr>
        <w:spacing w:before="120" w:after="120" w:line="360" w:lineRule="auto"/>
        <w:jc w:val="both"/>
        <w:rPr>
          <w:rFonts w:ascii="Rockwell" w:hAnsi="Rockwell"/>
          <w:b/>
          <w:sz w:val="26"/>
          <w:szCs w:val="26"/>
        </w:rPr>
      </w:pPr>
      <w:proofErr w:type="gramStart"/>
      <w:r>
        <w:rPr>
          <w:rFonts w:ascii="Rockwell" w:hAnsi="Rockwell"/>
          <w:sz w:val="26"/>
          <w:szCs w:val="26"/>
        </w:rPr>
        <w:lastRenderedPageBreak/>
        <w:t>participation</w:t>
      </w:r>
      <w:proofErr w:type="gramEnd"/>
      <w:r>
        <w:rPr>
          <w:rFonts w:ascii="Rockwell" w:hAnsi="Rockwell"/>
          <w:b/>
          <w:sz w:val="26"/>
          <w:szCs w:val="26"/>
        </w:rPr>
        <w:t xml:space="preserve">, </w:t>
      </w:r>
      <w:r>
        <w:rPr>
          <w:rFonts w:ascii="Rockwell" w:hAnsi="Rockwell"/>
          <w:sz w:val="26"/>
          <w:szCs w:val="26"/>
        </w:rPr>
        <w:t>le 14 décembre 2023,</w:t>
      </w:r>
      <w:r>
        <w:rPr>
          <w:rFonts w:ascii="Rockwell" w:hAnsi="Rockwell"/>
          <w:b/>
          <w:sz w:val="26"/>
          <w:szCs w:val="26"/>
        </w:rPr>
        <w:t xml:space="preserve"> </w:t>
      </w:r>
      <w:r>
        <w:rPr>
          <w:rFonts w:ascii="Rockwell" w:hAnsi="Rockwell"/>
          <w:sz w:val="26"/>
          <w:szCs w:val="26"/>
        </w:rPr>
        <w:t xml:space="preserve">à l’atelier de validation du rapport définitif de l’étude de faisabilité d’un Guichet Unique des Licences d’affaires (GULA), organisé par le Ministère du Développement Industriel, du Commerce, de l’Artisanat et des PME ; </w:t>
      </w:r>
    </w:p>
    <w:p w14:paraId="153D8D87" w14:textId="77777777" w:rsidR="00733207" w:rsidRDefault="00912BAE">
      <w:pPr>
        <w:pStyle w:val="Paragraphedeliste"/>
        <w:numPr>
          <w:ilvl w:val="0"/>
          <w:numId w:val="37"/>
        </w:numPr>
        <w:spacing w:before="120" w:after="120" w:line="360" w:lineRule="auto"/>
        <w:jc w:val="both"/>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w:t>
      </w:r>
      <w:r>
        <w:rPr>
          <w:rFonts w:ascii="Rockwell" w:hAnsi="Rockwell"/>
          <w:b/>
          <w:sz w:val="26"/>
          <w:szCs w:val="26"/>
        </w:rPr>
        <w:t xml:space="preserve"> </w:t>
      </w:r>
      <w:r>
        <w:rPr>
          <w:rFonts w:ascii="Rockwell" w:hAnsi="Rockwell"/>
          <w:sz w:val="26"/>
          <w:szCs w:val="26"/>
        </w:rPr>
        <w:t>le 21 décembre 2023</w:t>
      </w:r>
      <w:r>
        <w:rPr>
          <w:rFonts w:ascii="Rockwell" w:hAnsi="Rockwell"/>
          <w:b/>
          <w:sz w:val="26"/>
          <w:szCs w:val="26"/>
        </w:rPr>
        <w:t xml:space="preserve">, </w:t>
      </w:r>
      <w:r>
        <w:rPr>
          <w:rFonts w:ascii="Rockwell" w:hAnsi="Rockwell"/>
          <w:sz w:val="26"/>
          <w:szCs w:val="26"/>
        </w:rPr>
        <w:t>à la rencontre</w:t>
      </w:r>
      <w:r>
        <w:rPr>
          <w:rFonts w:ascii="Rockwell" w:hAnsi="Rockwell"/>
          <w:b/>
          <w:sz w:val="26"/>
          <w:szCs w:val="26"/>
        </w:rPr>
        <w:t xml:space="preserve"> </w:t>
      </w:r>
      <w:r>
        <w:rPr>
          <w:rFonts w:ascii="Rockwell" w:hAnsi="Rockwell"/>
          <w:sz w:val="26"/>
          <w:szCs w:val="26"/>
        </w:rPr>
        <w:t>de Canal+ Burkina sur la présentation d’une solution technique de blocage automatisé d’adresses IP illicites au Burkina Faso ;</w:t>
      </w:r>
    </w:p>
    <w:p w14:paraId="756B3C7F" w14:textId="77777777" w:rsidR="00733207" w:rsidRDefault="00912BAE">
      <w:pPr>
        <w:pStyle w:val="Paragraphedeliste"/>
        <w:numPr>
          <w:ilvl w:val="0"/>
          <w:numId w:val="37"/>
        </w:numPr>
        <w:spacing w:before="120" w:after="120" w:line="360" w:lineRule="auto"/>
        <w:jc w:val="both"/>
        <w:rPr>
          <w:rFonts w:ascii="Rockwell" w:hAnsi="Rockwell"/>
          <w:sz w:val="26"/>
          <w:szCs w:val="26"/>
        </w:rPr>
      </w:pPr>
      <w:proofErr w:type="gramStart"/>
      <w:r>
        <w:rPr>
          <w:rFonts w:ascii="Rockwell" w:hAnsi="Rockwell"/>
          <w:sz w:val="26"/>
          <w:szCs w:val="26"/>
        </w:rPr>
        <w:t>participation</w:t>
      </w:r>
      <w:proofErr w:type="gramEnd"/>
      <w:r>
        <w:rPr>
          <w:rFonts w:ascii="Rockwell" w:hAnsi="Rockwell"/>
          <w:sz w:val="26"/>
          <w:szCs w:val="26"/>
        </w:rPr>
        <w:t xml:space="preserve"> à la 10</w:t>
      </w:r>
      <w:r>
        <w:rPr>
          <w:rFonts w:ascii="Rockwell" w:hAnsi="Rockwell"/>
          <w:sz w:val="26"/>
          <w:szCs w:val="26"/>
          <w:vertAlign w:val="superscript"/>
        </w:rPr>
        <w:t>e</w:t>
      </w:r>
      <w:r>
        <w:rPr>
          <w:rFonts w:ascii="Rockwell" w:hAnsi="Rockwell"/>
          <w:sz w:val="26"/>
          <w:szCs w:val="26"/>
        </w:rPr>
        <w:t xml:space="preserve"> édition du Forum sur la Gouvernance de l’Internet, tenue à Ouagadougou le 17 novembre 2023 ainsi qu’à la 1</w:t>
      </w:r>
      <w:r>
        <w:rPr>
          <w:rFonts w:ascii="Rockwell" w:hAnsi="Rockwell"/>
          <w:sz w:val="26"/>
          <w:szCs w:val="26"/>
          <w:vertAlign w:val="superscript"/>
        </w:rPr>
        <w:t>ère</w:t>
      </w:r>
      <w:r>
        <w:rPr>
          <w:rFonts w:ascii="Rockwell" w:hAnsi="Rockwell"/>
          <w:sz w:val="26"/>
          <w:szCs w:val="26"/>
        </w:rPr>
        <w:t xml:space="preserve"> édition du Forum des Jeunes pour la Gouvernance d’Internet tenue à Bobo-Dioulasso, le 16 décembre 2023. Ces deux rencontres ont été organisées par IGF Burkina ;</w:t>
      </w:r>
    </w:p>
    <w:p w14:paraId="2DFCC6C7" w14:textId="77777777" w:rsidR="00733207" w:rsidRDefault="00912BAE">
      <w:pPr>
        <w:numPr>
          <w:ilvl w:val="0"/>
          <w:numId w:val="37"/>
        </w:numPr>
        <w:suppressAutoHyphens/>
        <w:autoSpaceDN w:val="0"/>
        <w:spacing w:before="120" w:after="120" w:line="360" w:lineRule="auto"/>
        <w:jc w:val="both"/>
        <w:textAlignment w:val="baseline"/>
        <w:rPr>
          <w:rFonts w:ascii="Rockwell" w:hAnsi="Rockwell"/>
          <w:b/>
          <w:sz w:val="26"/>
          <w:szCs w:val="26"/>
        </w:rPr>
      </w:pPr>
      <w:proofErr w:type="gramStart"/>
      <w:r>
        <w:rPr>
          <w:rFonts w:ascii="Rockwell" w:hAnsi="Rockwell"/>
          <w:sz w:val="26"/>
          <w:szCs w:val="26"/>
        </w:rPr>
        <w:t>participation</w:t>
      </w:r>
      <w:proofErr w:type="gramEnd"/>
      <w:r>
        <w:rPr>
          <w:rFonts w:ascii="Rockwell" w:hAnsi="Rockwell"/>
          <w:sz w:val="26"/>
          <w:szCs w:val="26"/>
        </w:rPr>
        <w:t>, le 28 décembre 2023</w:t>
      </w:r>
      <w:r>
        <w:rPr>
          <w:rFonts w:ascii="Rockwell" w:hAnsi="Rockwell"/>
          <w:b/>
          <w:sz w:val="26"/>
          <w:szCs w:val="26"/>
        </w:rPr>
        <w:t xml:space="preserve">, </w:t>
      </w:r>
      <w:r>
        <w:rPr>
          <w:rFonts w:ascii="Rockwell" w:hAnsi="Rockwell"/>
          <w:sz w:val="26"/>
          <w:szCs w:val="26"/>
        </w:rPr>
        <w:t>à la session du Comité national de suivi de la mise en œuvre du plan d’actions national 2022-2024 de promotion du civisme et de la participation citoyenne, organisée par le Ministère de la Justice et des Droits Humains chargé des relations avec les institutions ;</w:t>
      </w:r>
    </w:p>
    <w:p w14:paraId="556296D6" w14:textId="77777777" w:rsidR="00733207" w:rsidRDefault="00912BAE">
      <w:pPr>
        <w:numPr>
          <w:ilvl w:val="0"/>
          <w:numId w:val="37"/>
        </w:numPr>
        <w:suppressAutoHyphens/>
        <w:autoSpaceDN w:val="0"/>
        <w:spacing w:before="120" w:after="120" w:line="360" w:lineRule="auto"/>
        <w:jc w:val="both"/>
        <w:textAlignment w:val="baseline"/>
        <w:rPr>
          <w:rFonts w:ascii="Rockwell" w:hAnsi="Rockwell"/>
          <w:b/>
          <w:sz w:val="26"/>
          <w:szCs w:val="26"/>
        </w:rPr>
      </w:pPr>
      <w:proofErr w:type="gramStart"/>
      <w:r>
        <w:rPr>
          <w:rFonts w:ascii="Rockwell" w:hAnsi="Rockwell"/>
          <w:sz w:val="26"/>
          <w:szCs w:val="26"/>
        </w:rPr>
        <w:t>participation</w:t>
      </w:r>
      <w:proofErr w:type="gramEnd"/>
      <w:r>
        <w:rPr>
          <w:rFonts w:ascii="Rockwell" w:hAnsi="Rockwell"/>
          <w:sz w:val="26"/>
          <w:szCs w:val="26"/>
        </w:rPr>
        <w:t>, le 29 décembre 2023</w:t>
      </w:r>
      <w:r>
        <w:rPr>
          <w:rFonts w:ascii="Rockwell" w:hAnsi="Rockwell"/>
          <w:b/>
          <w:sz w:val="26"/>
          <w:szCs w:val="26"/>
        </w:rPr>
        <w:t xml:space="preserve">, </w:t>
      </w:r>
      <w:r>
        <w:rPr>
          <w:rFonts w:ascii="Rockwell" w:hAnsi="Rockwell"/>
          <w:sz w:val="26"/>
          <w:szCs w:val="26"/>
        </w:rPr>
        <w:t>au panel organisé par le Ministère de la Justice et des droits humains chargé des relations avec les institutions, à l’occasion de la célébration en différé du 75</w:t>
      </w:r>
      <w:r>
        <w:rPr>
          <w:rFonts w:ascii="Rockwell" w:hAnsi="Rockwell"/>
          <w:sz w:val="26"/>
          <w:szCs w:val="26"/>
          <w:vertAlign w:val="superscript"/>
        </w:rPr>
        <w:t>e</w:t>
      </w:r>
      <w:r>
        <w:rPr>
          <w:rFonts w:ascii="Rockwell" w:hAnsi="Rockwell"/>
          <w:sz w:val="26"/>
          <w:szCs w:val="26"/>
        </w:rPr>
        <w:t xml:space="preserve"> anniversaire de la déclaration Universelle des Droits Humains.</w:t>
      </w:r>
    </w:p>
    <w:p w14:paraId="424161B7" w14:textId="77777777" w:rsidR="00733207" w:rsidRDefault="00733207">
      <w:pPr>
        <w:spacing w:before="120" w:after="120" w:line="360" w:lineRule="auto"/>
        <w:ind w:left="720"/>
        <w:jc w:val="both"/>
        <w:rPr>
          <w:rFonts w:ascii="Rockwell" w:hAnsi="Rockwell"/>
          <w:b/>
          <w:sz w:val="26"/>
          <w:szCs w:val="26"/>
        </w:rPr>
      </w:pPr>
    </w:p>
    <w:p w14:paraId="614E786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br w:type="page"/>
      </w:r>
    </w:p>
    <w:p w14:paraId="1A6D0558" w14:textId="77777777" w:rsidR="00733207" w:rsidRDefault="00733207">
      <w:pPr>
        <w:spacing w:before="120" w:after="120" w:line="360" w:lineRule="auto"/>
        <w:jc w:val="both"/>
        <w:rPr>
          <w:rFonts w:ascii="Rockwell" w:hAnsi="Rockwell" w:cs="Times New Roman"/>
          <w:sz w:val="26"/>
          <w:szCs w:val="26"/>
        </w:rPr>
      </w:pPr>
    </w:p>
    <w:p w14:paraId="6372CE38" w14:textId="77777777" w:rsidR="00733207" w:rsidRDefault="00733207">
      <w:pPr>
        <w:spacing w:before="120" w:after="120" w:line="360" w:lineRule="auto"/>
        <w:jc w:val="both"/>
        <w:rPr>
          <w:rFonts w:ascii="Rockwell" w:hAnsi="Rockwell" w:cs="Times New Roman"/>
          <w:sz w:val="26"/>
          <w:szCs w:val="26"/>
        </w:rPr>
      </w:pPr>
    </w:p>
    <w:p w14:paraId="465E1E99" w14:textId="77777777" w:rsidR="00733207" w:rsidRDefault="00733207">
      <w:pPr>
        <w:spacing w:before="120" w:after="120" w:line="360" w:lineRule="auto"/>
        <w:jc w:val="both"/>
        <w:rPr>
          <w:rFonts w:ascii="Rockwell" w:hAnsi="Rockwell" w:cs="Times New Roman"/>
          <w:sz w:val="26"/>
          <w:szCs w:val="26"/>
        </w:rPr>
      </w:pPr>
    </w:p>
    <w:p w14:paraId="23C8AEC6" w14:textId="77777777" w:rsidR="00733207" w:rsidRDefault="00733207">
      <w:pPr>
        <w:spacing w:before="120" w:after="120" w:line="360" w:lineRule="auto"/>
        <w:jc w:val="both"/>
        <w:rPr>
          <w:rFonts w:ascii="Rockwell" w:hAnsi="Rockwell" w:cs="Times New Roman"/>
          <w:sz w:val="26"/>
          <w:szCs w:val="26"/>
        </w:rPr>
      </w:pPr>
    </w:p>
    <w:p w14:paraId="64E59794" w14:textId="77777777" w:rsidR="00733207" w:rsidRDefault="00733207">
      <w:pPr>
        <w:spacing w:before="120" w:after="120" w:line="360" w:lineRule="auto"/>
        <w:jc w:val="both"/>
        <w:rPr>
          <w:rFonts w:ascii="Rockwell" w:hAnsi="Rockwell" w:cs="Times New Roman"/>
          <w:sz w:val="26"/>
          <w:szCs w:val="26"/>
        </w:rPr>
      </w:pPr>
    </w:p>
    <w:p w14:paraId="56F4E4B4" w14:textId="77777777" w:rsidR="00733207" w:rsidRDefault="00733207">
      <w:pPr>
        <w:spacing w:before="120" w:after="120" w:line="360" w:lineRule="auto"/>
        <w:jc w:val="both"/>
        <w:rPr>
          <w:rFonts w:ascii="Rockwell" w:hAnsi="Rockwell" w:cs="Times New Roman"/>
          <w:sz w:val="26"/>
          <w:szCs w:val="26"/>
        </w:rPr>
      </w:pPr>
    </w:p>
    <w:p w14:paraId="0BF6A25D" w14:textId="77777777" w:rsidR="00733207" w:rsidRDefault="00733207">
      <w:pPr>
        <w:spacing w:before="120" w:after="120" w:line="360" w:lineRule="auto"/>
        <w:jc w:val="both"/>
        <w:rPr>
          <w:rFonts w:ascii="Rockwell" w:hAnsi="Rockwell" w:cs="Times New Roman"/>
          <w:sz w:val="26"/>
          <w:szCs w:val="26"/>
        </w:rPr>
      </w:pPr>
    </w:p>
    <w:p w14:paraId="0FBF7C84" w14:textId="77777777" w:rsidR="00733207" w:rsidRDefault="00733207">
      <w:pPr>
        <w:spacing w:before="120" w:after="120" w:line="360" w:lineRule="auto"/>
        <w:jc w:val="both"/>
        <w:rPr>
          <w:rFonts w:ascii="Rockwell" w:hAnsi="Rockwell" w:cs="Times New Roman"/>
          <w:sz w:val="26"/>
          <w:szCs w:val="26"/>
        </w:rPr>
      </w:pPr>
    </w:p>
    <w:p w14:paraId="4018864E" w14:textId="77777777" w:rsidR="00733207" w:rsidRDefault="00912BAE">
      <w:pPr>
        <w:pStyle w:val="Titre1"/>
        <w:spacing w:after="240" w:line="360" w:lineRule="auto"/>
        <w:jc w:val="center"/>
        <w:rPr>
          <w:rFonts w:ascii="Rockwell" w:hAnsi="Rockwell"/>
          <w:b/>
          <w:color w:val="auto"/>
        </w:rPr>
      </w:pPr>
      <w:bookmarkStart w:id="513" w:name="_Toc175128583"/>
      <w:bookmarkStart w:id="514" w:name="_Toc169854391"/>
      <w:bookmarkStart w:id="515" w:name="_Toc170209352"/>
      <w:bookmarkStart w:id="516" w:name="_Toc169855227"/>
      <w:r>
        <w:rPr>
          <w:rFonts w:ascii="Rockwell" w:hAnsi="Rockwell"/>
          <w:b/>
          <w:color w:val="auto"/>
        </w:rPr>
        <w:t>QUATRIEME PARTIE : GESTION DES RESSOURCES HUMAINES, FINANCIERES ET DES MATIERES</w:t>
      </w:r>
      <w:bookmarkEnd w:id="513"/>
      <w:bookmarkEnd w:id="514"/>
      <w:bookmarkEnd w:id="515"/>
      <w:bookmarkEnd w:id="516"/>
    </w:p>
    <w:p w14:paraId="07E53A94" w14:textId="77777777" w:rsidR="00733207" w:rsidRDefault="00733207">
      <w:pPr>
        <w:spacing w:before="120" w:after="120" w:line="360" w:lineRule="auto"/>
        <w:jc w:val="both"/>
        <w:rPr>
          <w:rFonts w:ascii="Rockwell" w:hAnsi="Rockwell"/>
          <w:sz w:val="26"/>
          <w:szCs w:val="26"/>
        </w:rPr>
      </w:pPr>
    </w:p>
    <w:p w14:paraId="0004E3E3" w14:textId="77777777" w:rsidR="00733207" w:rsidRDefault="00733207">
      <w:pPr>
        <w:spacing w:before="120" w:after="120" w:line="360" w:lineRule="auto"/>
        <w:jc w:val="both"/>
        <w:rPr>
          <w:rFonts w:ascii="Rockwell" w:hAnsi="Rockwell" w:cs="Times New Roman"/>
          <w:b/>
          <w:sz w:val="26"/>
          <w:szCs w:val="26"/>
        </w:rPr>
      </w:pPr>
    </w:p>
    <w:p w14:paraId="56A71DB5" w14:textId="77777777" w:rsidR="00733207" w:rsidRDefault="00733207">
      <w:pPr>
        <w:spacing w:before="120" w:after="120" w:line="360" w:lineRule="auto"/>
        <w:jc w:val="both"/>
        <w:rPr>
          <w:rFonts w:ascii="Rockwell" w:hAnsi="Rockwell" w:cs="Times New Roman"/>
          <w:b/>
          <w:sz w:val="26"/>
          <w:szCs w:val="26"/>
        </w:rPr>
      </w:pPr>
    </w:p>
    <w:p w14:paraId="642B82F8" w14:textId="77777777" w:rsidR="00733207" w:rsidRDefault="00733207">
      <w:pPr>
        <w:spacing w:before="120" w:after="120" w:line="360" w:lineRule="auto"/>
        <w:jc w:val="both"/>
        <w:rPr>
          <w:rFonts w:ascii="Rockwell" w:hAnsi="Rockwell" w:cs="Times New Roman"/>
          <w:b/>
          <w:sz w:val="26"/>
          <w:szCs w:val="26"/>
        </w:rPr>
      </w:pPr>
    </w:p>
    <w:p w14:paraId="744C401A" w14:textId="77777777" w:rsidR="00733207" w:rsidRDefault="00733207">
      <w:pPr>
        <w:spacing w:before="120" w:after="120" w:line="360" w:lineRule="auto"/>
        <w:jc w:val="both"/>
        <w:rPr>
          <w:rFonts w:ascii="Rockwell" w:hAnsi="Rockwell" w:cs="Times New Roman"/>
          <w:b/>
          <w:sz w:val="26"/>
          <w:szCs w:val="26"/>
        </w:rPr>
      </w:pPr>
    </w:p>
    <w:p w14:paraId="2C4427BF" w14:textId="77777777" w:rsidR="00733207" w:rsidRDefault="00733207">
      <w:pPr>
        <w:spacing w:before="120" w:after="120" w:line="360" w:lineRule="auto"/>
        <w:jc w:val="both"/>
        <w:rPr>
          <w:rFonts w:ascii="Rockwell" w:hAnsi="Rockwell" w:cs="Times New Roman"/>
          <w:b/>
          <w:sz w:val="26"/>
          <w:szCs w:val="26"/>
        </w:rPr>
      </w:pPr>
    </w:p>
    <w:p w14:paraId="4DB59F6E" w14:textId="77777777" w:rsidR="00733207" w:rsidRDefault="00733207">
      <w:pPr>
        <w:spacing w:before="120" w:after="120" w:line="360" w:lineRule="auto"/>
        <w:jc w:val="both"/>
        <w:rPr>
          <w:rFonts w:ascii="Rockwell" w:hAnsi="Rockwell" w:cs="Times New Roman"/>
          <w:b/>
          <w:sz w:val="26"/>
          <w:szCs w:val="26"/>
        </w:rPr>
      </w:pPr>
    </w:p>
    <w:p w14:paraId="4BB21F05" w14:textId="77777777" w:rsidR="00733207" w:rsidRDefault="00733207">
      <w:pPr>
        <w:spacing w:before="120" w:after="120" w:line="360" w:lineRule="auto"/>
        <w:jc w:val="both"/>
        <w:rPr>
          <w:rFonts w:ascii="Rockwell" w:hAnsi="Rockwell" w:cs="Times New Roman"/>
          <w:b/>
          <w:sz w:val="26"/>
          <w:szCs w:val="26"/>
        </w:rPr>
      </w:pPr>
    </w:p>
    <w:p w14:paraId="0B5CD76A" w14:textId="77777777" w:rsidR="00733207" w:rsidRDefault="00733207">
      <w:pPr>
        <w:spacing w:before="120" w:after="120" w:line="360" w:lineRule="auto"/>
        <w:jc w:val="both"/>
        <w:rPr>
          <w:rFonts w:ascii="Rockwell" w:hAnsi="Rockwell" w:cs="Times New Roman"/>
          <w:b/>
          <w:sz w:val="26"/>
          <w:szCs w:val="26"/>
        </w:rPr>
      </w:pPr>
    </w:p>
    <w:p w14:paraId="03C0B3C3" w14:textId="77777777" w:rsidR="00733207" w:rsidRDefault="00733207">
      <w:pPr>
        <w:spacing w:before="120" w:after="120" w:line="360" w:lineRule="auto"/>
        <w:jc w:val="both"/>
        <w:rPr>
          <w:rFonts w:ascii="Rockwell" w:hAnsi="Rockwell" w:cs="Times New Roman"/>
          <w:b/>
          <w:sz w:val="26"/>
          <w:szCs w:val="26"/>
        </w:rPr>
      </w:pPr>
    </w:p>
    <w:p w14:paraId="12BCE070" w14:textId="77777777" w:rsidR="00733207" w:rsidRDefault="00733207">
      <w:pPr>
        <w:spacing w:before="120" w:after="120" w:line="360" w:lineRule="auto"/>
        <w:jc w:val="both"/>
        <w:rPr>
          <w:rFonts w:ascii="Rockwell" w:hAnsi="Rockwell" w:cs="Times New Roman"/>
          <w:b/>
          <w:sz w:val="26"/>
          <w:szCs w:val="26"/>
        </w:rPr>
      </w:pPr>
    </w:p>
    <w:p w14:paraId="72FADCAF" w14:textId="77777777" w:rsidR="00733207" w:rsidRDefault="00733207">
      <w:pPr>
        <w:spacing w:before="120" w:after="120" w:line="360" w:lineRule="auto"/>
        <w:jc w:val="both"/>
        <w:rPr>
          <w:rFonts w:ascii="Rockwell" w:hAnsi="Rockwell" w:cs="Times New Roman"/>
          <w:b/>
          <w:sz w:val="26"/>
          <w:szCs w:val="26"/>
        </w:rPr>
      </w:pPr>
    </w:p>
    <w:p w14:paraId="1CF12807" w14:textId="77777777" w:rsidR="00733207" w:rsidRDefault="00733207">
      <w:pPr>
        <w:spacing w:before="120" w:after="120" w:line="360" w:lineRule="auto"/>
        <w:jc w:val="both"/>
        <w:rPr>
          <w:rFonts w:ascii="Rockwell" w:hAnsi="Rockwell" w:cs="Times New Roman"/>
          <w:b/>
          <w:sz w:val="26"/>
          <w:szCs w:val="26"/>
        </w:rPr>
      </w:pPr>
    </w:p>
    <w:p w14:paraId="6A995128" w14:textId="77777777" w:rsidR="00733207" w:rsidRDefault="00912BAE">
      <w:pPr>
        <w:pStyle w:val="Titre2"/>
        <w:spacing w:before="240" w:after="240" w:line="360" w:lineRule="auto"/>
        <w:jc w:val="center"/>
        <w:rPr>
          <w:rFonts w:ascii="Rockwell" w:hAnsi="Rockwell"/>
          <w:b/>
          <w:color w:val="000000" w:themeColor="text1"/>
          <w:sz w:val="30"/>
          <w:szCs w:val="30"/>
        </w:rPr>
      </w:pPr>
      <w:bookmarkStart w:id="517" w:name="_Toc170209353"/>
      <w:bookmarkStart w:id="518" w:name="_Toc169854392"/>
      <w:bookmarkStart w:id="519" w:name="_Toc175128584"/>
      <w:bookmarkStart w:id="520" w:name="_Toc169855228"/>
      <w:r>
        <w:rPr>
          <w:rFonts w:ascii="Rockwell" w:hAnsi="Rockwell"/>
          <w:b/>
          <w:color w:val="000000" w:themeColor="text1"/>
          <w:sz w:val="30"/>
          <w:szCs w:val="30"/>
        </w:rPr>
        <w:lastRenderedPageBreak/>
        <w:t>CHAPITRE I : GESTION DES RESSOURCES HUMAINES</w:t>
      </w:r>
      <w:bookmarkEnd w:id="517"/>
      <w:bookmarkEnd w:id="518"/>
      <w:bookmarkEnd w:id="519"/>
      <w:bookmarkEnd w:id="520"/>
    </w:p>
    <w:p w14:paraId="16CB69B7" w14:textId="77777777" w:rsidR="00733207" w:rsidRDefault="00733207">
      <w:pPr>
        <w:spacing w:before="120" w:after="120" w:line="360" w:lineRule="auto"/>
        <w:jc w:val="center"/>
        <w:rPr>
          <w:rFonts w:ascii="Rockwell" w:hAnsi="Rockwell"/>
          <w:sz w:val="10"/>
          <w:szCs w:val="10"/>
        </w:rPr>
      </w:pPr>
    </w:p>
    <w:p w14:paraId="14A34077" w14:textId="77777777" w:rsidR="00733207" w:rsidRDefault="00912BAE">
      <w:pPr>
        <w:spacing w:before="120" w:after="120" w:line="360" w:lineRule="auto"/>
        <w:ind w:right="-1"/>
        <w:contextualSpacing/>
        <w:jc w:val="both"/>
        <w:rPr>
          <w:rFonts w:ascii="Rockwell" w:hAnsi="Rockwell"/>
          <w:sz w:val="26"/>
          <w:szCs w:val="26"/>
        </w:rPr>
      </w:pPr>
      <w:r>
        <w:rPr>
          <w:rFonts w:ascii="Rockwell" w:hAnsi="Rockwell"/>
          <w:sz w:val="26"/>
          <w:szCs w:val="26"/>
        </w:rPr>
        <w:t xml:space="preserve">La gestion des ressources humaines en 2023, s'est inscrite dans une perspective de développement du capital humain à travers le renforcement des effectifs et de leurs capacités, la distinction honorifique du personnel et la réalisation d’œuvres sociales. </w:t>
      </w:r>
    </w:p>
    <w:p w14:paraId="55ECC46F" w14:textId="77777777" w:rsidR="00733207" w:rsidRDefault="00733207">
      <w:pPr>
        <w:spacing w:before="120" w:after="120" w:line="360" w:lineRule="auto"/>
        <w:ind w:right="-1"/>
        <w:contextualSpacing/>
        <w:jc w:val="both"/>
        <w:rPr>
          <w:rFonts w:ascii="Rockwell" w:hAnsi="Rockwell"/>
          <w:sz w:val="26"/>
          <w:szCs w:val="26"/>
        </w:rPr>
      </w:pPr>
    </w:p>
    <w:p w14:paraId="7738C0CB" w14:textId="77777777" w:rsidR="00733207" w:rsidRDefault="00912BAE">
      <w:pPr>
        <w:pStyle w:val="Titre3"/>
        <w:spacing w:before="240" w:after="240" w:line="360" w:lineRule="auto"/>
        <w:jc w:val="center"/>
        <w:rPr>
          <w:rFonts w:ascii="Rockwell" w:hAnsi="Rockwell"/>
          <w:i/>
          <w:color w:val="auto"/>
          <w:sz w:val="28"/>
          <w:szCs w:val="28"/>
        </w:rPr>
      </w:pPr>
      <w:bookmarkStart w:id="521" w:name="_Toc83299445"/>
      <w:bookmarkStart w:id="522" w:name="_Toc72864379"/>
      <w:bookmarkStart w:id="523" w:name="_Toc175128585"/>
      <w:bookmarkStart w:id="524" w:name="_Toc83299316"/>
      <w:bookmarkStart w:id="525" w:name="_Toc73183960"/>
      <w:bookmarkStart w:id="526" w:name="_Toc169855229"/>
      <w:bookmarkStart w:id="527" w:name="_Toc170209354"/>
      <w:bookmarkStart w:id="528" w:name="_Toc169854393"/>
      <w:r>
        <w:rPr>
          <w:rFonts w:ascii="Rockwell" w:hAnsi="Rockwell"/>
          <w:i/>
          <w:color w:val="auto"/>
          <w:sz w:val="28"/>
          <w:szCs w:val="28"/>
        </w:rPr>
        <w:t>SECTION 1 : GESTION ADMINISTRATIVE</w:t>
      </w:r>
      <w:bookmarkEnd w:id="521"/>
      <w:bookmarkEnd w:id="522"/>
      <w:bookmarkEnd w:id="523"/>
      <w:bookmarkEnd w:id="524"/>
      <w:bookmarkEnd w:id="525"/>
      <w:bookmarkEnd w:id="526"/>
      <w:bookmarkEnd w:id="527"/>
      <w:bookmarkEnd w:id="528"/>
    </w:p>
    <w:p w14:paraId="57493038" w14:textId="77777777" w:rsidR="00733207" w:rsidRDefault="00912BAE">
      <w:pPr>
        <w:spacing w:before="120" w:after="120" w:line="360" w:lineRule="auto"/>
        <w:jc w:val="both"/>
        <w:rPr>
          <w:rFonts w:ascii="Rockwell" w:eastAsia="Calibri" w:hAnsi="Rockwell"/>
          <w:sz w:val="26"/>
          <w:szCs w:val="26"/>
        </w:rPr>
      </w:pPr>
      <w:r>
        <w:rPr>
          <w:rFonts w:ascii="Rockwell" w:hAnsi="Rockwell"/>
          <w:sz w:val="26"/>
          <w:szCs w:val="26"/>
        </w:rPr>
        <w:t>Dans le cadre de la gestion stratégique de ses ressources humaines, le CSC s’est doté d’un plan de formation de son personnel, afin de mieux planifier à court, moyen et long terme ses actions de formation et de développement des ressources humaines.</w:t>
      </w:r>
    </w:p>
    <w:p w14:paraId="2DCBB39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En plus de la conception de cet outil stratégique, le CSC a poursuivi ses actions de renforcement des effectifs afin de combler les postes vacants. Ainsi, il a bénéficié de l'entrée des neuf (09) agents suivants :</w:t>
      </w:r>
    </w:p>
    <w:p w14:paraId="7AB5096E"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Monsieur Mady SEDEGO, Conseiller en GRH, mis à la disposition du CSC ;</w:t>
      </w:r>
    </w:p>
    <w:p w14:paraId="0E37CAE8"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w:t>
      </w:r>
      <w:proofErr w:type="spellStart"/>
      <w:r>
        <w:rPr>
          <w:rFonts w:ascii="Rockwell" w:hAnsi="Rockwell"/>
          <w:sz w:val="26"/>
          <w:szCs w:val="26"/>
        </w:rPr>
        <w:t>Vouiwé</w:t>
      </w:r>
      <w:proofErr w:type="spellEnd"/>
      <w:r>
        <w:rPr>
          <w:rFonts w:ascii="Rockwell" w:hAnsi="Rockwell"/>
          <w:sz w:val="26"/>
          <w:szCs w:val="26"/>
        </w:rPr>
        <w:t xml:space="preserve"> Enoch LAMY, Administrateur civil, mis à la disposition du CSC ;</w:t>
      </w:r>
    </w:p>
    <w:p w14:paraId="0D6FE932"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Monsieur Anatole TAPSOBA, Conservateur d'archives, mis à la disposition du CSC ;</w:t>
      </w:r>
    </w:p>
    <w:p w14:paraId="1951DE83"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Monsieur Moussa SANON, Journaliste, mis à la disposition du CSC ;</w:t>
      </w:r>
    </w:p>
    <w:p w14:paraId="74D1F5AB"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w:t>
      </w:r>
      <w:proofErr w:type="spellStart"/>
      <w:r>
        <w:rPr>
          <w:rFonts w:ascii="Rockwell" w:hAnsi="Rockwell"/>
          <w:sz w:val="26"/>
          <w:szCs w:val="26"/>
        </w:rPr>
        <w:t>Kanifouba</w:t>
      </w:r>
      <w:proofErr w:type="spellEnd"/>
      <w:r>
        <w:rPr>
          <w:rFonts w:ascii="Rockwell" w:hAnsi="Rockwell"/>
          <w:sz w:val="26"/>
          <w:szCs w:val="26"/>
        </w:rPr>
        <w:t xml:space="preserve"> Christian SOME, Assistant en STIC, mis à la disposition du CSC ; </w:t>
      </w:r>
    </w:p>
    <w:p w14:paraId="35CA9629"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Jean Paul TANKOANO, Chauffeur, recruté sur mesures nouvelles ordinaires session de 2022 et mis à la disposition du CSC ; </w:t>
      </w:r>
    </w:p>
    <w:p w14:paraId="37EF723F"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lastRenderedPageBreak/>
        <w:t xml:space="preserve">Madame </w:t>
      </w:r>
      <w:proofErr w:type="spellStart"/>
      <w:r>
        <w:rPr>
          <w:rFonts w:ascii="Rockwell" w:hAnsi="Rockwell"/>
          <w:sz w:val="26"/>
          <w:szCs w:val="26"/>
        </w:rPr>
        <w:t>Pingdwindé</w:t>
      </w:r>
      <w:proofErr w:type="spellEnd"/>
      <w:r>
        <w:rPr>
          <w:rFonts w:ascii="Rockwell" w:hAnsi="Rockwell"/>
          <w:sz w:val="26"/>
          <w:szCs w:val="26"/>
        </w:rPr>
        <w:t xml:space="preserve"> Franceline Raïssa SAWADOGO, Secrétaire de direction, recrutée sur mesures nouvelles ordinaires session de 2022 et mise à la disposition du CSC ;</w:t>
      </w:r>
    </w:p>
    <w:p w14:paraId="77FE9C12"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Madame </w:t>
      </w:r>
      <w:proofErr w:type="spellStart"/>
      <w:r>
        <w:rPr>
          <w:rFonts w:ascii="Rockwell" w:hAnsi="Rockwell"/>
          <w:sz w:val="26"/>
          <w:szCs w:val="26"/>
        </w:rPr>
        <w:t>Habibou</w:t>
      </w:r>
      <w:proofErr w:type="spellEnd"/>
      <w:r>
        <w:rPr>
          <w:rFonts w:ascii="Rockwell" w:hAnsi="Rockwell"/>
          <w:sz w:val="26"/>
          <w:szCs w:val="26"/>
        </w:rPr>
        <w:t xml:space="preserve"> SANGA/OUEDRAOGO, Agent de bureau, recrutée sur mesures nouvelles ordinaires session de 2022 et mise à la disposition du CSC ;</w:t>
      </w:r>
    </w:p>
    <w:p w14:paraId="7DB65FC9" w14:textId="77777777" w:rsidR="00733207" w:rsidRDefault="00912BAE">
      <w:pPr>
        <w:pStyle w:val="Paragraphedeliste"/>
        <w:numPr>
          <w:ilvl w:val="0"/>
          <w:numId w:val="39"/>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K. </w:t>
      </w:r>
      <w:proofErr w:type="spellStart"/>
      <w:r>
        <w:rPr>
          <w:rFonts w:ascii="Rockwell" w:hAnsi="Rockwell"/>
          <w:sz w:val="26"/>
          <w:szCs w:val="26"/>
        </w:rPr>
        <w:t>Jerôme</w:t>
      </w:r>
      <w:proofErr w:type="spellEnd"/>
      <w:r>
        <w:rPr>
          <w:rFonts w:ascii="Rockwell" w:hAnsi="Rockwell"/>
          <w:sz w:val="26"/>
          <w:szCs w:val="26"/>
        </w:rPr>
        <w:t xml:space="preserve"> TAPSOBA, Inspecteur du Trésor, nommé Comptable principal en deniers et valeurs.</w:t>
      </w:r>
    </w:p>
    <w:p w14:paraId="5885AEF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Cependant, le CSC a enregistré la sortie de sept (07) agents. Ce sont : </w:t>
      </w:r>
    </w:p>
    <w:p w14:paraId="1B95E079"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Hyacinthe </w:t>
      </w:r>
      <w:proofErr w:type="spellStart"/>
      <w:r>
        <w:rPr>
          <w:rFonts w:ascii="Rockwell" w:hAnsi="Rockwell"/>
          <w:sz w:val="26"/>
          <w:szCs w:val="26"/>
        </w:rPr>
        <w:t>Wend-Panga</w:t>
      </w:r>
      <w:proofErr w:type="spellEnd"/>
      <w:r>
        <w:rPr>
          <w:rFonts w:ascii="Rockwell" w:hAnsi="Rockwell"/>
          <w:sz w:val="26"/>
          <w:szCs w:val="26"/>
        </w:rPr>
        <w:t xml:space="preserve"> Bonaventure ILBOUDO, précédemment Directeur des marchés publics, nommé Directeur des marchés publics du Ministère des infrastructures et du désenclavement ;</w:t>
      </w:r>
    </w:p>
    <w:p w14:paraId="5FD131E9"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w:t>
      </w:r>
      <w:proofErr w:type="spellStart"/>
      <w:r>
        <w:rPr>
          <w:rFonts w:ascii="Rockwell" w:hAnsi="Rockwell"/>
          <w:sz w:val="26"/>
          <w:szCs w:val="26"/>
        </w:rPr>
        <w:t>Tiraogo</w:t>
      </w:r>
      <w:proofErr w:type="spellEnd"/>
      <w:r>
        <w:rPr>
          <w:rFonts w:ascii="Rockwell" w:hAnsi="Rockwell"/>
          <w:sz w:val="26"/>
          <w:szCs w:val="26"/>
        </w:rPr>
        <w:t xml:space="preserve"> YIOUGO, précédemment Agent comptable, mis en position de stage de spécialisation ;</w:t>
      </w:r>
    </w:p>
    <w:p w14:paraId="77749B12"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Aimé Nadège </w:t>
      </w:r>
      <w:proofErr w:type="spellStart"/>
      <w:r>
        <w:rPr>
          <w:rFonts w:ascii="Rockwell" w:hAnsi="Rockwell"/>
          <w:sz w:val="26"/>
          <w:szCs w:val="26"/>
        </w:rPr>
        <w:t>Relwendé</w:t>
      </w:r>
      <w:proofErr w:type="spellEnd"/>
      <w:r>
        <w:rPr>
          <w:rFonts w:ascii="Rockwell" w:hAnsi="Rockwell"/>
          <w:sz w:val="26"/>
          <w:szCs w:val="26"/>
        </w:rPr>
        <w:t xml:space="preserve"> ROUAMBA, précédemment agent chargé du monitoring, admis à un concours professionnel ;</w:t>
      </w:r>
    </w:p>
    <w:p w14:paraId="4F6E032A"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w:t>
      </w:r>
      <w:proofErr w:type="spellStart"/>
      <w:r>
        <w:rPr>
          <w:rFonts w:ascii="Rockwell" w:hAnsi="Rockwell"/>
          <w:sz w:val="26"/>
          <w:szCs w:val="26"/>
        </w:rPr>
        <w:t>Ousseni</w:t>
      </w:r>
      <w:proofErr w:type="spellEnd"/>
      <w:r>
        <w:rPr>
          <w:rFonts w:ascii="Rockwell" w:hAnsi="Rockwell"/>
          <w:sz w:val="26"/>
          <w:szCs w:val="26"/>
        </w:rPr>
        <w:t xml:space="preserve"> SAWADOGO, précédemment Assistant en GRH, admis à un concours professionnel ;</w:t>
      </w:r>
    </w:p>
    <w:p w14:paraId="4A7C4563"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Monsieur Zoumana OUATTARA précédemment agent chargé du monitoring, admis à un concours professionnel ;</w:t>
      </w:r>
    </w:p>
    <w:p w14:paraId="1C7ECCB8"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Monsieur Hamidou IDOGO, précédemment Directeur de la communication et des relations publiques, admis à la retraite ;</w:t>
      </w:r>
    </w:p>
    <w:p w14:paraId="47807BF2" w14:textId="77777777" w:rsidR="00733207" w:rsidRDefault="00912BAE">
      <w:pPr>
        <w:pStyle w:val="Paragraphedeliste"/>
        <w:numPr>
          <w:ilvl w:val="0"/>
          <w:numId w:val="40"/>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Monsieur </w:t>
      </w:r>
      <w:proofErr w:type="spellStart"/>
      <w:r>
        <w:rPr>
          <w:rFonts w:ascii="Rockwell" w:hAnsi="Rockwell"/>
          <w:sz w:val="26"/>
          <w:szCs w:val="26"/>
        </w:rPr>
        <w:t>Alidou</w:t>
      </w:r>
      <w:proofErr w:type="spellEnd"/>
      <w:r>
        <w:rPr>
          <w:rFonts w:ascii="Rockwell" w:hAnsi="Rockwell"/>
          <w:sz w:val="26"/>
          <w:szCs w:val="26"/>
        </w:rPr>
        <w:t xml:space="preserve"> OUEDRAOGO, précédemment chauffeur, mis à la disposition du Ministère des infrastructures et du désenclavement.</w:t>
      </w:r>
    </w:p>
    <w:p w14:paraId="271FC93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L’effectif total du personnel, tous statuts confondus, au 31 décembre 2023, est de cent trente (130) agents contre cent vingt-huit (128) en 2022, soit une augmentation de 1,56 %. Il est réparti ainsi qu’il suit :</w:t>
      </w:r>
    </w:p>
    <w:p w14:paraId="0977BFDE" w14:textId="77777777" w:rsidR="00733207" w:rsidRDefault="00912BAE">
      <w:pPr>
        <w:pStyle w:val="Paragraphedeliste"/>
        <w:numPr>
          <w:ilvl w:val="0"/>
          <w:numId w:val="41"/>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lastRenderedPageBreak/>
        <w:t>Conseillers : 09 ;</w:t>
      </w:r>
    </w:p>
    <w:p w14:paraId="52085C8C" w14:textId="77777777" w:rsidR="00733207" w:rsidRDefault="00912BAE">
      <w:pPr>
        <w:pStyle w:val="Paragraphedeliste"/>
        <w:numPr>
          <w:ilvl w:val="0"/>
          <w:numId w:val="41"/>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Fonctionnaires : 82 ;</w:t>
      </w:r>
    </w:p>
    <w:p w14:paraId="25D349D7" w14:textId="77777777" w:rsidR="00733207" w:rsidRDefault="00912BAE">
      <w:pPr>
        <w:pStyle w:val="Paragraphedeliste"/>
        <w:numPr>
          <w:ilvl w:val="0"/>
          <w:numId w:val="41"/>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Contractuels : 39.</w:t>
      </w:r>
    </w:p>
    <w:p w14:paraId="35C494E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tableau suivant présente la répartition des effectifs par structure.</w:t>
      </w:r>
    </w:p>
    <w:p w14:paraId="5191F714" w14:textId="77777777" w:rsidR="00733207" w:rsidRDefault="00733207">
      <w:pPr>
        <w:spacing w:before="120" w:after="120" w:line="360" w:lineRule="auto"/>
        <w:jc w:val="both"/>
        <w:rPr>
          <w:rFonts w:ascii="Rockwell" w:hAnsi="Rockwell"/>
          <w:sz w:val="10"/>
          <w:szCs w:val="10"/>
        </w:rPr>
      </w:pPr>
    </w:p>
    <w:p w14:paraId="67C08FD5" w14:textId="77777777" w:rsidR="00733207" w:rsidRDefault="00912BAE">
      <w:pPr>
        <w:spacing w:before="120" w:after="120" w:line="360" w:lineRule="auto"/>
        <w:ind w:firstLine="142"/>
        <w:rPr>
          <w:rFonts w:ascii="Rockwell" w:hAnsi="Rockwell"/>
          <w:i/>
        </w:rPr>
      </w:pPr>
      <w:r>
        <w:rPr>
          <w:rFonts w:ascii="Rockwell" w:hAnsi="Rockwell"/>
          <w:b/>
          <w:i/>
          <w:u w:val="single"/>
        </w:rPr>
        <w:t>Tableau n°25</w:t>
      </w:r>
      <w:r>
        <w:rPr>
          <w:rFonts w:ascii="Rockwell" w:hAnsi="Rockwell"/>
          <w:i/>
        </w:rPr>
        <w:t> : répartition des effectifs par structure</w:t>
      </w:r>
    </w:p>
    <w:tbl>
      <w:tblPr>
        <w:tblW w:w="5241"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7079"/>
        <w:gridCol w:w="1144"/>
      </w:tblGrid>
      <w:tr w:rsidR="00733207" w14:paraId="6F3421C8" w14:textId="77777777">
        <w:trPr>
          <w:trHeight w:val="349"/>
        </w:trPr>
        <w:tc>
          <w:tcPr>
            <w:tcW w:w="672" w:type="pct"/>
            <w:shd w:val="clear" w:color="auto" w:fill="D9D9D9" w:themeFill="background1" w:themeFillShade="D9"/>
          </w:tcPr>
          <w:p w14:paraId="615AC8DA" w14:textId="77777777" w:rsidR="00733207" w:rsidRDefault="00912BAE">
            <w:pPr>
              <w:spacing w:before="120" w:after="120" w:line="360" w:lineRule="auto"/>
              <w:jc w:val="center"/>
              <w:rPr>
                <w:rFonts w:ascii="Rockwell" w:hAnsi="Rockwell"/>
                <w:b/>
                <w:bCs/>
                <w:sz w:val="26"/>
                <w:szCs w:val="26"/>
              </w:rPr>
            </w:pPr>
            <w:r>
              <w:rPr>
                <w:rFonts w:ascii="Rockwell" w:hAnsi="Rockwell"/>
                <w:b/>
                <w:bCs/>
                <w:sz w:val="26"/>
                <w:szCs w:val="26"/>
              </w:rPr>
              <w:t>N° d'ordre</w:t>
            </w:r>
          </w:p>
        </w:tc>
        <w:tc>
          <w:tcPr>
            <w:tcW w:w="3726" w:type="pct"/>
            <w:shd w:val="clear" w:color="auto" w:fill="D9D9D9" w:themeFill="background1" w:themeFillShade="D9"/>
          </w:tcPr>
          <w:p w14:paraId="72D8314D" w14:textId="77777777" w:rsidR="00733207" w:rsidRDefault="00912BAE">
            <w:pPr>
              <w:spacing w:before="120" w:after="120" w:line="360" w:lineRule="auto"/>
              <w:jc w:val="center"/>
              <w:rPr>
                <w:rFonts w:ascii="Rockwell" w:hAnsi="Rockwell"/>
                <w:b/>
                <w:bCs/>
                <w:sz w:val="26"/>
                <w:szCs w:val="26"/>
              </w:rPr>
            </w:pPr>
            <w:r>
              <w:rPr>
                <w:rFonts w:ascii="Rockwell" w:hAnsi="Rockwell"/>
                <w:b/>
                <w:bCs/>
                <w:sz w:val="26"/>
                <w:szCs w:val="26"/>
              </w:rPr>
              <w:t>Structures</w:t>
            </w:r>
          </w:p>
        </w:tc>
        <w:tc>
          <w:tcPr>
            <w:tcW w:w="602" w:type="pct"/>
            <w:shd w:val="clear" w:color="auto" w:fill="D9D9D9" w:themeFill="background1" w:themeFillShade="D9"/>
          </w:tcPr>
          <w:p w14:paraId="6AE85C91" w14:textId="77777777" w:rsidR="00733207" w:rsidRDefault="00912BAE">
            <w:pPr>
              <w:spacing w:before="120" w:after="120" w:line="360" w:lineRule="auto"/>
              <w:jc w:val="center"/>
              <w:rPr>
                <w:rFonts w:ascii="Rockwell" w:hAnsi="Rockwell"/>
                <w:b/>
                <w:bCs/>
                <w:sz w:val="26"/>
                <w:szCs w:val="26"/>
              </w:rPr>
            </w:pPr>
            <w:r>
              <w:rPr>
                <w:rFonts w:ascii="Rockwell" w:hAnsi="Rockwell"/>
                <w:b/>
                <w:bCs/>
                <w:sz w:val="26"/>
                <w:szCs w:val="26"/>
              </w:rPr>
              <w:t>Effectif</w:t>
            </w:r>
          </w:p>
        </w:tc>
      </w:tr>
      <w:tr w:rsidR="00733207" w14:paraId="79061863" w14:textId="77777777">
        <w:tc>
          <w:tcPr>
            <w:tcW w:w="672" w:type="pct"/>
          </w:tcPr>
          <w:p w14:paraId="3E00E04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w:t>
            </w:r>
          </w:p>
        </w:tc>
        <w:tc>
          <w:tcPr>
            <w:tcW w:w="3726" w:type="pct"/>
            <w:shd w:val="clear" w:color="auto" w:fill="auto"/>
          </w:tcPr>
          <w:p w14:paraId="42A8EFEA" w14:textId="42A357E4"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Collège des conseillers </w:t>
            </w:r>
          </w:p>
        </w:tc>
        <w:tc>
          <w:tcPr>
            <w:tcW w:w="602" w:type="pct"/>
            <w:shd w:val="clear" w:color="auto" w:fill="auto"/>
          </w:tcPr>
          <w:p w14:paraId="6608C1F7"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9</w:t>
            </w:r>
          </w:p>
        </w:tc>
      </w:tr>
      <w:tr w:rsidR="00733207" w14:paraId="6F58529F" w14:textId="77777777">
        <w:tc>
          <w:tcPr>
            <w:tcW w:w="672" w:type="pct"/>
          </w:tcPr>
          <w:p w14:paraId="79E2913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2</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03EAB3FF" w14:textId="75021EDE"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Cabinet du Président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5E07E13A"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19</w:t>
            </w:r>
          </w:p>
        </w:tc>
      </w:tr>
      <w:tr w:rsidR="00733207" w14:paraId="78147A93" w14:textId="77777777">
        <w:tc>
          <w:tcPr>
            <w:tcW w:w="672" w:type="pct"/>
          </w:tcPr>
          <w:p w14:paraId="2A6694D3"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3</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3C682E41"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 la communication et des relations publiques (DCRP)</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03C35805"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6</w:t>
            </w:r>
          </w:p>
        </w:tc>
      </w:tr>
      <w:tr w:rsidR="00733207" w14:paraId="1BC386FD" w14:textId="77777777">
        <w:tc>
          <w:tcPr>
            <w:tcW w:w="672" w:type="pct"/>
          </w:tcPr>
          <w:p w14:paraId="44AF538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4</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15248B9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Secrétariat général (SG)</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360C952C"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11</w:t>
            </w:r>
          </w:p>
        </w:tc>
      </w:tr>
      <w:tr w:rsidR="00733207" w14:paraId="6FAD25A8" w14:textId="77777777">
        <w:tc>
          <w:tcPr>
            <w:tcW w:w="672" w:type="pct"/>
          </w:tcPr>
          <w:p w14:paraId="371E4EC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5</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20C040D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 l’administration et des finances (DAF)</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0A8371B0"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11</w:t>
            </w:r>
          </w:p>
        </w:tc>
      </w:tr>
      <w:tr w:rsidR="00733207" w14:paraId="76F14F10" w14:textId="77777777">
        <w:tc>
          <w:tcPr>
            <w:tcW w:w="672" w:type="pct"/>
          </w:tcPr>
          <w:p w14:paraId="608A8B20"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6</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3E08367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 la règlementation, de la médiation et du contentieux (DRMC)</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5C1D9BDD"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5</w:t>
            </w:r>
          </w:p>
        </w:tc>
      </w:tr>
      <w:tr w:rsidR="00733207" w14:paraId="01866CF1" w14:textId="77777777">
        <w:tc>
          <w:tcPr>
            <w:tcW w:w="672" w:type="pct"/>
          </w:tcPr>
          <w:p w14:paraId="22731A9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7</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34CFDD6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des autorisations et des déclarations (DAD)</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256DD4B8"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4</w:t>
            </w:r>
          </w:p>
        </w:tc>
      </w:tr>
      <w:tr w:rsidR="00733207" w14:paraId="021BE23C" w14:textId="77777777">
        <w:tc>
          <w:tcPr>
            <w:tcW w:w="672" w:type="pct"/>
          </w:tcPr>
          <w:p w14:paraId="1D0E01B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8</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3D648ABF"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 la publicité (DP)</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552B8861"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4</w:t>
            </w:r>
          </w:p>
        </w:tc>
      </w:tr>
      <w:tr w:rsidR="00733207" w14:paraId="57D06559" w14:textId="77777777">
        <w:tc>
          <w:tcPr>
            <w:tcW w:w="672" w:type="pct"/>
          </w:tcPr>
          <w:p w14:paraId="02C2C7F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9</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057E93C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du monitoring des médias (DMM)</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63F8B8A4"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15</w:t>
            </w:r>
          </w:p>
        </w:tc>
      </w:tr>
      <w:tr w:rsidR="00733207" w14:paraId="479E308A" w14:textId="77777777">
        <w:tc>
          <w:tcPr>
            <w:tcW w:w="672" w:type="pct"/>
          </w:tcPr>
          <w:p w14:paraId="70CCFE6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10</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0348343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 l’instruction des plaintes et des études (DIPE)</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040825C9"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5</w:t>
            </w:r>
          </w:p>
        </w:tc>
      </w:tr>
      <w:tr w:rsidR="00733207" w14:paraId="4ADCE68A" w14:textId="77777777">
        <w:tc>
          <w:tcPr>
            <w:tcW w:w="672" w:type="pct"/>
          </w:tcPr>
          <w:p w14:paraId="1AB90886"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11</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4788C48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 l’informatique et des technologies (DIT)</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64E89D06"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4</w:t>
            </w:r>
          </w:p>
        </w:tc>
      </w:tr>
      <w:tr w:rsidR="00733207" w14:paraId="6220E62A" w14:textId="77777777">
        <w:tc>
          <w:tcPr>
            <w:tcW w:w="672" w:type="pct"/>
          </w:tcPr>
          <w:p w14:paraId="1785238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12</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69B10BB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Bureau comptable principal des matières (BCPM)</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481B8096"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6</w:t>
            </w:r>
          </w:p>
        </w:tc>
      </w:tr>
      <w:tr w:rsidR="00733207" w14:paraId="493814EA" w14:textId="77777777">
        <w:tc>
          <w:tcPr>
            <w:tcW w:w="672" w:type="pct"/>
          </w:tcPr>
          <w:p w14:paraId="232AB3C6"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lastRenderedPageBreak/>
              <w:t>13</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383F769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des ressources humaines (DRH)</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75B55984"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5</w:t>
            </w:r>
          </w:p>
        </w:tc>
      </w:tr>
      <w:tr w:rsidR="00733207" w14:paraId="1E0EF9F8" w14:textId="77777777">
        <w:tc>
          <w:tcPr>
            <w:tcW w:w="672" w:type="pct"/>
          </w:tcPr>
          <w:p w14:paraId="0787278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14</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6703592D"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Direction des marchés publics</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068100F9"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2</w:t>
            </w:r>
          </w:p>
        </w:tc>
      </w:tr>
      <w:tr w:rsidR="00733207" w14:paraId="20FBC9BF" w14:textId="77777777">
        <w:tc>
          <w:tcPr>
            <w:tcW w:w="672" w:type="pct"/>
          </w:tcPr>
          <w:p w14:paraId="3F986AB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15</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55421311"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Direction de la documentation et des archives (DDA) </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62E25C4C"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4</w:t>
            </w:r>
          </w:p>
        </w:tc>
      </w:tr>
      <w:tr w:rsidR="00733207" w14:paraId="27A182A0" w14:textId="77777777">
        <w:tc>
          <w:tcPr>
            <w:tcW w:w="672" w:type="pct"/>
          </w:tcPr>
          <w:p w14:paraId="76775AB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16</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5BDFC60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Agence comptable (AC)</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32BD6A3D"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4</w:t>
            </w:r>
          </w:p>
        </w:tc>
      </w:tr>
      <w:tr w:rsidR="00733207" w14:paraId="5DAB409C" w14:textId="77777777">
        <w:tc>
          <w:tcPr>
            <w:tcW w:w="672" w:type="pct"/>
          </w:tcPr>
          <w:p w14:paraId="7A1CED24"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17</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42C2870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Délégation régionale de l’Ouest (DRO)</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3BC3B2B3"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11</w:t>
            </w:r>
          </w:p>
        </w:tc>
      </w:tr>
      <w:tr w:rsidR="00733207" w14:paraId="734FAF58" w14:textId="77777777">
        <w:tc>
          <w:tcPr>
            <w:tcW w:w="672" w:type="pct"/>
          </w:tcPr>
          <w:p w14:paraId="0DDA9AB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18</w:t>
            </w:r>
          </w:p>
        </w:tc>
        <w:tc>
          <w:tcPr>
            <w:tcW w:w="3726" w:type="pct"/>
            <w:tcBorders>
              <w:top w:val="single" w:sz="4" w:space="0" w:color="auto"/>
              <w:left w:val="single" w:sz="4" w:space="0" w:color="auto"/>
              <w:bottom w:val="single" w:sz="4" w:space="0" w:color="auto"/>
              <w:right w:val="single" w:sz="4" w:space="0" w:color="auto"/>
            </w:tcBorders>
            <w:shd w:val="clear" w:color="auto" w:fill="auto"/>
          </w:tcPr>
          <w:p w14:paraId="166ECDA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Délégation régionale de l’Est (DRE)</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33D451B7" w14:textId="77777777" w:rsidR="00733207" w:rsidRDefault="00912BAE">
            <w:pPr>
              <w:spacing w:before="120" w:after="120" w:line="360" w:lineRule="auto"/>
              <w:jc w:val="center"/>
              <w:rPr>
                <w:rFonts w:ascii="Rockwell" w:hAnsi="Rockwell"/>
                <w:sz w:val="26"/>
                <w:szCs w:val="26"/>
              </w:rPr>
            </w:pPr>
            <w:r>
              <w:rPr>
                <w:rFonts w:ascii="Rockwell" w:hAnsi="Rockwell"/>
                <w:sz w:val="26"/>
                <w:szCs w:val="26"/>
              </w:rPr>
              <w:t>5</w:t>
            </w:r>
          </w:p>
        </w:tc>
      </w:tr>
      <w:tr w:rsidR="00733207" w14:paraId="50A01153" w14:textId="77777777">
        <w:tc>
          <w:tcPr>
            <w:tcW w:w="4398" w:type="pct"/>
            <w:gridSpan w:val="2"/>
            <w:tcBorders>
              <w:top w:val="single" w:sz="4" w:space="0" w:color="auto"/>
              <w:left w:val="single" w:sz="4" w:space="0" w:color="auto"/>
              <w:bottom w:val="single" w:sz="4" w:space="0" w:color="auto"/>
              <w:right w:val="single" w:sz="4" w:space="0" w:color="auto"/>
            </w:tcBorders>
          </w:tcPr>
          <w:p w14:paraId="5306C950" w14:textId="77777777" w:rsidR="00733207" w:rsidRDefault="00912BAE">
            <w:pPr>
              <w:spacing w:before="120" w:after="120" w:line="360" w:lineRule="auto"/>
              <w:jc w:val="both"/>
              <w:rPr>
                <w:rFonts w:ascii="Rockwell" w:hAnsi="Rockwell"/>
                <w:b/>
                <w:sz w:val="26"/>
                <w:szCs w:val="26"/>
              </w:rPr>
            </w:pPr>
            <w:r>
              <w:rPr>
                <w:rFonts w:ascii="Rockwell" w:hAnsi="Rockwell"/>
                <w:b/>
                <w:sz w:val="26"/>
                <w:szCs w:val="26"/>
              </w:rPr>
              <w:t>Total effectif</w:t>
            </w:r>
          </w:p>
        </w:tc>
        <w:tc>
          <w:tcPr>
            <w:tcW w:w="602" w:type="pct"/>
            <w:tcBorders>
              <w:top w:val="single" w:sz="4" w:space="0" w:color="auto"/>
              <w:left w:val="single" w:sz="4" w:space="0" w:color="auto"/>
              <w:bottom w:val="single" w:sz="4" w:space="0" w:color="auto"/>
              <w:right w:val="single" w:sz="4" w:space="0" w:color="auto"/>
            </w:tcBorders>
            <w:shd w:val="clear" w:color="auto" w:fill="auto"/>
          </w:tcPr>
          <w:p w14:paraId="4665F620" w14:textId="77777777" w:rsidR="00733207" w:rsidRDefault="00912BAE">
            <w:pPr>
              <w:spacing w:before="120" w:after="120" w:line="360" w:lineRule="auto"/>
              <w:jc w:val="center"/>
              <w:rPr>
                <w:rFonts w:ascii="Rockwell" w:hAnsi="Rockwell"/>
                <w:b/>
                <w:sz w:val="26"/>
                <w:szCs w:val="26"/>
              </w:rPr>
            </w:pPr>
            <w:r>
              <w:rPr>
                <w:rFonts w:ascii="Rockwell" w:hAnsi="Rockwell"/>
                <w:b/>
                <w:sz w:val="26"/>
                <w:szCs w:val="26"/>
              </w:rPr>
              <w:t>130</w:t>
            </w:r>
          </w:p>
        </w:tc>
      </w:tr>
    </w:tbl>
    <w:p w14:paraId="27C585FB" w14:textId="77777777" w:rsidR="00733207" w:rsidRDefault="00912BAE">
      <w:pPr>
        <w:spacing w:before="120" w:after="120" w:line="360" w:lineRule="auto"/>
        <w:ind w:left="142"/>
        <w:jc w:val="both"/>
        <w:rPr>
          <w:rFonts w:ascii="Rockwell" w:hAnsi="Rockwell"/>
          <w:bCs/>
          <w:i/>
        </w:rPr>
      </w:pPr>
      <w:r>
        <w:rPr>
          <w:rFonts w:ascii="Rockwell" w:hAnsi="Rockwell"/>
          <w:b/>
          <w:bCs/>
          <w:i/>
          <w:u w:val="single"/>
        </w:rPr>
        <w:t>Source</w:t>
      </w:r>
      <w:r>
        <w:rPr>
          <w:rFonts w:ascii="Rockwell" w:hAnsi="Rockwell"/>
          <w:bCs/>
          <w:i/>
        </w:rPr>
        <w:t> : DRH/CSC</w:t>
      </w:r>
    </w:p>
    <w:p w14:paraId="5FB1A614" w14:textId="77777777" w:rsidR="00733207" w:rsidRDefault="00733207">
      <w:pPr>
        <w:spacing w:before="120" w:after="120" w:line="360" w:lineRule="auto"/>
        <w:ind w:left="142"/>
        <w:jc w:val="both"/>
        <w:rPr>
          <w:rFonts w:ascii="Rockwell" w:hAnsi="Rockwell"/>
          <w:bCs/>
          <w:i/>
          <w:sz w:val="10"/>
          <w:szCs w:val="10"/>
        </w:rPr>
      </w:pPr>
    </w:p>
    <w:p w14:paraId="3D3D3A70" w14:textId="77777777" w:rsidR="00733207" w:rsidRDefault="00912BAE">
      <w:pPr>
        <w:jc w:val="center"/>
        <w:rPr>
          <w:rFonts w:ascii="Rockwell" w:hAnsi="Rockwell"/>
        </w:rPr>
      </w:pPr>
      <w:r>
        <w:rPr>
          <w:rFonts w:ascii="Rockwell" w:hAnsi="Rockwell"/>
          <w:b/>
          <w:i/>
          <w:u w:val="single"/>
        </w:rPr>
        <w:t>Graphique n°23</w:t>
      </w:r>
      <w:r>
        <w:rPr>
          <w:rFonts w:ascii="Rockwell" w:hAnsi="Rockwell"/>
        </w:rPr>
        <w:t> : Répartition des effectifs par structure</w:t>
      </w:r>
    </w:p>
    <w:p w14:paraId="70F7A71D" w14:textId="77777777" w:rsidR="00733207" w:rsidRDefault="00912BAE">
      <w:pPr>
        <w:spacing w:before="120" w:after="120" w:line="360" w:lineRule="auto"/>
        <w:jc w:val="center"/>
        <w:rPr>
          <w:rFonts w:ascii="Rockwell" w:hAnsi="Rockwell"/>
          <w:sz w:val="26"/>
          <w:szCs w:val="26"/>
        </w:rPr>
      </w:pPr>
      <w:r>
        <w:rPr>
          <w:rFonts w:ascii="Rockwell" w:hAnsi="Rockwell"/>
          <w:noProof/>
          <w:sz w:val="26"/>
          <w:szCs w:val="26"/>
          <w:lang w:eastAsia="fr-FR"/>
        </w:rPr>
        <w:drawing>
          <wp:inline distT="0" distB="0" distL="0" distR="0" wp14:anchorId="23E6466C" wp14:editId="542854E8">
            <wp:extent cx="5391150" cy="2752725"/>
            <wp:effectExtent l="0" t="0" r="0" b="9525"/>
            <wp:docPr id="29" name="Graphique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14:paraId="58CEFA48" w14:textId="77777777" w:rsidR="00733207" w:rsidRDefault="00733207">
      <w:pPr>
        <w:spacing w:before="120" w:after="120" w:line="360" w:lineRule="auto"/>
        <w:jc w:val="both"/>
        <w:rPr>
          <w:rFonts w:ascii="Rockwell" w:hAnsi="Rockwell"/>
          <w:sz w:val="26"/>
          <w:szCs w:val="26"/>
        </w:rPr>
        <w:sectPr w:rsidR="00733207">
          <w:pgSz w:w="11906" w:h="16838"/>
          <w:pgMar w:top="1417" w:right="1417" w:bottom="1417" w:left="1417" w:header="708" w:footer="708" w:gutter="0"/>
          <w:cols w:space="708"/>
          <w:docGrid w:linePitch="360"/>
        </w:sectPr>
      </w:pPr>
    </w:p>
    <w:p w14:paraId="2115EB85"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lastRenderedPageBreak/>
        <w:t xml:space="preserve">L'effectif du personnel est très dynamique d'une année à l'autre. De 2021 à 2023, l’évolution des effectifs se présente ainsi qu'il suit : </w:t>
      </w:r>
    </w:p>
    <w:p w14:paraId="60F905D0" w14:textId="77777777" w:rsidR="00733207" w:rsidRDefault="00733207">
      <w:pPr>
        <w:spacing w:before="120" w:after="120" w:line="360" w:lineRule="auto"/>
        <w:jc w:val="both"/>
        <w:rPr>
          <w:rFonts w:ascii="Rockwell" w:hAnsi="Rockwell"/>
          <w:sz w:val="10"/>
          <w:szCs w:val="10"/>
        </w:rPr>
      </w:pPr>
    </w:p>
    <w:p w14:paraId="4C60D4C1" w14:textId="77777777" w:rsidR="00733207" w:rsidRDefault="00912BAE">
      <w:pPr>
        <w:rPr>
          <w:rFonts w:ascii="Rockwell" w:hAnsi="Rockwell"/>
          <w:i/>
        </w:rPr>
      </w:pPr>
      <w:r>
        <w:rPr>
          <w:rFonts w:ascii="Rockwell" w:hAnsi="Rockwell"/>
          <w:b/>
          <w:i/>
          <w:u w:val="single"/>
        </w:rPr>
        <w:t>Tableau 26 :</w:t>
      </w:r>
      <w:r>
        <w:rPr>
          <w:rFonts w:ascii="Rockwell" w:hAnsi="Rockwell"/>
          <w:i/>
        </w:rPr>
        <w:t xml:space="preserve"> Effectifs du CSC de 2021 à 2023</w:t>
      </w:r>
    </w:p>
    <w:p w14:paraId="39CEC1F0" w14:textId="77777777" w:rsidR="00733207" w:rsidRDefault="00733207">
      <w:pPr>
        <w:spacing w:before="120" w:after="120" w:line="360" w:lineRule="auto"/>
        <w:jc w:val="both"/>
        <w:rPr>
          <w:rFonts w:ascii="Rockwell" w:hAnsi="Rockwell"/>
          <w:sz w:val="10"/>
          <w:szCs w:val="1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7366"/>
      </w:tblGrid>
      <w:tr w:rsidR="00733207" w14:paraId="083447AC" w14:textId="77777777">
        <w:trPr>
          <w:trHeight w:val="685"/>
          <w:jc w:val="center"/>
        </w:trPr>
        <w:tc>
          <w:tcPr>
            <w:tcW w:w="936" w:type="pct"/>
            <w:shd w:val="clear" w:color="auto" w:fill="D9D9D9" w:themeFill="background1" w:themeFillShade="D9"/>
          </w:tcPr>
          <w:p w14:paraId="4BF2D526" w14:textId="77777777" w:rsidR="00733207" w:rsidRDefault="00912BAE">
            <w:pPr>
              <w:spacing w:before="120" w:after="120" w:line="360" w:lineRule="auto"/>
              <w:jc w:val="center"/>
              <w:rPr>
                <w:rFonts w:ascii="Rockwell" w:hAnsi="Rockwell"/>
                <w:b/>
                <w:bCs/>
                <w:sz w:val="26"/>
                <w:szCs w:val="26"/>
              </w:rPr>
            </w:pPr>
            <w:r>
              <w:rPr>
                <w:rFonts w:ascii="Rockwell" w:hAnsi="Rockwell"/>
                <w:b/>
                <w:bCs/>
                <w:sz w:val="26"/>
                <w:szCs w:val="26"/>
              </w:rPr>
              <w:t>Année</w:t>
            </w:r>
          </w:p>
        </w:tc>
        <w:tc>
          <w:tcPr>
            <w:tcW w:w="4064" w:type="pct"/>
            <w:shd w:val="clear" w:color="auto" w:fill="D9D9D9" w:themeFill="background1" w:themeFillShade="D9"/>
          </w:tcPr>
          <w:p w14:paraId="3DE7FF27" w14:textId="77777777" w:rsidR="00733207" w:rsidRDefault="00912BAE">
            <w:pPr>
              <w:spacing w:before="120" w:after="120" w:line="360" w:lineRule="auto"/>
              <w:jc w:val="center"/>
              <w:rPr>
                <w:rFonts w:ascii="Rockwell" w:hAnsi="Rockwell"/>
                <w:b/>
                <w:bCs/>
                <w:sz w:val="26"/>
                <w:szCs w:val="26"/>
              </w:rPr>
            </w:pPr>
            <w:r>
              <w:rPr>
                <w:rFonts w:ascii="Rockwell" w:hAnsi="Rockwell"/>
                <w:b/>
                <w:bCs/>
                <w:sz w:val="26"/>
                <w:szCs w:val="26"/>
              </w:rPr>
              <w:t>Effectif</w:t>
            </w:r>
          </w:p>
        </w:tc>
      </w:tr>
      <w:tr w:rsidR="00733207" w14:paraId="3F32B08C" w14:textId="77777777">
        <w:trPr>
          <w:trHeight w:val="1104"/>
          <w:jc w:val="center"/>
        </w:trPr>
        <w:tc>
          <w:tcPr>
            <w:tcW w:w="936" w:type="pct"/>
            <w:shd w:val="clear" w:color="auto" w:fill="auto"/>
          </w:tcPr>
          <w:p w14:paraId="58AE566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2021</w:t>
            </w:r>
          </w:p>
        </w:tc>
        <w:tc>
          <w:tcPr>
            <w:tcW w:w="4064" w:type="pct"/>
            <w:shd w:val="clear" w:color="auto" w:fill="auto"/>
          </w:tcPr>
          <w:p w14:paraId="333624E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130</w:t>
            </w:r>
          </w:p>
        </w:tc>
      </w:tr>
      <w:tr w:rsidR="00733207" w14:paraId="2B9D59F3" w14:textId="77777777">
        <w:trPr>
          <w:trHeight w:val="1128"/>
          <w:jc w:val="center"/>
        </w:trPr>
        <w:tc>
          <w:tcPr>
            <w:tcW w:w="936" w:type="pct"/>
            <w:tcBorders>
              <w:top w:val="single" w:sz="4" w:space="0" w:color="auto"/>
              <w:left w:val="single" w:sz="4" w:space="0" w:color="auto"/>
              <w:bottom w:val="single" w:sz="4" w:space="0" w:color="auto"/>
              <w:right w:val="single" w:sz="4" w:space="0" w:color="auto"/>
            </w:tcBorders>
            <w:shd w:val="clear" w:color="auto" w:fill="auto"/>
          </w:tcPr>
          <w:p w14:paraId="16ABC3A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2022</w:t>
            </w:r>
          </w:p>
        </w:tc>
        <w:tc>
          <w:tcPr>
            <w:tcW w:w="4064" w:type="pct"/>
            <w:tcBorders>
              <w:top w:val="single" w:sz="4" w:space="0" w:color="auto"/>
              <w:left w:val="single" w:sz="4" w:space="0" w:color="auto"/>
              <w:bottom w:val="single" w:sz="4" w:space="0" w:color="auto"/>
              <w:right w:val="single" w:sz="4" w:space="0" w:color="auto"/>
            </w:tcBorders>
            <w:shd w:val="clear" w:color="auto" w:fill="auto"/>
          </w:tcPr>
          <w:p w14:paraId="567D9A8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128</w:t>
            </w:r>
          </w:p>
        </w:tc>
      </w:tr>
      <w:tr w:rsidR="00733207" w14:paraId="2DE6DA08" w14:textId="77777777">
        <w:trPr>
          <w:trHeight w:val="1080"/>
          <w:jc w:val="center"/>
        </w:trPr>
        <w:tc>
          <w:tcPr>
            <w:tcW w:w="936" w:type="pct"/>
            <w:tcBorders>
              <w:top w:val="single" w:sz="4" w:space="0" w:color="auto"/>
              <w:left w:val="single" w:sz="4" w:space="0" w:color="auto"/>
              <w:bottom w:val="single" w:sz="4" w:space="0" w:color="auto"/>
              <w:right w:val="single" w:sz="4" w:space="0" w:color="auto"/>
            </w:tcBorders>
            <w:shd w:val="clear" w:color="auto" w:fill="auto"/>
          </w:tcPr>
          <w:p w14:paraId="4E90884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2023</w:t>
            </w:r>
          </w:p>
        </w:tc>
        <w:tc>
          <w:tcPr>
            <w:tcW w:w="4064" w:type="pct"/>
            <w:tcBorders>
              <w:top w:val="single" w:sz="4" w:space="0" w:color="auto"/>
              <w:left w:val="single" w:sz="4" w:space="0" w:color="auto"/>
              <w:bottom w:val="single" w:sz="4" w:space="0" w:color="auto"/>
              <w:right w:val="single" w:sz="4" w:space="0" w:color="auto"/>
            </w:tcBorders>
            <w:shd w:val="clear" w:color="auto" w:fill="auto"/>
          </w:tcPr>
          <w:p w14:paraId="19C822A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130</w:t>
            </w:r>
          </w:p>
        </w:tc>
      </w:tr>
    </w:tbl>
    <w:p w14:paraId="0C472B91" w14:textId="77777777" w:rsidR="00733207" w:rsidRDefault="00912BAE">
      <w:pPr>
        <w:spacing w:before="120" w:after="120" w:line="360" w:lineRule="auto"/>
        <w:ind w:firstLine="142"/>
        <w:jc w:val="both"/>
        <w:rPr>
          <w:rFonts w:ascii="Rockwell" w:hAnsi="Rockwell"/>
          <w:bCs/>
          <w:i/>
        </w:rPr>
      </w:pPr>
      <w:r>
        <w:rPr>
          <w:rFonts w:ascii="Rockwell" w:hAnsi="Rockwell"/>
          <w:b/>
          <w:bCs/>
          <w:i/>
          <w:u w:val="single"/>
        </w:rPr>
        <w:t>Source</w:t>
      </w:r>
      <w:r>
        <w:rPr>
          <w:rFonts w:ascii="Rockwell" w:hAnsi="Rockwell"/>
          <w:bCs/>
          <w:i/>
        </w:rPr>
        <w:t> : DRH/CSC</w:t>
      </w:r>
    </w:p>
    <w:p w14:paraId="215F182B" w14:textId="77777777" w:rsidR="00733207" w:rsidRDefault="00733207">
      <w:pPr>
        <w:spacing w:before="120" w:after="120" w:line="360" w:lineRule="auto"/>
        <w:jc w:val="both"/>
        <w:rPr>
          <w:rFonts w:ascii="Rockwell" w:hAnsi="Rockwell"/>
          <w:bCs/>
          <w:i/>
          <w:sz w:val="26"/>
          <w:szCs w:val="26"/>
        </w:rPr>
      </w:pPr>
    </w:p>
    <w:p w14:paraId="582EEFD4" w14:textId="77777777" w:rsidR="00733207" w:rsidRDefault="00912BAE">
      <w:pPr>
        <w:jc w:val="center"/>
        <w:rPr>
          <w:rFonts w:ascii="Rockwell" w:hAnsi="Rockwell"/>
          <w:bCs/>
          <w:i/>
          <w:color w:val="000000" w:themeColor="text1"/>
        </w:rPr>
      </w:pPr>
      <w:r>
        <w:rPr>
          <w:rFonts w:ascii="Rockwell" w:hAnsi="Rockwell"/>
          <w:i/>
          <w:color w:val="000000" w:themeColor="text1"/>
          <w:u w:val="single"/>
        </w:rPr>
        <w:t>Graphique 24</w:t>
      </w:r>
      <w:r>
        <w:rPr>
          <w:rFonts w:ascii="Rockwell" w:hAnsi="Rockwell"/>
          <w:i/>
          <w:color w:val="000000" w:themeColor="text1"/>
        </w:rPr>
        <w:t> : Evolution des effectifs du CSC de 2021 à 2023</w:t>
      </w:r>
      <w:r>
        <w:rPr>
          <w:rFonts w:ascii="Rockwell" w:hAnsi="Rockwell"/>
          <w:bCs/>
          <w:i/>
          <w:color w:val="000000" w:themeColor="text1"/>
        </w:rPr>
        <w:t xml:space="preserve"> </w:t>
      </w:r>
    </w:p>
    <w:p w14:paraId="1BB3796D" w14:textId="77777777" w:rsidR="00733207" w:rsidRDefault="00912BAE">
      <w:pPr>
        <w:spacing w:before="120" w:after="120" w:line="360" w:lineRule="auto"/>
        <w:jc w:val="center"/>
        <w:rPr>
          <w:rFonts w:ascii="Rockwell" w:hAnsi="Rockwell"/>
          <w:sz w:val="26"/>
          <w:szCs w:val="26"/>
        </w:rPr>
      </w:pPr>
      <w:bookmarkStart w:id="529" w:name="_Toc83299446"/>
      <w:bookmarkStart w:id="530" w:name="_Toc73183961"/>
      <w:bookmarkStart w:id="531" w:name="_Toc83299317"/>
      <w:bookmarkStart w:id="532" w:name="_Toc72864380"/>
      <w:r>
        <w:rPr>
          <w:rFonts w:ascii="Rockwell" w:hAnsi="Rockwell"/>
          <w:noProof/>
          <w:sz w:val="26"/>
          <w:szCs w:val="26"/>
          <w:lang w:eastAsia="fr-FR"/>
        </w:rPr>
        <w:drawing>
          <wp:inline distT="0" distB="0" distL="0" distR="0" wp14:anchorId="2A4E208C" wp14:editId="124373A7">
            <wp:extent cx="6209665" cy="2552700"/>
            <wp:effectExtent l="0" t="0" r="635" b="0"/>
            <wp:docPr id="32" name="Graphique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4F46032B" w14:textId="77777777" w:rsidR="00733207" w:rsidRDefault="00733207">
      <w:pPr>
        <w:spacing w:before="120" w:after="120" w:line="360" w:lineRule="auto"/>
        <w:jc w:val="both"/>
        <w:rPr>
          <w:rFonts w:ascii="Rockwell" w:hAnsi="Rockwell"/>
          <w:sz w:val="26"/>
          <w:szCs w:val="26"/>
        </w:rPr>
      </w:pPr>
    </w:p>
    <w:p w14:paraId="4BF467C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En plus du personnel administratif, le CSC mandate des Représentants provinciaux pour l’accompagner dans </w:t>
      </w:r>
      <w:r>
        <w:rPr>
          <w:rFonts w:ascii="Rockwell" w:eastAsia="Calibri" w:hAnsi="Rockwell"/>
          <w:sz w:val="26"/>
          <w:szCs w:val="26"/>
        </w:rPr>
        <w:t xml:space="preserve">le contrôle du contenu des médias </w:t>
      </w:r>
      <w:r>
        <w:rPr>
          <w:rFonts w:ascii="Rockwell" w:eastAsia="Calibri" w:hAnsi="Rockwell"/>
          <w:sz w:val="26"/>
          <w:szCs w:val="26"/>
        </w:rPr>
        <w:lastRenderedPageBreak/>
        <w:t>dans leur ressort territorial. Ces Représentants provinciaux au nombre de dix (10) sont les suivants :</w:t>
      </w:r>
      <w:r>
        <w:rPr>
          <w:rFonts w:ascii="Rockwell" w:hAnsi="Rockwell"/>
          <w:sz w:val="26"/>
          <w:szCs w:val="26"/>
        </w:rPr>
        <w:t xml:space="preserve">   </w:t>
      </w:r>
    </w:p>
    <w:p w14:paraId="7A3E315B"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Bertin Philibert NIKIEMA, Représentant provincial/Ouahigouya ;</w:t>
      </w:r>
    </w:p>
    <w:p w14:paraId="3EF857C2"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proofErr w:type="spellStart"/>
      <w:r>
        <w:rPr>
          <w:rFonts w:ascii="Rockwell" w:hAnsi="Rockwell"/>
          <w:sz w:val="26"/>
          <w:szCs w:val="26"/>
        </w:rPr>
        <w:t>Kadidia</w:t>
      </w:r>
      <w:proofErr w:type="spellEnd"/>
      <w:r>
        <w:rPr>
          <w:rFonts w:ascii="Rockwell" w:hAnsi="Rockwell"/>
          <w:sz w:val="26"/>
          <w:szCs w:val="26"/>
        </w:rPr>
        <w:t xml:space="preserve"> HIEN/FAHO, Représentant provincial/Gaoua ;</w:t>
      </w:r>
    </w:p>
    <w:p w14:paraId="584B964D"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Boureima Jules KIENOU, Représentant provincial/Dédougou ;</w:t>
      </w:r>
    </w:p>
    <w:p w14:paraId="66D1E63B"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K. Julien SAWADOGO, Représentant provincial/Kaya ;</w:t>
      </w:r>
    </w:p>
    <w:p w14:paraId="1D7A529B"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proofErr w:type="spellStart"/>
      <w:r>
        <w:rPr>
          <w:rFonts w:ascii="Rockwell" w:hAnsi="Rockwell"/>
          <w:sz w:val="26"/>
          <w:szCs w:val="26"/>
        </w:rPr>
        <w:t>Bakari</w:t>
      </w:r>
      <w:proofErr w:type="spellEnd"/>
      <w:r>
        <w:rPr>
          <w:rFonts w:ascii="Rockwell" w:hAnsi="Rockwell"/>
          <w:sz w:val="26"/>
          <w:szCs w:val="26"/>
        </w:rPr>
        <w:t xml:space="preserve"> Baba TOURE, Représentant provincial/Banfora ;</w:t>
      </w:r>
    </w:p>
    <w:p w14:paraId="78BFD0BB"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Y. Pascal BAKO, Représentant provincial/Koudougou ;</w:t>
      </w:r>
    </w:p>
    <w:p w14:paraId="71B7A0A0"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Oumarou DICKO, Représentant provincial/Dori ;</w:t>
      </w:r>
    </w:p>
    <w:p w14:paraId="2C99FC5C"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proofErr w:type="spellStart"/>
      <w:r>
        <w:rPr>
          <w:rFonts w:ascii="Rockwell" w:hAnsi="Rockwell"/>
          <w:sz w:val="26"/>
          <w:szCs w:val="26"/>
        </w:rPr>
        <w:t>Oho</w:t>
      </w:r>
      <w:proofErr w:type="spellEnd"/>
      <w:r>
        <w:rPr>
          <w:rFonts w:ascii="Rockwell" w:hAnsi="Rockwell"/>
          <w:sz w:val="26"/>
          <w:szCs w:val="26"/>
        </w:rPr>
        <w:t xml:space="preserve"> TIOYE, Représentant provincial/Ziniaré ;</w:t>
      </w:r>
    </w:p>
    <w:p w14:paraId="2A730DFF"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Théodore Jean ZOUNGRANA, Représentant provincial/Tenkodogo ;</w:t>
      </w:r>
    </w:p>
    <w:p w14:paraId="1AECA86F" w14:textId="77777777" w:rsidR="00733207" w:rsidRDefault="00912BAE">
      <w:pPr>
        <w:pStyle w:val="Paragraphedeliste"/>
        <w:numPr>
          <w:ilvl w:val="0"/>
          <w:numId w:val="42"/>
        </w:numPr>
        <w:suppressAutoHyphens/>
        <w:autoSpaceDN w:val="0"/>
        <w:spacing w:before="120" w:after="120" w:line="360" w:lineRule="auto"/>
        <w:contextualSpacing w:val="0"/>
        <w:jc w:val="both"/>
        <w:textAlignment w:val="baseline"/>
        <w:rPr>
          <w:rFonts w:ascii="Rockwell" w:hAnsi="Rockwell"/>
          <w:sz w:val="26"/>
          <w:szCs w:val="26"/>
        </w:rPr>
      </w:pPr>
      <w:proofErr w:type="spellStart"/>
      <w:r>
        <w:rPr>
          <w:rFonts w:ascii="Rockwell" w:hAnsi="Rockwell"/>
          <w:sz w:val="26"/>
          <w:szCs w:val="26"/>
        </w:rPr>
        <w:t>Inoussa</w:t>
      </w:r>
      <w:proofErr w:type="spellEnd"/>
      <w:r>
        <w:rPr>
          <w:rFonts w:ascii="Rockwell" w:hAnsi="Rockwell"/>
          <w:sz w:val="26"/>
          <w:szCs w:val="26"/>
        </w:rPr>
        <w:t xml:space="preserve"> OUEDRAOGO, Représentant provincial/Manga.</w:t>
      </w:r>
    </w:p>
    <w:p w14:paraId="04067807" w14:textId="77777777" w:rsidR="00733207" w:rsidRDefault="00733207">
      <w:pPr>
        <w:pStyle w:val="Paragraphedeliste"/>
        <w:suppressAutoHyphens/>
        <w:autoSpaceDN w:val="0"/>
        <w:spacing w:before="120" w:after="120" w:line="360" w:lineRule="auto"/>
        <w:contextualSpacing w:val="0"/>
        <w:jc w:val="both"/>
        <w:textAlignment w:val="baseline"/>
        <w:rPr>
          <w:rFonts w:ascii="Rockwell" w:hAnsi="Rockwell"/>
          <w:sz w:val="26"/>
          <w:szCs w:val="26"/>
        </w:rPr>
      </w:pPr>
    </w:p>
    <w:p w14:paraId="073765E2" w14:textId="77777777" w:rsidR="00733207" w:rsidRDefault="00733207">
      <w:pPr>
        <w:pStyle w:val="Paragraphedeliste"/>
        <w:suppressAutoHyphens/>
        <w:autoSpaceDN w:val="0"/>
        <w:spacing w:before="120" w:after="120" w:line="360" w:lineRule="auto"/>
        <w:contextualSpacing w:val="0"/>
        <w:jc w:val="both"/>
        <w:textAlignment w:val="baseline"/>
        <w:rPr>
          <w:rFonts w:ascii="Rockwell" w:hAnsi="Rockwell"/>
          <w:sz w:val="10"/>
          <w:szCs w:val="10"/>
        </w:rPr>
      </w:pPr>
    </w:p>
    <w:p w14:paraId="734C518F" w14:textId="77777777" w:rsidR="00733207" w:rsidRDefault="00912BAE">
      <w:pPr>
        <w:pStyle w:val="Titre3"/>
        <w:spacing w:before="240" w:after="240" w:line="360" w:lineRule="auto"/>
        <w:jc w:val="center"/>
        <w:rPr>
          <w:rFonts w:ascii="Rockwell" w:hAnsi="Rockwell"/>
          <w:i/>
          <w:color w:val="auto"/>
          <w:sz w:val="26"/>
          <w:szCs w:val="26"/>
        </w:rPr>
      </w:pPr>
      <w:bookmarkStart w:id="533" w:name="_Toc169854394"/>
      <w:bookmarkStart w:id="534" w:name="_Toc170209355"/>
      <w:bookmarkStart w:id="535" w:name="_Toc169855230"/>
      <w:bookmarkStart w:id="536" w:name="_Toc175128586"/>
      <w:r>
        <w:rPr>
          <w:rFonts w:ascii="Rockwell" w:hAnsi="Rockwell"/>
          <w:i/>
          <w:color w:val="auto"/>
          <w:sz w:val="26"/>
          <w:szCs w:val="26"/>
        </w:rPr>
        <w:t>SECTION 2 : DISTINCTIONS HONORIFIQUES</w:t>
      </w:r>
      <w:bookmarkEnd w:id="529"/>
      <w:bookmarkEnd w:id="530"/>
      <w:bookmarkEnd w:id="531"/>
      <w:bookmarkEnd w:id="532"/>
      <w:r>
        <w:rPr>
          <w:rFonts w:ascii="Rockwell" w:hAnsi="Rockwell"/>
          <w:i/>
          <w:color w:val="auto"/>
          <w:sz w:val="26"/>
          <w:szCs w:val="26"/>
        </w:rPr>
        <w:t>, RENFORCEMENT DES CAPACITES DU PERSONNEL ET ACTIVITES SOCIALES</w:t>
      </w:r>
      <w:bookmarkEnd w:id="533"/>
      <w:bookmarkEnd w:id="534"/>
      <w:bookmarkEnd w:id="535"/>
      <w:bookmarkEnd w:id="536"/>
    </w:p>
    <w:p w14:paraId="51E1DF92" w14:textId="77777777" w:rsidR="00733207" w:rsidRDefault="00733207">
      <w:pPr>
        <w:spacing w:before="120" w:after="120" w:line="360" w:lineRule="auto"/>
        <w:jc w:val="both"/>
        <w:rPr>
          <w:rFonts w:ascii="Rockwell" w:hAnsi="Rockwell"/>
          <w:sz w:val="10"/>
          <w:szCs w:val="10"/>
        </w:rPr>
      </w:pPr>
    </w:p>
    <w:p w14:paraId="614AD15C" w14:textId="77777777" w:rsidR="00733207" w:rsidRDefault="00912BAE">
      <w:pPr>
        <w:pStyle w:val="Titre4"/>
        <w:spacing w:before="240" w:after="240" w:line="360" w:lineRule="auto"/>
        <w:jc w:val="center"/>
        <w:rPr>
          <w:rFonts w:ascii="Rockwell" w:hAnsi="Rockwell"/>
          <w:b/>
          <w:i w:val="0"/>
          <w:color w:val="auto"/>
          <w:sz w:val="28"/>
          <w:szCs w:val="28"/>
        </w:rPr>
      </w:pPr>
      <w:bookmarkStart w:id="537" w:name="_Toc169855231"/>
      <w:bookmarkStart w:id="538" w:name="_Toc175128587"/>
      <w:bookmarkStart w:id="539" w:name="_Toc83299448"/>
      <w:r>
        <w:rPr>
          <w:rFonts w:ascii="Rockwell" w:hAnsi="Rockwell"/>
          <w:b/>
          <w:i w:val="0"/>
          <w:color w:val="auto"/>
          <w:sz w:val="28"/>
          <w:szCs w:val="28"/>
        </w:rPr>
        <w:t>Paragraphe 1 : Distinctions honorifiques</w:t>
      </w:r>
      <w:bookmarkEnd w:id="537"/>
      <w:bookmarkEnd w:id="538"/>
      <w:bookmarkEnd w:id="539"/>
    </w:p>
    <w:p w14:paraId="0E4E90CA" w14:textId="77777777" w:rsidR="00733207" w:rsidRDefault="00733207">
      <w:pPr>
        <w:jc w:val="both"/>
        <w:rPr>
          <w:rFonts w:ascii="Rockwell" w:hAnsi="Rockwell"/>
          <w:sz w:val="10"/>
          <w:szCs w:val="10"/>
        </w:rPr>
      </w:pPr>
    </w:p>
    <w:p w14:paraId="77154B1A"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Au titre des distinctions honorifiques, quarante et une (41) médailles ont été décernées à des agents et partenaires du CSC dans plusieurs ordres et grades :</w:t>
      </w:r>
    </w:p>
    <w:p w14:paraId="06EF2DB8" w14:textId="77777777" w:rsidR="00733207" w:rsidRDefault="00912BAE">
      <w:pPr>
        <w:pStyle w:val="Paragraphedeliste"/>
        <w:numPr>
          <w:ilvl w:val="0"/>
          <w:numId w:val="43"/>
        </w:numPr>
        <w:suppressAutoHyphens/>
        <w:autoSpaceDN w:val="0"/>
        <w:spacing w:before="120" w:after="120" w:line="360" w:lineRule="auto"/>
        <w:ind w:left="426" w:hanging="426"/>
        <w:contextualSpacing w:val="0"/>
        <w:jc w:val="both"/>
        <w:textAlignment w:val="baseline"/>
        <w:rPr>
          <w:rFonts w:ascii="Rockwell" w:hAnsi="Rockwell"/>
          <w:b/>
          <w:sz w:val="26"/>
          <w:szCs w:val="26"/>
        </w:rPr>
      </w:pPr>
      <w:r>
        <w:rPr>
          <w:rFonts w:ascii="Rockwell" w:hAnsi="Rockwell"/>
          <w:b/>
          <w:sz w:val="26"/>
          <w:szCs w:val="26"/>
        </w:rPr>
        <w:t>Commandeur de l’Ordre de l’Etalon</w:t>
      </w:r>
    </w:p>
    <w:p w14:paraId="20B99655" w14:textId="77777777" w:rsidR="00733207" w:rsidRDefault="00912BAE">
      <w:pPr>
        <w:pStyle w:val="Paragraphedeliste"/>
        <w:numPr>
          <w:ilvl w:val="0"/>
          <w:numId w:val="44"/>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Edouard OUEDRAOGO, Directeur de Publication de </w:t>
      </w:r>
      <w:r>
        <w:rPr>
          <w:rFonts w:ascii="Rockwell" w:hAnsi="Rockwell"/>
          <w:i/>
          <w:sz w:val="26"/>
          <w:szCs w:val="26"/>
        </w:rPr>
        <w:t xml:space="preserve">L’Observateur </w:t>
      </w:r>
      <w:proofErr w:type="spellStart"/>
      <w:r>
        <w:rPr>
          <w:rFonts w:ascii="Rockwell" w:hAnsi="Rockwell"/>
          <w:i/>
          <w:sz w:val="26"/>
          <w:szCs w:val="26"/>
        </w:rPr>
        <w:t>Paalga</w:t>
      </w:r>
      <w:proofErr w:type="spellEnd"/>
      <w:r>
        <w:rPr>
          <w:rFonts w:ascii="Rockwell" w:hAnsi="Rockwell"/>
          <w:sz w:val="26"/>
          <w:szCs w:val="26"/>
        </w:rPr>
        <w:t xml:space="preserve"> ;</w:t>
      </w:r>
    </w:p>
    <w:p w14:paraId="0AC8EDFC" w14:textId="77777777" w:rsidR="00733207" w:rsidRDefault="00733207">
      <w:pPr>
        <w:pStyle w:val="Paragraphedeliste"/>
        <w:suppressAutoHyphens/>
        <w:autoSpaceDN w:val="0"/>
        <w:spacing w:before="120" w:after="120" w:line="360" w:lineRule="auto"/>
        <w:ind w:left="786"/>
        <w:contextualSpacing w:val="0"/>
        <w:jc w:val="both"/>
        <w:textAlignment w:val="baseline"/>
        <w:rPr>
          <w:rFonts w:ascii="Rockwell" w:hAnsi="Rockwell"/>
          <w:sz w:val="10"/>
          <w:szCs w:val="10"/>
        </w:rPr>
      </w:pPr>
    </w:p>
    <w:p w14:paraId="595E8B60" w14:textId="77777777" w:rsidR="00733207" w:rsidRDefault="00912BAE">
      <w:pPr>
        <w:pStyle w:val="Paragraphedeliste"/>
        <w:numPr>
          <w:ilvl w:val="0"/>
          <w:numId w:val="43"/>
        </w:numPr>
        <w:suppressAutoHyphens/>
        <w:autoSpaceDN w:val="0"/>
        <w:spacing w:before="120" w:after="120" w:line="360" w:lineRule="auto"/>
        <w:ind w:left="426" w:hanging="426"/>
        <w:contextualSpacing w:val="0"/>
        <w:jc w:val="both"/>
        <w:textAlignment w:val="baseline"/>
        <w:rPr>
          <w:rFonts w:ascii="Rockwell" w:hAnsi="Rockwell"/>
          <w:b/>
          <w:sz w:val="26"/>
          <w:szCs w:val="26"/>
        </w:rPr>
      </w:pPr>
      <w:r>
        <w:rPr>
          <w:rFonts w:ascii="Rockwell" w:hAnsi="Rockwell"/>
          <w:b/>
          <w:sz w:val="26"/>
          <w:szCs w:val="26"/>
        </w:rPr>
        <w:lastRenderedPageBreak/>
        <w:t>Officier de l’Ordre de l’Etalon</w:t>
      </w:r>
    </w:p>
    <w:p w14:paraId="1B15CFDF" w14:textId="77777777" w:rsidR="00733207" w:rsidRDefault="00912BAE">
      <w:pPr>
        <w:pStyle w:val="Paragraphedeliste"/>
        <w:numPr>
          <w:ilvl w:val="0"/>
          <w:numId w:val="44"/>
        </w:numPr>
        <w:suppressAutoHyphens/>
        <w:autoSpaceDN w:val="0"/>
        <w:spacing w:before="120" w:after="120" w:line="360" w:lineRule="auto"/>
        <w:contextualSpacing w:val="0"/>
        <w:jc w:val="both"/>
        <w:textAlignment w:val="baseline"/>
        <w:rPr>
          <w:rFonts w:ascii="Rockwell" w:hAnsi="Rockwell"/>
          <w:sz w:val="26"/>
          <w:szCs w:val="26"/>
        </w:rPr>
      </w:pPr>
      <w:proofErr w:type="spellStart"/>
      <w:r>
        <w:rPr>
          <w:rFonts w:ascii="Rockwell" w:hAnsi="Rockwell"/>
          <w:sz w:val="26"/>
          <w:szCs w:val="26"/>
        </w:rPr>
        <w:t>Assétou</w:t>
      </w:r>
      <w:proofErr w:type="spellEnd"/>
      <w:r>
        <w:rPr>
          <w:rFonts w:ascii="Rockwell" w:hAnsi="Rockwell"/>
          <w:sz w:val="26"/>
          <w:szCs w:val="26"/>
        </w:rPr>
        <w:t xml:space="preserve"> BADO/GUIRE, Directrice Générale des </w:t>
      </w:r>
      <w:r>
        <w:rPr>
          <w:rFonts w:ascii="Rockwell" w:hAnsi="Rockwell"/>
          <w:i/>
          <w:sz w:val="26"/>
          <w:szCs w:val="26"/>
        </w:rPr>
        <w:t>Editions SIDWAYA</w:t>
      </w:r>
      <w:r>
        <w:rPr>
          <w:rFonts w:ascii="Rockwell" w:hAnsi="Rockwell"/>
          <w:sz w:val="26"/>
          <w:szCs w:val="26"/>
        </w:rPr>
        <w:t xml:space="preserve"> ;</w:t>
      </w:r>
    </w:p>
    <w:p w14:paraId="2ED46A5D" w14:textId="77777777" w:rsidR="00733207" w:rsidRDefault="00733207">
      <w:pPr>
        <w:pStyle w:val="Paragraphedeliste"/>
        <w:suppressAutoHyphens/>
        <w:autoSpaceDN w:val="0"/>
        <w:spacing w:before="120" w:after="120" w:line="360" w:lineRule="auto"/>
        <w:ind w:left="786"/>
        <w:contextualSpacing w:val="0"/>
        <w:jc w:val="both"/>
        <w:textAlignment w:val="baseline"/>
        <w:rPr>
          <w:rFonts w:ascii="Rockwell" w:hAnsi="Rockwell"/>
          <w:sz w:val="10"/>
          <w:szCs w:val="10"/>
        </w:rPr>
      </w:pPr>
    </w:p>
    <w:p w14:paraId="26014F26" w14:textId="77777777" w:rsidR="00733207" w:rsidRDefault="00912BAE">
      <w:pPr>
        <w:pStyle w:val="Paragraphedeliste"/>
        <w:numPr>
          <w:ilvl w:val="0"/>
          <w:numId w:val="43"/>
        </w:numPr>
        <w:suppressAutoHyphens/>
        <w:autoSpaceDN w:val="0"/>
        <w:spacing w:before="120" w:after="120" w:line="360" w:lineRule="auto"/>
        <w:ind w:left="426" w:hanging="426"/>
        <w:contextualSpacing w:val="0"/>
        <w:jc w:val="both"/>
        <w:textAlignment w:val="baseline"/>
        <w:rPr>
          <w:rFonts w:ascii="Rockwell" w:hAnsi="Rockwell"/>
          <w:b/>
          <w:sz w:val="26"/>
          <w:szCs w:val="26"/>
        </w:rPr>
      </w:pPr>
      <w:r>
        <w:rPr>
          <w:rFonts w:ascii="Rockwell" w:hAnsi="Rockwell"/>
          <w:b/>
          <w:sz w:val="26"/>
          <w:szCs w:val="26"/>
        </w:rPr>
        <w:t>Chevalier de l’Ordre de l’Etalon</w:t>
      </w:r>
    </w:p>
    <w:p w14:paraId="1B4624B9" w14:textId="77777777" w:rsidR="00733207" w:rsidRDefault="00912BAE">
      <w:pPr>
        <w:pStyle w:val="Paragraphedeliste"/>
        <w:numPr>
          <w:ilvl w:val="0"/>
          <w:numId w:val="44"/>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Abdoulaye DIALLO, Coordonnateur du Centre National de Presse Norbert ZONGO ;</w:t>
      </w:r>
    </w:p>
    <w:p w14:paraId="6CFB7E5C" w14:textId="77777777" w:rsidR="00733207" w:rsidRDefault="00912BAE">
      <w:pPr>
        <w:pStyle w:val="Paragraphedeliste"/>
        <w:numPr>
          <w:ilvl w:val="0"/>
          <w:numId w:val="43"/>
        </w:numPr>
        <w:suppressAutoHyphens/>
        <w:autoSpaceDN w:val="0"/>
        <w:spacing w:before="120" w:after="120" w:line="360" w:lineRule="auto"/>
        <w:ind w:left="426" w:hanging="426"/>
        <w:contextualSpacing w:val="0"/>
        <w:jc w:val="both"/>
        <w:textAlignment w:val="baseline"/>
        <w:rPr>
          <w:rFonts w:ascii="Rockwell" w:hAnsi="Rockwell"/>
          <w:b/>
          <w:sz w:val="26"/>
          <w:szCs w:val="26"/>
        </w:rPr>
      </w:pPr>
      <w:r>
        <w:rPr>
          <w:rFonts w:ascii="Rockwell" w:hAnsi="Rockwell"/>
          <w:b/>
          <w:sz w:val="26"/>
          <w:szCs w:val="26"/>
        </w:rPr>
        <w:t>Officier de l’Ordre du mérite Burkinabè</w:t>
      </w:r>
    </w:p>
    <w:p w14:paraId="072B6F42" w14:textId="77777777" w:rsidR="00733207" w:rsidRDefault="00733207">
      <w:pPr>
        <w:pStyle w:val="Paragraphedeliste"/>
        <w:suppressAutoHyphens/>
        <w:autoSpaceDN w:val="0"/>
        <w:spacing w:before="120" w:after="120" w:line="360" w:lineRule="auto"/>
        <w:ind w:left="426"/>
        <w:contextualSpacing w:val="0"/>
        <w:jc w:val="both"/>
        <w:textAlignment w:val="baseline"/>
        <w:rPr>
          <w:rFonts w:ascii="Rockwell" w:hAnsi="Rockwell"/>
          <w:b/>
          <w:sz w:val="10"/>
          <w:szCs w:val="10"/>
        </w:rPr>
      </w:pPr>
    </w:p>
    <w:p w14:paraId="2857F6BE"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Bandiba</w:t>
      </w:r>
      <w:proofErr w:type="spellEnd"/>
      <w:r>
        <w:rPr>
          <w:rFonts w:ascii="Rockwell" w:hAnsi="Rockwell"/>
          <w:sz w:val="26"/>
          <w:szCs w:val="26"/>
        </w:rPr>
        <w:t xml:space="preserve"> Boureima OUOBA, Délégué régional de l'Est du CSC ;</w:t>
      </w:r>
    </w:p>
    <w:p w14:paraId="51A1A09A" w14:textId="77777777" w:rsidR="00733207" w:rsidRDefault="00733207">
      <w:pPr>
        <w:pStyle w:val="Paragraphedeliste"/>
        <w:suppressAutoHyphens/>
        <w:autoSpaceDN w:val="0"/>
        <w:spacing w:before="120" w:after="120" w:line="360" w:lineRule="auto"/>
        <w:ind w:left="786" w:right="-143"/>
        <w:contextualSpacing w:val="0"/>
        <w:jc w:val="both"/>
        <w:textAlignment w:val="baseline"/>
        <w:rPr>
          <w:rFonts w:ascii="Rockwell" w:hAnsi="Rockwell"/>
          <w:sz w:val="10"/>
          <w:szCs w:val="10"/>
        </w:rPr>
      </w:pPr>
    </w:p>
    <w:p w14:paraId="409B1C05" w14:textId="77777777" w:rsidR="00733207" w:rsidRDefault="00912BAE">
      <w:pPr>
        <w:pStyle w:val="Paragraphedeliste"/>
        <w:numPr>
          <w:ilvl w:val="0"/>
          <w:numId w:val="43"/>
        </w:numPr>
        <w:suppressAutoHyphens/>
        <w:autoSpaceDN w:val="0"/>
        <w:spacing w:before="120" w:after="120" w:line="360" w:lineRule="auto"/>
        <w:ind w:left="426" w:hanging="426"/>
        <w:contextualSpacing w:val="0"/>
        <w:jc w:val="both"/>
        <w:textAlignment w:val="baseline"/>
        <w:rPr>
          <w:rFonts w:ascii="Rockwell" w:hAnsi="Rockwell"/>
          <w:b/>
          <w:sz w:val="26"/>
          <w:szCs w:val="26"/>
        </w:rPr>
      </w:pPr>
      <w:r>
        <w:rPr>
          <w:rFonts w:ascii="Rockwell" w:hAnsi="Rockwell"/>
          <w:b/>
          <w:sz w:val="26"/>
          <w:szCs w:val="26"/>
        </w:rPr>
        <w:t>Chevalier de l’Ordre du mérite Burkinabè</w:t>
      </w:r>
    </w:p>
    <w:p w14:paraId="198ED11F"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Ouendlassida</w:t>
      </w:r>
      <w:proofErr w:type="spellEnd"/>
      <w:r>
        <w:rPr>
          <w:rFonts w:ascii="Rockwell" w:hAnsi="Rockwell"/>
          <w:sz w:val="26"/>
          <w:szCs w:val="26"/>
        </w:rPr>
        <w:t xml:space="preserve"> Bertrand Louis Marie BAGA, Assistant en STIC, agent au CSC ;</w:t>
      </w:r>
    </w:p>
    <w:p w14:paraId="16F95BEB"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Jean Paul HILAIRE, Directeur général de l’Agence </w:t>
      </w:r>
      <w:proofErr w:type="spellStart"/>
      <w:r>
        <w:rPr>
          <w:rFonts w:ascii="Rockwell" w:hAnsi="Rockwell"/>
          <w:i/>
          <w:sz w:val="26"/>
          <w:szCs w:val="26"/>
        </w:rPr>
        <w:t>Plubi</w:t>
      </w:r>
      <w:proofErr w:type="spellEnd"/>
      <w:r>
        <w:rPr>
          <w:rFonts w:ascii="Rockwell" w:hAnsi="Rockwell"/>
          <w:i/>
          <w:sz w:val="26"/>
          <w:szCs w:val="26"/>
        </w:rPr>
        <w:t xml:space="preserve"> Express</w:t>
      </w:r>
      <w:r>
        <w:rPr>
          <w:rFonts w:ascii="Rockwell" w:hAnsi="Rockwell"/>
          <w:sz w:val="26"/>
          <w:szCs w:val="26"/>
        </w:rPr>
        <w:t xml:space="preserve"> ;</w:t>
      </w:r>
    </w:p>
    <w:p w14:paraId="77480F0C"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b/>
          <w:sz w:val="26"/>
          <w:szCs w:val="26"/>
        </w:rPr>
      </w:pPr>
      <w:proofErr w:type="spellStart"/>
      <w:r>
        <w:rPr>
          <w:rFonts w:ascii="Rockwell" w:hAnsi="Rockwell"/>
          <w:sz w:val="26"/>
          <w:szCs w:val="26"/>
        </w:rPr>
        <w:t>Lamoussa</w:t>
      </w:r>
      <w:proofErr w:type="spellEnd"/>
      <w:r>
        <w:rPr>
          <w:rFonts w:ascii="Rockwell" w:hAnsi="Rockwell"/>
          <w:sz w:val="26"/>
          <w:szCs w:val="26"/>
        </w:rPr>
        <w:t xml:space="preserve"> YARO, Directeur général de l’Agence </w:t>
      </w:r>
      <w:r>
        <w:rPr>
          <w:rFonts w:ascii="Rockwell" w:hAnsi="Rockwell"/>
          <w:i/>
          <w:sz w:val="26"/>
          <w:szCs w:val="26"/>
        </w:rPr>
        <w:t>Accent Sud communication</w:t>
      </w:r>
      <w:r>
        <w:rPr>
          <w:rFonts w:ascii="Rockwell" w:hAnsi="Rockwell"/>
          <w:sz w:val="26"/>
          <w:szCs w:val="26"/>
        </w:rPr>
        <w:t xml:space="preserve">. </w:t>
      </w:r>
    </w:p>
    <w:p w14:paraId="227646E8" w14:textId="77777777" w:rsidR="00733207" w:rsidRDefault="00733207">
      <w:pPr>
        <w:pStyle w:val="Paragraphedeliste"/>
        <w:suppressAutoHyphens/>
        <w:autoSpaceDN w:val="0"/>
        <w:spacing w:before="120" w:after="120" w:line="360" w:lineRule="auto"/>
        <w:ind w:left="786" w:right="-143"/>
        <w:contextualSpacing w:val="0"/>
        <w:jc w:val="both"/>
        <w:textAlignment w:val="baseline"/>
        <w:rPr>
          <w:rFonts w:ascii="Rockwell" w:hAnsi="Rockwell"/>
          <w:b/>
          <w:sz w:val="10"/>
          <w:szCs w:val="10"/>
        </w:rPr>
      </w:pPr>
    </w:p>
    <w:p w14:paraId="2E8AFC63" w14:textId="77777777" w:rsidR="00733207" w:rsidRDefault="00912BAE">
      <w:pPr>
        <w:pStyle w:val="Paragraphedeliste"/>
        <w:numPr>
          <w:ilvl w:val="0"/>
          <w:numId w:val="43"/>
        </w:numPr>
        <w:suppressAutoHyphens/>
        <w:autoSpaceDN w:val="0"/>
        <w:spacing w:before="120" w:after="120" w:line="360" w:lineRule="auto"/>
        <w:ind w:left="426" w:hanging="426"/>
        <w:contextualSpacing w:val="0"/>
        <w:jc w:val="both"/>
        <w:textAlignment w:val="baseline"/>
        <w:rPr>
          <w:rFonts w:ascii="Rockwell" w:hAnsi="Rockwell"/>
          <w:b/>
          <w:sz w:val="26"/>
          <w:szCs w:val="26"/>
        </w:rPr>
      </w:pPr>
      <w:r>
        <w:rPr>
          <w:rFonts w:ascii="Rockwell" w:hAnsi="Rockwell"/>
          <w:b/>
          <w:sz w:val="26"/>
          <w:szCs w:val="26"/>
        </w:rPr>
        <w:t>Officier de l’Ordre du Mérite, des Arts, des lettres et de la Communication</w:t>
      </w:r>
    </w:p>
    <w:p w14:paraId="25012E18"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Mamadou Ali COMPAORE, Conseiller au CSC ;</w:t>
      </w:r>
    </w:p>
    <w:p w14:paraId="3952172D"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Adama ZOUNDI, Chef de service sécurité du CSC ;</w:t>
      </w:r>
    </w:p>
    <w:p w14:paraId="1D4FE5A1"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T. Lazare KABORE, Adjudant de police ; </w:t>
      </w:r>
    </w:p>
    <w:p w14:paraId="1D290185"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Hamado</w:t>
      </w:r>
      <w:proofErr w:type="spellEnd"/>
      <w:r>
        <w:rPr>
          <w:rFonts w:ascii="Rockwell" w:hAnsi="Rockwell"/>
          <w:sz w:val="26"/>
          <w:szCs w:val="26"/>
        </w:rPr>
        <w:t xml:space="preserve"> NANA, Journaliste à la retraite ;</w:t>
      </w:r>
      <w:r>
        <w:rPr>
          <w:rFonts w:ascii="Rockwell" w:hAnsi="Rockwell"/>
          <w:sz w:val="26"/>
          <w:szCs w:val="26"/>
        </w:rPr>
        <w:tab/>
      </w:r>
      <w:r>
        <w:rPr>
          <w:rFonts w:ascii="Rockwell" w:hAnsi="Rockwell"/>
          <w:sz w:val="26"/>
          <w:szCs w:val="26"/>
        </w:rPr>
        <w:tab/>
      </w:r>
    </w:p>
    <w:p w14:paraId="492C0F5A"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Fanta DIARRA/SENOGO, Secrétaire à la retraite ;</w:t>
      </w:r>
      <w:r>
        <w:rPr>
          <w:rFonts w:ascii="Rockwell" w:hAnsi="Rockwell"/>
          <w:sz w:val="26"/>
          <w:szCs w:val="26"/>
        </w:rPr>
        <w:tab/>
      </w:r>
      <w:r>
        <w:rPr>
          <w:rFonts w:ascii="Rockwell" w:hAnsi="Rockwell"/>
          <w:sz w:val="26"/>
          <w:szCs w:val="26"/>
        </w:rPr>
        <w:tab/>
      </w:r>
    </w:p>
    <w:p w14:paraId="3A55C6D6"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b/>
          <w:sz w:val="26"/>
          <w:szCs w:val="26"/>
        </w:rPr>
      </w:pPr>
      <w:r>
        <w:rPr>
          <w:rFonts w:ascii="Rockwell" w:hAnsi="Rockwell"/>
          <w:sz w:val="26"/>
          <w:szCs w:val="26"/>
        </w:rPr>
        <w:t>Boubacar NAPON, Journaliste à la retraite ;</w:t>
      </w:r>
      <w:r>
        <w:rPr>
          <w:rFonts w:ascii="Rockwell" w:hAnsi="Rockwell"/>
          <w:sz w:val="26"/>
          <w:szCs w:val="26"/>
        </w:rPr>
        <w:tab/>
      </w:r>
      <w:r>
        <w:rPr>
          <w:rFonts w:ascii="Rockwell" w:hAnsi="Rockwell"/>
          <w:sz w:val="26"/>
          <w:szCs w:val="26"/>
        </w:rPr>
        <w:tab/>
      </w:r>
    </w:p>
    <w:p w14:paraId="07B9E31A" w14:textId="77777777" w:rsidR="00733207" w:rsidRDefault="00733207">
      <w:pPr>
        <w:pStyle w:val="Paragraphedeliste"/>
        <w:suppressAutoHyphens/>
        <w:autoSpaceDN w:val="0"/>
        <w:spacing w:before="120" w:after="120" w:line="360" w:lineRule="auto"/>
        <w:ind w:left="786" w:right="-143"/>
        <w:contextualSpacing w:val="0"/>
        <w:jc w:val="both"/>
        <w:textAlignment w:val="baseline"/>
        <w:rPr>
          <w:rFonts w:ascii="Rockwell" w:hAnsi="Rockwell"/>
          <w:b/>
          <w:sz w:val="26"/>
          <w:szCs w:val="26"/>
        </w:rPr>
      </w:pPr>
    </w:p>
    <w:p w14:paraId="014A0A61" w14:textId="77777777" w:rsidR="00733207" w:rsidRDefault="00733207">
      <w:pPr>
        <w:pStyle w:val="Paragraphedeliste"/>
        <w:suppressAutoHyphens/>
        <w:autoSpaceDN w:val="0"/>
        <w:spacing w:before="120" w:after="120" w:line="360" w:lineRule="auto"/>
        <w:ind w:left="786" w:right="-143"/>
        <w:contextualSpacing w:val="0"/>
        <w:jc w:val="both"/>
        <w:textAlignment w:val="baseline"/>
        <w:rPr>
          <w:rFonts w:ascii="Rockwell" w:hAnsi="Rockwell"/>
          <w:b/>
          <w:sz w:val="10"/>
          <w:szCs w:val="10"/>
        </w:rPr>
      </w:pPr>
    </w:p>
    <w:p w14:paraId="107CEBFB" w14:textId="77777777" w:rsidR="00733207" w:rsidRDefault="00912BAE">
      <w:pPr>
        <w:pStyle w:val="Paragraphedeliste"/>
        <w:numPr>
          <w:ilvl w:val="0"/>
          <w:numId w:val="43"/>
        </w:numPr>
        <w:suppressAutoHyphens/>
        <w:autoSpaceDN w:val="0"/>
        <w:spacing w:before="120" w:after="120" w:line="360" w:lineRule="auto"/>
        <w:contextualSpacing w:val="0"/>
        <w:jc w:val="both"/>
        <w:textAlignment w:val="baseline"/>
        <w:rPr>
          <w:rFonts w:ascii="Rockwell" w:hAnsi="Rockwell"/>
          <w:b/>
          <w:sz w:val="26"/>
          <w:szCs w:val="26"/>
        </w:rPr>
      </w:pPr>
      <w:r>
        <w:rPr>
          <w:rFonts w:ascii="Rockwell" w:hAnsi="Rockwell"/>
          <w:b/>
          <w:sz w:val="26"/>
          <w:szCs w:val="26"/>
        </w:rPr>
        <w:lastRenderedPageBreak/>
        <w:t>Chevalier de l’Ordre du Mérite, des Arts, des lettres et de la Communication</w:t>
      </w:r>
    </w:p>
    <w:p w14:paraId="2375AD44"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Blagnima</w:t>
      </w:r>
      <w:proofErr w:type="spellEnd"/>
      <w:r>
        <w:rPr>
          <w:rFonts w:ascii="Rockwell" w:hAnsi="Rockwell"/>
          <w:sz w:val="26"/>
          <w:szCs w:val="26"/>
        </w:rPr>
        <w:t xml:space="preserve"> TRAORE, Secrétaire général du CSC ;</w:t>
      </w:r>
    </w:p>
    <w:p w14:paraId="7484C7B4"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Radio </w:t>
      </w:r>
      <w:proofErr w:type="spellStart"/>
      <w:r>
        <w:rPr>
          <w:rFonts w:ascii="Rockwell" w:hAnsi="Rockwell"/>
          <w:i/>
          <w:sz w:val="26"/>
          <w:szCs w:val="26"/>
        </w:rPr>
        <w:t>Zekoula</w:t>
      </w:r>
      <w:proofErr w:type="spellEnd"/>
      <w:r>
        <w:rPr>
          <w:rFonts w:ascii="Rockwell" w:hAnsi="Rockwell"/>
          <w:sz w:val="26"/>
          <w:szCs w:val="26"/>
        </w:rPr>
        <w:t xml:space="preserve"> de Bittou ;</w:t>
      </w:r>
      <w:r>
        <w:rPr>
          <w:rFonts w:ascii="Rockwell" w:hAnsi="Rockwell"/>
          <w:sz w:val="26"/>
          <w:szCs w:val="26"/>
        </w:rPr>
        <w:tab/>
      </w:r>
      <w:r>
        <w:rPr>
          <w:rFonts w:ascii="Rockwell" w:hAnsi="Rockwell"/>
          <w:sz w:val="26"/>
          <w:szCs w:val="26"/>
        </w:rPr>
        <w:tab/>
      </w:r>
    </w:p>
    <w:p w14:paraId="24EE3D37"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Diby</w:t>
      </w:r>
      <w:proofErr w:type="spellEnd"/>
      <w:r>
        <w:rPr>
          <w:rFonts w:ascii="Rockwell" w:hAnsi="Rockwell"/>
          <w:sz w:val="26"/>
          <w:szCs w:val="26"/>
        </w:rPr>
        <w:t xml:space="preserve"> </w:t>
      </w:r>
      <w:proofErr w:type="spellStart"/>
      <w:r>
        <w:rPr>
          <w:rFonts w:ascii="Rockwell" w:hAnsi="Rockwell"/>
          <w:sz w:val="26"/>
          <w:szCs w:val="26"/>
        </w:rPr>
        <w:t>Souro</w:t>
      </w:r>
      <w:proofErr w:type="spellEnd"/>
      <w:r>
        <w:rPr>
          <w:rFonts w:ascii="Rockwell" w:hAnsi="Rockwell"/>
          <w:sz w:val="26"/>
          <w:szCs w:val="26"/>
        </w:rPr>
        <w:t xml:space="preserve"> Frédéric Eugène Camille Dimitri MILLOGO, Directeur des marchés publics et des engagements financiers du CSC ;</w:t>
      </w:r>
    </w:p>
    <w:p w14:paraId="62AF29BD"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Abar</w:t>
      </w:r>
      <w:proofErr w:type="spellEnd"/>
      <w:r>
        <w:rPr>
          <w:rFonts w:ascii="Rockwell" w:hAnsi="Rockwell"/>
          <w:sz w:val="26"/>
          <w:szCs w:val="26"/>
        </w:rPr>
        <w:t xml:space="preserve"> Jocelyne DAH, Chef de service de la recette du CSC ;</w:t>
      </w:r>
    </w:p>
    <w:p w14:paraId="74E131CA"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Odyllo</w:t>
      </w:r>
      <w:proofErr w:type="spellEnd"/>
      <w:r>
        <w:rPr>
          <w:rFonts w:ascii="Rockwell" w:hAnsi="Rockwell"/>
          <w:sz w:val="26"/>
          <w:szCs w:val="26"/>
        </w:rPr>
        <w:t xml:space="preserve"> Bachir </w:t>
      </w:r>
      <w:proofErr w:type="spellStart"/>
      <w:r>
        <w:rPr>
          <w:rFonts w:ascii="Rockwell" w:hAnsi="Rockwell"/>
          <w:sz w:val="26"/>
          <w:szCs w:val="26"/>
        </w:rPr>
        <w:t>Amed</w:t>
      </w:r>
      <w:proofErr w:type="spellEnd"/>
      <w:r>
        <w:rPr>
          <w:rFonts w:ascii="Rockwell" w:hAnsi="Rockwell"/>
          <w:sz w:val="26"/>
          <w:szCs w:val="26"/>
        </w:rPr>
        <w:t xml:space="preserve"> Armel ZONGO, Chef de service technique et de l’observation des médias du CSC ;</w:t>
      </w:r>
    </w:p>
    <w:p w14:paraId="7E40156E"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Augustine MINOUNGOU/TAPSOBA, attaché en études et analyses, agent au CSC ;</w:t>
      </w:r>
    </w:p>
    <w:p w14:paraId="7B831152"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Aimé Nadège </w:t>
      </w:r>
      <w:proofErr w:type="spellStart"/>
      <w:r>
        <w:rPr>
          <w:rFonts w:ascii="Rockwell" w:hAnsi="Rockwell"/>
          <w:sz w:val="26"/>
          <w:szCs w:val="26"/>
        </w:rPr>
        <w:t>Relwendé</w:t>
      </w:r>
      <w:proofErr w:type="spellEnd"/>
      <w:r>
        <w:rPr>
          <w:rFonts w:ascii="Rockwell" w:hAnsi="Rockwell"/>
          <w:sz w:val="26"/>
          <w:szCs w:val="26"/>
        </w:rPr>
        <w:t xml:space="preserve"> ROUAMBA, Technicien supérieur du cinéma et de l’audiovisuel, agent au CSC ;</w:t>
      </w:r>
    </w:p>
    <w:p w14:paraId="6E3C7A70" w14:textId="77777777" w:rsidR="00733207" w:rsidRDefault="00912BAE">
      <w:pPr>
        <w:pStyle w:val="Paragraphedeliste"/>
        <w:numPr>
          <w:ilvl w:val="0"/>
          <w:numId w:val="44"/>
        </w:numPr>
        <w:suppressAutoHyphens/>
        <w:autoSpaceDN w:val="0"/>
        <w:spacing w:before="120" w:after="120" w:line="360" w:lineRule="auto"/>
        <w:ind w:right="-284"/>
        <w:contextualSpacing w:val="0"/>
        <w:jc w:val="both"/>
        <w:textAlignment w:val="baseline"/>
        <w:rPr>
          <w:rFonts w:ascii="Rockwell" w:hAnsi="Rockwell"/>
          <w:sz w:val="26"/>
          <w:szCs w:val="26"/>
        </w:rPr>
      </w:pPr>
      <w:r>
        <w:rPr>
          <w:rFonts w:ascii="Rockwell" w:hAnsi="Rockwell"/>
          <w:sz w:val="26"/>
          <w:szCs w:val="26"/>
        </w:rPr>
        <w:t>Apolline ZERBO/OUEDRAOGO, Chef de service de la presse écrite et en ligne du CSC ;</w:t>
      </w:r>
    </w:p>
    <w:p w14:paraId="2131FA13" w14:textId="77777777" w:rsidR="00733207" w:rsidRDefault="00912BAE">
      <w:pPr>
        <w:pStyle w:val="Paragraphedeliste"/>
        <w:numPr>
          <w:ilvl w:val="0"/>
          <w:numId w:val="44"/>
        </w:numPr>
        <w:suppressAutoHyphens/>
        <w:autoSpaceDN w:val="0"/>
        <w:spacing w:before="120" w:after="120" w:line="360" w:lineRule="auto"/>
        <w:ind w:right="-426"/>
        <w:contextualSpacing w:val="0"/>
        <w:jc w:val="both"/>
        <w:textAlignment w:val="baseline"/>
        <w:rPr>
          <w:rFonts w:ascii="Rockwell" w:hAnsi="Rockwell"/>
          <w:sz w:val="26"/>
          <w:szCs w:val="26"/>
        </w:rPr>
      </w:pPr>
      <w:proofErr w:type="spellStart"/>
      <w:r>
        <w:rPr>
          <w:rFonts w:ascii="Rockwell" w:hAnsi="Rockwell"/>
          <w:sz w:val="26"/>
          <w:szCs w:val="26"/>
        </w:rPr>
        <w:t>Barkwindé</w:t>
      </w:r>
      <w:proofErr w:type="spellEnd"/>
      <w:r>
        <w:rPr>
          <w:rFonts w:ascii="Rockwell" w:hAnsi="Rockwell"/>
          <w:sz w:val="26"/>
          <w:szCs w:val="26"/>
        </w:rPr>
        <w:t xml:space="preserve"> Alimata KINI /MINOUNGOU, Secrétaire de direction au CSC ;</w:t>
      </w:r>
    </w:p>
    <w:p w14:paraId="15536739"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i/>
          <w:sz w:val="26"/>
          <w:szCs w:val="26"/>
        </w:rPr>
        <w:t>Burkina 24</w:t>
      </w:r>
      <w:r>
        <w:rPr>
          <w:rFonts w:ascii="Rockwell" w:hAnsi="Rockwell"/>
          <w:sz w:val="26"/>
          <w:szCs w:val="26"/>
        </w:rPr>
        <w:t xml:space="preserve"> ;</w:t>
      </w:r>
      <w:r>
        <w:rPr>
          <w:rFonts w:ascii="Rockwell" w:hAnsi="Rockwell"/>
          <w:sz w:val="26"/>
          <w:szCs w:val="26"/>
        </w:rPr>
        <w:tab/>
      </w:r>
      <w:r>
        <w:rPr>
          <w:rFonts w:ascii="Rockwell" w:hAnsi="Rockwell"/>
          <w:sz w:val="26"/>
          <w:szCs w:val="26"/>
        </w:rPr>
        <w:tab/>
      </w:r>
    </w:p>
    <w:p w14:paraId="3BABB1A6"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Aimé </w:t>
      </w:r>
      <w:proofErr w:type="spellStart"/>
      <w:r>
        <w:rPr>
          <w:rFonts w:ascii="Rockwell" w:hAnsi="Rockwell"/>
          <w:sz w:val="26"/>
          <w:szCs w:val="26"/>
        </w:rPr>
        <w:t>Kobo</w:t>
      </w:r>
      <w:proofErr w:type="spellEnd"/>
      <w:r>
        <w:rPr>
          <w:rFonts w:ascii="Rockwell" w:hAnsi="Rockwell"/>
          <w:sz w:val="26"/>
          <w:szCs w:val="26"/>
        </w:rPr>
        <w:t xml:space="preserve"> NABALOUM, Journaliste à </w:t>
      </w:r>
      <w:r>
        <w:rPr>
          <w:rFonts w:ascii="Rockwell" w:hAnsi="Rockwell"/>
          <w:i/>
          <w:sz w:val="26"/>
          <w:szCs w:val="26"/>
        </w:rPr>
        <w:t>Le Reporter</w:t>
      </w:r>
      <w:r>
        <w:rPr>
          <w:rFonts w:ascii="Rockwell" w:hAnsi="Rockwell"/>
          <w:sz w:val="26"/>
          <w:szCs w:val="26"/>
        </w:rPr>
        <w:t xml:space="preserve"> ;</w:t>
      </w:r>
      <w:r>
        <w:rPr>
          <w:rFonts w:ascii="Rockwell" w:hAnsi="Rockwell"/>
          <w:sz w:val="26"/>
          <w:szCs w:val="26"/>
        </w:rPr>
        <w:tab/>
      </w:r>
      <w:r>
        <w:rPr>
          <w:rFonts w:ascii="Rockwell" w:hAnsi="Rockwell"/>
          <w:sz w:val="26"/>
          <w:szCs w:val="26"/>
        </w:rPr>
        <w:tab/>
      </w:r>
    </w:p>
    <w:p w14:paraId="44CB1322"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Anatole KIBA, Dessinateur à </w:t>
      </w:r>
      <w:r>
        <w:rPr>
          <w:rFonts w:ascii="Rockwell" w:hAnsi="Rockwell"/>
          <w:i/>
          <w:sz w:val="26"/>
          <w:szCs w:val="26"/>
        </w:rPr>
        <w:t xml:space="preserve">L’Observateur </w:t>
      </w:r>
      <w:proofErr w:type="spellStart"/>
      <w:r>
        <w:rPr>
          <w:rFonts w:ascii="Rockwell" w:hAnsi="Rockwell"/>
          <w:i/>
          <w:sz w:val="26"/>
          <w:szCs w:val="26"/>
        </w:rPr>
        <w:t>Paalga</w:t>
      </w:r>
      <w:proofErr w:type="spellEnd"/>
      <w:r>
        <w:rPr>
          <w:rFonts w:ascii="Rockwell" w:hAnsi="Rockwell"/>
          <w:sz w:val="26"/>
          <w:szCs w:val="26"/>
        </w:rPr>
        <w:t xml:space="preserve"> ;</w:t>
      </w:r>
      <w:r>
        <w:rPr>
          <w:rFonts w:ascii="Rockwell" w:hAnsi="Rockwell"/>
          <w:sz w:val="26"/>
          <w:szCs w:val="26"/>
        </w:rPr>
        <w:tab/>
      </w:r>
    </w:p>
    <w:p w14:paraId="3DA9D36C"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Radio </w:t>
      </w:r>
      <w:r>
        <w:rPr>
          <w:rFonts w:ascii="Rockwell" w:hAnsi="Rockwell"/>
          <w:i/>
          <w:sz w:val="26"/>
          <w:szCs w:val="26"/>
        </w:rPr>
        <w:t>La Voix du Verger</w:t>
      </w:r>
      <w:r>
        <w:rPr>
          <w:rFonts w:ascii="Rockwell" w:hAnsi="Rockwell"/>
          <w:sz w:val="26"/>
          <w:szCs w:val="26"/>
        </w:rPr>
        <w:t xml:space="preserve"> de Orodara ;</w:t>
      </w:r>
      <w:r>
        <w:rPr>
          <w:rFonts w:ascii="Rockwell" w:hAnsi="Rockwell"/>
          <w:sz w:val="26"/>
          <w:szCs w:val="26"/>
        </w:rPr>
        <w:tab/>
      </w:r>
      <w:r>
        <w:rPr>
          <w:rFonts w:ascii="Rockwell" w:hAnsi="Rockwell"/>
          <w:sz w:val="26"/>
          <w:szCs w:val="26"/>
        </w:rPr>
        <w:tab/>
      </w:r>
    </w:p>
    <w:p w14:paraId="3720A86E"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i/>
          <w:sz w:val="26"/>
          <w:szCs w:val="26"/>
        </w:rPr>
        <w:t>Radio</w:t>
      </w:r>
      <w:r>
        <w:rPr>
          <w:rFonts w:ascii="Rockwell" w:hAnsi="Rockwell"/>
          <w:sz w:val="26"/>
          <w:szCs w:val="26"/>
        </w:rPr>
        <w:t xml:space="preserve"> </w:t>
      </w:r>
      <w:proofErr w:type="spellStart"/>
      <w:r>
        <w:rPr>
          <w:rFonts w:ascii="Rockwell" w:hAnsi="Rockwell"/>
          <w:i/>
          <w:sz w:val="26"/>
          <w:szCs w:val="26"/>
        </w:rPr>
        <w:t>Poura</w:t>
      </w:r>
      <w:proofErr w:type="spellEnd"/>
      <w:r>
        <w:rPr>
          <w:rFonts w:ascii="Rockwell" w:hAnsi="Rockwell"/>
          <w:i/>
          <w:sz w:val="26"/>
          <w:szCs w:val="26"/>
        </w:rPr>
        <w:t xml:space="preserve"> </w:t>
      </w:r>
      <w:r>
        <w:rPr>
          <w:rFonts w:ascii="Rockwell" w:hAnsi="Rockwell"/>
          <w:sz w:val="26"/>
          <w:szCs w:val="26"/>
        </w:rPr>
        <w:t xml:space="preserve">de </w:t>
      </w:r>
      <w:proofErr w:type="spellStart"/>
      <w:r>
        <w:rPr>
          <w:rFonts w:ascii="Rockwell" w:hAnsi="Rockwell"/>
          <w:sz w:val="26"/>
          <w:szCs w:val="26"/>
        </w:rPr>
        <w:t>Poura</w:t>
      </w:r>
      <w:proofErr w:type="spellEnd"/>
      <w:r>
        <w:rPr>
          <w:rFonts w:ascii="Rockwell" w:hAnsi="Rockwell"/>
          <w:sz w:val="26"/>
          <w:szCs w:val="26"/>
        </w:rPr>
        <w:t xml:space="preserve"> ;</w:t>
      </w:r>
      <w:r>
        <w:rPr>
          <w:rFonts w:ascii="Rockwell" w:hAnsi="Rockwell"/>
          <w:sz w:val="26"/>
          <w:szCs w:val="26"/>
        </w:rPr>
        <w:tab/>
      </w:r>
      <w:r>
        <w:rPr>
          <w:rFonts w:ascii="Rockwell" w:hAnsi="Rockwell"/>
          <w:sz w:val="26"/>
          <w:szCs w:val="26"/>
        </w:rPr>
        <w:tab/>
      </w:r>
    </w:p>
    <w:p w14:paraId="7AEA67C3"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i/>
          <w:sz w:val="26"/>
          <w:szCs w:val="26"/>
        </w:rPr>
        <w:t xml:space="preserve">Radio </w:t>
      </w:r>
      <w:proofErr w:type="spellStart"/>
      <w:r>
        <w:rPr>
          <w:rFonts w:ascii="Rockwell" w:hAnsi="Rockwell"/>
          <w:i/>
          <w:sz w:val="26"/>
          <w:szCs w:val="26"/>
        </w:rPr>
        <w:t>Unitas</w:t>
      </w:r>
      <w:proofErr w:type="spellEnd"/>
      <w:r>
        <w:rPr>
          <w:rFonts w:ascii="Rockwell" w:hAnsi="Rockwell"/>
          <w:sz w:val="26"/>
          <w:szCs w:val="26"/>
        </w:rPr>
        <w:t xml:space="preserve"> de Diébougou ;</w:t>
      </w:r>
      <w:r>
        <w:rPr>
          <w:rFonts w:ascii="Rockwell" w:hAnsi="Rockwell"/>
          <w:sz w:val="26"/>
          <w:szCs w:val="26"/>
        </w:rPr>
        <w:tab/>
      </w:r>
      <w:r>
        <w:rPr>
          <w:rFonts w:ascii="Rockwell" w:hAnsi="Rockwell"/>
          <w:sz w:val="26"/>
          <w:szCs w:val="26"/>
        </w:rPr>
        <w:tab/>
      </w:r>
    </w:p>
    <w:p w14:paraId="0D9BA1F3"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Gervais SOMDA, Directeur exécutif de </w:t>
      </w:r>
      <w:r>
        <w:rPr>
          <w:rFonts w:ascii="Rockwell" w:hAnsi="Rockwell"/>
          <w:i/>
          <w:sz w:val="26"/>
          <w:szCs w:val="26"/>
        </w:rPr>
        <w:t>Savane Médias</w:t>
      </w:r>
      <w:r>
        <w:rPr>
          <w:rFonts w:ascii="Rockwell" w:hAnsi="Rockwell"/>
          <w:sz w:val="26"/>
          <w:szCs w:val="26"/>
        </w:rPr>
        <w:t xml:space="preserve"> ;</w:t>
      </w:r>
    </w:p>
    <w:p w14:paraId="26A08F5E"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Placide DAKIO/OUOROKUY, Chargée de Production de la </w:t>
      </w:r>
      <w:r>
        <w:rPr>
          <w:rFonts w:ascii="Rockwell" w:hAnsi="Rockwell"/>
          <w:i/>
          <w:sz w:val="26"/>
          <w:szCs w:val="26"/>
        </w:rPr>
        <w:t>Radio Alliance Chrétienne (RAC)</w:t>
      </w:r>
      <w:r>
        <w:rPr>
          <w:rFonts w:ascii="Rockwell" w:hAnsi="Rockwell"/>
          <w:sz w:val="26"/>
          <w:szCs w:val="26"/>
        </w:rPr>
        <w:t xml:space="preserve"> de Bobo-Dioulasso ;</w:t>
      </w:r>
    </w:p>
    <w:p w14:paraId="78A8C371"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Jean Pierre BOUSSIM, Directeur de la </w:t>
      </w:r>
      <w:r>
        <w:rPr>
          <w:rFonts w:ascii="Rockwell" w:hAnsi="Rockwell"/>
          <w:i/>
          <w:sz w:val="26"/>
          <w:szCs w:val="26"/>
        </w:rPr>
        <w:t xml:space="preserve">Radio </w:t>
      </w:r>
      <w:proofErr w:type="spellStart"/>
      <w:r>
        <w:rPr>
          <w:rFonts w:ascii="Rockwell" w:hAnsi="Rockwell"/>
          <w:i/>
          <w:sz w:val="26"/>
          <w:szCs w:val="26"/>
        </w:rPr>
        <w:t>Paglayiri</w:t>
      </w:r>
      <w:proofErr w:type="spellEnd"/>
      <w:r>
        <w:rPr>
          <w:rFonts w:ascii="Rockwell" w:hAnsi="Rockwell"/>
          <w:sz w:val="26"/>
          <w:szCs w:val="26"/>
        </w:rPr>
        <w:t xml:space="preserve"> de Zabré ;</w:t>
      </w:r>
    </w:p>
    <w:p w14:paraId="7D5EAC06" w14:textId="77777777" w:rsidR="00733207" w:rsidRDefault="00912BAE">
      <w:pPr>
        <w:pStyle w:val="Paragraphedeliste"/>
        <w:numPr>
          <w:ilvl w:val="0"/>
          <w:numId w:val="44"/>
        </w:numPr>
        <w:suppressAutoHyphens/>
        <w:autoSpaceDN w:val="0"/>
        <w:spacing w:before="120" w:after="120" w:line="360" w:lineRule="auto"/>
        <w:ind w:right="-426"/>
        <w:contextualSpacing w:val="0"/>
        <w:jc w:val="both"/>
        <w:textAlignment w:val="baseline"/>
        <w:rPr>
          <w:rFonts w:ascii="Rockwell" w:hAnsi="Rockwell"/>
          <w:sz w:val="26"/>
          <w:szCs w:val="26"/>
        </w:rPr>
      </w:pPr>
      <w:proofErr w:type="spellStart"/>
      <w:r>
        <w:rPr>
          <w:rFonts w:ascii="Rockwell" w:hAnsi="Rockwell"/>
          <w:sz w:val="26"/>
          <w:szCs w:val="26"/>
        </w:rPr>
        <w:lastRenderedPageBreak/>
        <w:t>Wendinmi</w:t>
      </w:r>
      <w:proofErr w:type="spellEnd"/>
      <w:r>
        <w:rPr>
          <w:rFonts w:ascii="Rockwell" w:hAnsi="Rockwell"/>
          <w:sz w:val="26"/>
          <w:szCs w:val="26"/>
        </w:rPr>
        <w:t xml:space="preserve"> Valérie BONKOUNGOU/SAOUADOGO, Conseillère au CSC ;</w:t>
      </w:r>
    </w:p>
    <w:p w14:paraId="33FA6AA0"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Amadou Aristide OUEDRAOGO, Chargé de mission au Ministère des affaires étrangères, de la coopération régionale et des Burkinabès de l’extérieur ;</w:t>
      </w:r>
    </w:p>
    <w:p w14:paraId="28D94D20"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Irzouma</w:t>
      </w:r>
      <w:proofErr w:type="spellEnd"/>
      <w:r>
        <w:rPr>
          <w:rFonts w:ascii="Rockwell" w:hAnsi="Rockwell"/>
          <w:sz w:val="26"/>
          <w:szCs w:val="26"/>
        </w:rPr>
        <w:t xml:space="preserve"> SIDIBE, Directeur Général de l’Agence Focus ;</w:t>
      </w:r>
    </w:p>
    <w:p w14:paraId="337085AA"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Ollo</w:t>
      </w:r>
      <w:proofErr w:type="spellEnd"/>
      <w:r>
        <w:rPr>
          <w:rFonts w:ascii="Rockwell" w:hAnsi="Rockwell"/>
          <w:sz w:val="26"/>
          <w:szCs w:val="26"/>
        </w:rPr>
        <w:t xml:space="preserve"> Daniel PALE,</w:t>
      </w:r>
      <w:r>
        <w:rPr>
          <w:rFonts w:ascii="Rockwell" w:hAnsi="Rockwell"/>
          <w:sz w:val="26"/>
          <w:szCs w:val="26"/>
        </w:rPr>
        <w:tab/>
      </w:r>
      <w:r>
        <w:rPr>
          <w:rFonts w:ascii="Rockwell" w:hAnsi="Rockwell"/>
          <w:i/>
          <w:sz w:val="26"/>
          <w:szCs w:val="26"/>
        </w:rPr>
        <w:t>Radio Evangile et Développement du Sud-Ouest</w:t>
      </w:r>
      <w:r>
        <w:rPr>
          <w:rFonts w:ascii="Rockwell" w:hAnsi="Rockwell"/>
          <w:sz w:val="26"/>
          <w:szCs w:val="26"/>
        </w:rPr>
        <w:t xml:space="preserve"> Gaoua ;</w:t>
      </w:r>
    </w:p>
    <w:p w14:paraId="7EC497B5"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Abdoulaye SAWADOGO, Promoteur du journal </w:t>
      </w:r>
      <w:r>
        <w:rPr>
          <w:rFonts w:ascii="Rockwell" w:hAnsi="Rockwell"/>
          <w:i/>
          <w:sz w:val="26"/>
          <w:szCs w:val="26"/>
        </w:rPr>
        <w:t xml:space="preserve">Bangré </w:t>
      </w:r>
      <w:proofErr w:type="spellStart"/>
      <w:r>
        <w:rPr>
          <w:rFonts w:ascii="Rockwell" w:hAnsi="Rockwell"/>
          <w:i/>
          <w:sz w:val="26"/>
          <w:szCs w:val="26"/>
        </w:rPr>
        <w:t>Nooma</w:t>
      </w:r>
      <w:proofErr w:type="spellEnd"/>
      <w:r>
        <w:rPr>
          <w:rFonts w:ascii="Rockwell" w:hAnsi="Rockwell"/>
          <w:i/>
          <w:sz w:val="26"/>
          <w:szCs w:val="26"/>
        </w:rPr>
        <w:t xml:space="preserve"> </w:t>
      </w:r>
      <w:r>
        <w:rPr>
          <w:rFonts w:ascii="Rockwell" w:hAnsi="Rockwell"/>
          <w:sz w:val="26"/>
          <w:szCs w:val="26"/>
        </w:rPr>
        <w:t>Kaya ;</w:t>
      </w:r>
      <w:r>
        <w:rPr>
          <w:rFonts w:ascii="Rockwell" w:hAnsi="Rockwell"/>
          <w:sz w:val="26"/>
          <w:szCs w:val="26"/>
        </w:rPr>
        <w:tab/>
      </w:r>
    </w:p>
    <w:p w14:paraId="56FCE97F"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Talsida</w:t>
      </w:r>
      <w:proofErr w:type="spellEnd"/>
      <w:r>
        <w:rPr>
          <w:rFonts w:ascii="Rockwell" w:hAnsi="Rockwell"/>
          <w:sz w:val="26"/>
          <w:szCs w:val="26"/>
        </w:rPr>
        <w:t xml:space="preserve"> Christian KONE, Journaliste communicateur ;</w:t>
      </w:r>
      <w:r>
        <w:rPr>
          <w:rFonts w:ascii="Rockwell" w:hAnsi="Rockwell"/>
          <w:sz w:val="26"/>
          <w:szCs w:val="26"/>
        </w:rPr>
        <w:tab/>
      </w:r>
      <w:r>
        <w:rPr>
          <w:rFonts w:ascii="Rockwell" w:hAnsi="Rockwell"/>
          <w:sz w:val="26"/>
          <w:szCs w:val="26"/>
        </w:rPr>
        <w:tab/>
      </w:r>
    </w:p>
    <w:p w14:paraId="3F9698F5" w14:textId="77777777" w:rsidR="00733207" w:rsidRDefault="00912BAE">
      <w:pPr>
        <w:pStyle w:val="Paragraphedeliste"/>
        <w:numPr>
          <w:ilvl w:val="0"/>
          <w:numId w:val="44"/>
        </w:numPr>
        <w:suppressAutoHyphens/>
        <w:autoSpaceDN w:val="0"/>
        <w:spacing w:before="120" w:after="120" w:line="360" w:lineRule="auto"/>
        <w:ind w:right="-567"/>
        <w:contextualSpacing w:val="0"/>
        <w:jc w:val="both"/>
        <w:textAlignment w:val="baseline"/>
        <w:rPr>
          <w:rFonts w:ascii="Rockwell" w:hAnsi="Rockwell"/>
          <w:sz w:val="26"/>
          <w:szCs w:val="26"/>
        </w:rPr>
      </w:pPr>
      <w:r>
        <w:rPr>
          <w:rFonts w:ascii="Rockwell" w:hAnsi="Rockwell"/>
          <w:sz w:val="26"/>
          <w:szCs w:val="26"/>
        </w:rPr>
        <w:t xml:space="preserve">Jean Marie TOE, Directeur Régional de l’Ouest de </w:t>
      </w:r>
      <w:r>
        <w:rPr>
          <w:rFonts w:ascii="Rockwell" w:hAnsi="Rockwell"/>
          <w:i/>
          <w:sz w:val="26"/>
          <w:szCs w:val="26"/>
        </w:rPr>
        <w:t>Les Editions SIDWAYA</w:t>
      </w:r>
      <w:r>
        <w:rPr>
          <w:rFonts w:ascii="Rockwell" w:hAnsi="Rockwell"/>
          <w:sz w:val="26"/>
          <w:szCs w:val="26"/>
        </w:rPr>
        <w:t xml:space="preserve"> ;</w:t>
      </w:r>
    </w:p>
    <w:p w14:paraId="0F76D775"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Alban KINI, Directeur de l’</w:t>
      </w:r>
      <w:r>
        <w:rPr>
          <w:rFonts w:ascii="Rockwell" w:hAnsi="Rockwell"/>
          <w:i/>
          <w:sz w:val="26"/>
          <w:szCs w:val="26"/>
        </w:rPr>
        <w:t>AIB</w:t>
      </w:r>
      <w:r>
        <w:rPr>
          <w:rFonts w:ascii="Rockwell" w:hAnsi="Rockwell"/>
          <w:sz w:val="26"/>
          <w:szCs w:val="26"/>
        </w:rPr>
        <w:t xml:space="preserve"> ;</w:t>
      </w:r>
    </w:p>
    <w:p w14:paraId="5D345EEC"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proofErr w:type="spellStart"/>
      <w:r>
        <w:rPr>
          <w:rFonts w:ascii="Rockwell" w:hAnsi="Rockwell"/>
          <w:sz w:val="26"/>
          <w:szCs w:val="26"/>
        </w:rPr>
        <w:t>Bazoumboué</w:t>
      </w:r>
      <w:proofErr w:type="spellEnd"/>
      <w:r>
        <w:rPr>
          <w:rFonts w:ascii="Rockwell" w:hAnsi="Rockwell"/>
          <w:sz w:val="26"/>
          <w:szCs w:val="26"/>
        </w:rPr>
        <w:t xml:space="preserve"> Grégoire BAZIE, Directeur de </w:t>
      </w:r>
      <w:r>
        <w:rPr>
          <w:rFonts w:ascii="Rockwell" w:hAnsi="Rockwell"/>
          <w:i/>
          <w:sz w:val="26"/>
          <w:szCs w:val="26"/>
        </w:rPr>
        <w:t xml:space="preserve">Burkinademain.net </w:t>
      </w:r>
      <w:r>
        <w:rPr>
          <w:rFonts w:ascii="Rockwell" w:hAnsi="Rockwell"/>
          <w:sz w:val="26"/>
          <w:szCs w:val="26"/>
        </w:rPr>
        <w:t>;</w:t>
      </w:r>
    </w:p>
    <w:p w14:paraId="3D2A5F26" w14:textId="77777777" w:rsidR="00733207" w:rsidRDefault="00912BAE">
      <w:pPr>
        <w:pStyle w:val="Paragraphedeliste"/>
        <w:numPr>
          <w:ilvl w:val="0"/>
          <w:numId w:val="44"/>
        </w:numPr>
        <w:suppressAutoHyphens/>
        <w:autoSpaceDN w:val="0"/>
        <w:spacing w:before="120" w:after="120" w:line="360" w:lineRule="auto"/>
        <w:ind w:right="-143"/>
        <w:contextualSpacing w:val="0"/>
        <w:jc w:val="both"/>
        <w:textAlignment w:val="baseline"/>
        <w:rPr>
          <w:rFonts w:ascii="Rockwell" w:hAnsi="Rockwell"/>
          <w:sz w:val="26"/>
          <w:szCs w:val="26"/>
        </w:rPr>
      </w:pPr>
      <w:r>
        <w:rPr>
          <w:rFonts w:ascii="Rockwell" w:hAnsi="Rockwell"/>
          <w:sz w:val="26"/>
          <w:szCs w:val="26"/>
        </w:rPr>
        <w:t xml:space="preserve">Z. Raoul BALIMA, Journaliste à la </w:t>
      </w:r>
      <w:r>
        <w:rPr>
          <w:rFonts w:ascii="Rockwell" w:hAnsi="Rockwell"/>
          <w:i/>
          <w:sz w:val="26"/>
          <w:szCs w:val="26"/>
        </w:rPr>
        <w:t xml:space="preserve">Radio </w:t>
      </w:r>
      <w:proofErr w:type="spellStart"/>
      <w:r>
        <w:rPr>
          <w:rFonts w:ascii="Rockwell" w:hAnsi="Rockwell"/>
          <w:i/>
          <w:sz w:val="26"/>
          <w:szCs w:val="26"/>
        </w:rPr>
        <w:t>Taanba</w:t>
      </w:r>
      <w:proofErr w:type="spellEnd"/>
      <w:r>
        <w:rPr>
          <w:rFonts w:ascii="Rockwell" w:hAnsi="Rockwell"/>
          <w:sz w:val="26"/>
          <w:szCs w:val="26"/>
        </w:rPr>
        <w:t xml:space="preserve"> de Fada.</w:t>
      </w:r>
      <w:r>
        <w:rPr>
          <w:rFonts w:ascii="Rockwell" w:hAnsi="Rockwell"/>
          <w:sz w:val="26"/>
          <w:szCs w:val="26"/>
        </w:rPr>
        <w:tab/>
      </w:r>
    </w:p>
    <w:p w14:paraId="1D90FF5C" w14:textId="77777777" w:rsidR="00733207" w:rsidRDefault="00912BAE">
      <w:pPr>
        <w:pStyle w:val="Paragraphedeliste"/>
        <w:suppressAutoHyphens/>
        <w:autoSpaceDN w:val="0"/>
        <w:spacing w:before="120" w:after="120" w:line="360" w:lineRule="auto"/>
        <w:ind w:left="786" w:right="-143"/>
        <w:contextualSpacing w:val="0"/>
        <w:jc w:val="both"/>
        <w:textAlignment w:val="baseline"/>
        <w:rPr>
          <w:rFonts w:ascii="Rockwell" w:hAnsi="Rockwell"/>
          <w:sz w:val="26"/>
          <w:szCs w:val="26"/>
        </w:rPr>
      </w:pPr>
      <w:r>
        <w:rPr>
          <w:rFonts w:ascii="Rockwell" w:hAnsi="Rockwell"/>
          <w:sz w:val="26"/>
          <w:szCs w:val="26"/>
        </w:rPr>
        <w:tab/>
      </w:r>
    </w:p>
    <w:p w14:paraId="5EA13BFF" w14:textId="77777777" w:rsidR="00733207" w:rsidRDefault="00912BAE">
      <w:pPr>
        <w:pStyle w:val="Titre4"/>
        <w:spacing w:before="120" w:after="120" w:line="360" w:lineRule="auto"/>
        <w:jc w:val="center"/>
        <w:rPr>
          <w:rFonts w:ascii="Rockwell" w:hAnsi="Rockwell"/>
          <w:b/>
          <w:i w:val="0"/>
          <w:color w:val="auto"/>
          <w:sz w:val="28"/>
          <w:szCs w:val="28"/>
        </w:rPr>
      </w:pPr>
      <w:bookmarkStart w:id="540" w:name="_Toc169855232"/>
      <w:bookmarkStart w:id="541" w:name="_Toc175128588"/>
      <w:r>
        <w:rPr>
          <w:rFonts w:ascii="Rockwell" w:hAnsi="Rockwell"/>
          <w:b/>
          <w:i w:val="0"/>
          <w:color w:val="auto"/>
          <w:sz w:val="28"/>
          <w:szCs w:val="28"/>
        </w:rPr>
        <w:t>Paragraphe 2 : Renforcement des capacités du personnel</w:t>
      </w:r>
      <w:bookmarkEnd w:id="540"/>
      <w:bookmarkEnd w:id="541"/>
    </w:p>
    <w:p w14:paraId="6A877BBA" w14:textId="77777777" w:rsidR="00733207" w:rsidRDefault="00733207">
      <w:pPr>
        <w:spacing w:before="120" w:after="120" w:line="360" w:lineRule="auto"/>
        <w:jc w:val="center"/>
        <w:rPr>
          <w:rFonts w:ascii="Rockwell" w:hAnsi="Rockwell"/>
          <w:sz w:val="10"/>
          <w:szCs w:val="10"/>
        </w:rPr>
      </w:pPr>
    </w:p>
    <w:p w14:paraId="6AA28375"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Dans le cadre de la mise en œuvre des activités de renforcement des capacités du personnel, plusieurs formations ont été menées au profit du personnel. Ce sont :</w:t>
      </w:r>
    </w:p>
    <w:p w14:paraId="779A0720" w14:textId="77777777" w:rsidR="00733207" w:rsidRDefault="00733207">
      <w:pPr>
        <w:spacing w:before="120" w:after="120" w:line="360" w:lineRule="auto"/>
        <w:ind w:left="-284"/>
        <w:jc w:val="both"/>
        <w:rPr>
          <w:rFonts w:ascii="Rockwell" w:hAnsi="Rockwell"/>
          <w:sz w:val="10"/>
          <w:szCs w:val="10"/>
        </w:rPr>
      </w:pPr>
    </w:p>
    <w:p w14:paraId="6B105ED8" w14:textId="77777777" w:rsidR="00733207" w:rsidRDefault="00912BAE">
      <w:pPr>
        <w:pStyle w:val="Titre5"/>
        <w:spacing w:before="240" w:after="240" w:line="360" w:lineRule="auto"/>
        <w:jc w:val="center"/>
        <w:rPr>
          <w:rFonts w:ascii="Rockwell" w:hAnsi="Rockwell"/>
          <w:i w:val="0"/>
          <w:color w:val="auto"/>
          <w:sz w:val="26"/>
          <w:szCs w:val="26"/>
        </w:rPr>
      </w:pPr>
      <w:bookmarkStart w:id="542" w:name="_Toc169855233"/>
      <w:bookmarkStart w:id="543" w:name="_Toc175128589"/>
      <w:r>
        <w:rPr>
          <w:rFonts w:ascii="Rockwell" w:hAnsi="Rockwell"/>
          <w:i w:val="0"/>
          <w:color w:val="auto"/>
          <w:sz w:val="26"/>
          <w:szCs w:val="26"/>
        </w:rPr>
        <w:t>2.1</w:t>
      </w:r>
      <w:r>
        <w:rPr>
          <w:rFonts w:ascii="Rockwell" w:hAnsi="Rockwell"/>
          <w:color w:val="auto"/>
          <w:sz w:val="26"/>
          <w:szCs w:val="26"/>
        </w:rPr>
        <w:t xml:space="preserve">. </w:t>
      </w:r>
      <w:r>
        <w:rPr>
          <w:rFonts w:ascii="Rockwell" w:hAnsi="Rockwell"/>
          <w:i w:val="0"/>
          <w:color w:val="auto"/>
          <w:sz w:val="26"/>
          <w:szCs w:val="26"/>
        </w:rPr>
        <w:t>Formation sur le thème : « Enjeux et utilisation optimale des réseaux sociaux »</w:t>
      </w:r>
      <w:bookmarkEnd w:id="542"/>
      <w:bookmarkEnd w:id="543"/>
    </w:p>
    <w:p w14:paraId="6E1366FF"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Le personnel de l'institution a bénéficié d'une formation du 25 janvier au 1</w:t>
      </w:r>
      <w:r>
        <w:rPr>
          <w:rFonts w:ascii="Rockwell" w:hAnsi="Rockwell"/>
          <w:sz w:val="26"/>
          <w:szCs w:val="26"/>
          <w:vertAlign w:val="superscript"/>
        </w:rPr>
        <w:t xml:space="preserve">er </w:t>
      </w:r>
      <w:r>
        <w:rPr>
          <w:rFonts w:ascii="Rockwell" w:hAnsi="Rockwell"/>
          <w:sz w:val="26"/>
          <w:szCs w:val="26"/>
        </w:rPr>
        <w:t>février 2023 à Ouagadougou et Bobo-Dioulasso, qui a permis de renforcer leurs capacités non seulement en matière de maîtrise de l'utilisation des médias sociaux, mais aussi de bons comportements à observer sur les réseaux sociaux. Au total cent trente (124) agents ont été formés.</w:t>
      </w:r>
    </w:p>
    <w:p w14:paraId="6F85C729" w14:textId="77777777" w:rsidR="00733207" w:rsidRDefault="00912BAE">
      <w:pPr>
        <w:pStyle w:val="Titre5"/>
        <w:spacing w:before="240" w:after="240" w:line="360" w:lineRule="auto"/>
        <w:jc w:val="center"/>
        <w:rPr>
          <w:rFonts w:ascii="Rockwell" w:hAnsi="Rockwell"/>
          <w:color w:val="auto"/>
          <w:sz w:val="26"/>
          <w:szCs w:val="26"/>
        </w:rPr>
      </w:pPr>
      <w:bookmarkStart w:id="544" w:name="_Toc175128590"/>
      <w:bookmarkStart w:id="545" w:name="_Toc169855234"/>
      <w:r>
        <w:rPr>
          <w:rFonts w:ascii="Rockwell" w:hAnsi="Rockwell"/>
          <w:color w:val="auto"/>
          <w:sz w:val="26"/>
          <w:szCs w:val="26"/>
        </w:rPr>
        <w:lastRenderedPageBreak/>
        <w:t>2.2. Formation sur le thème : « Intranet du CSC : BITRIX »</w:t>
      </w:r>
      <w:bookmarkEnd w:id="544"/>
      <w:bookmarkEnd w:id="545"/>
    </w:p>
    <w:p w14:paraId="7A366C7F" w14:textId="77777777" w:rsidR="00733207" w:rsidRDefault="00733207">
      <w:pPr>
        <w:spacing w:before="120" w:after="120" w:line="360" w:lineRule="auto"/>
        <w:jc w:val="both"/>
        <w:rPr>
          <w:rFonts w:ascii="Rockwell" w:hAnsi="Rockwell"/>
          <w:sz w:val="10"/>
          <w:szCs w:val="10"/>
        </w:rPr>
      </w:pPr>
    </w:p>
    <w:p w14:paraId="14ED470A" w14:textId="1EC2F8AF" w:rsidR="00733207" w:rsidRDefault="00912BAE">
      <w:pPr>
        <w:spacing w:before="120" w:after="120" w:line="360" w:lineRule="auto"/>
        <w:ind w:left="-284"/>
        <w:jc w:val="both"/>
        <w:rPr>
          <w:rFonts w:ascii="Rockwell" w:hAnsi="Rockwell"/>
          <w:sz w:val="26"/>
          <w:szCs w:val="26"/>
        </w:rPr>
      </w:pPr>
      <w:r>
        <w:rPr>
          <w:rFonts w:ascii="Rockwell" w:hAnsi="Rockwell"/>
          <w:sz w:val="26"/>
          <w:szCs w:val="26"/>
        </w:rPr>
        <w:t xml:space="preserve">Afin d'opérationnaliser la plateforme Bitrix24, l’institution a initié une formation au profit de l'ensemble du personnel, du 15 au 23 février 2023, à Ouagadougou. </w:t>
      </w:r>
      <w:r>
        <w:rPr>
          <w:rFonts w:ascii="Rockwell" w:hAnsi="Rockwell" w:cs="Times New Roman"/>
          <w:sz w:val="26"/>
          <w:szCs w:val="26"/>
        </w:rPr>
        <w:t xml:space="preserve">Ce système repose sur une plateforme de collaboration minutieusement étudiée pour faciliter la gestion des projets et tâches. Il permet une meilleure organisation, individuelle ou collective, du travail et offre des espaces sécurisés sur un serveur dédié. </w:t>
      </w:r>
      <w:r>
        <w:rPr>
          <w:rFonts w:ascii="Rockwell" w:hAnsi="Rockwell"/>
          <w:sz w:val="26"/>
          <w:szCs w:val="26"/>
        </w:rPr>
        <w:t>Au total</w:t>
      </w:r>
      <w:r w:rsidR="00700C72">
        <w:rPr>
          <w:rFonts w:ascii="Rockwell" w:hAnsi="Rockwell"/>
          <w:sz w:val="26"/>
          <w:szCs w:val="26"/>
        </w:rPr>
        <w:t>,</w:t>
      </w:r>
      <w:r>
        <w:rPr>
          <w:rFonts w:ascii="Rockwell" w:hAnsi="Rockwell"/>
          <w:sz w:val="26"/>
          <w:szCs w:val="26"/>
        </w:rPr>
        <w:t xml:space="preserve"> cent trente (1</w:t>
      </w:r>
      <w:r w:rsidR="00700C72">
        <w:rPr>
          <w:rFonts w:ascii="Rockwell" w:hAnsi="Rockwell"/>
          <w:sz w:val="26"/>
          <w:szCs w:val="26"/>
        </w:rPr>
        <w:t>30</w:t>
      </w:r>
      <w:r>
        <w:rPr>
          <w:rFonts w:ascii="Rockwell" w:hAnsi="Rockwell"/>
          <w:sz w:val="26"/>
          <w:szCs w:val="26"/>
        </w:rPr>
        <w:t>) agents ont été formés.</w:t>
      </w:r>
    </w:p>
    <w:p w14:paraId="6DCB0AB2" w14:textId="77777777" w:rsidR="00733207" w:rsidRDefault="00733207">
      <w:pPr>
        <w:spacing w:before="120" w:after="120" w:line="360" w:lineRule="auto"/>
        <w:ind w:left="-284"/>
        <w:jc w:val="both"/>
        <w:rPr>
          <w:rFonts w:ascii="Rockwell" w:hAnsi="Rockwell"/>
          <w:sz w:val="10"/>
          <w:szCs w:val="10"/>
        </w:rPr>
      </w:pPr>
    </w:p>
    <w:p w14:paraId="2166341F" w14:textId="77777777" w:rsidR="00733207" w:rsidRDefault="00733207">
      <w:pPr>
        <w:spacing w:before="120" w:after="120" w:line="360" w:lineRule="auto"/>
        <w:ind w:left="-284"/>
        <w:jc w:val="both"/>
        <w:rPr>
          <w:rFonts w:ascii="Rockwell" w:hAnsi="Rockwell"/>
          <w:sz w:val="10"/>
          <w:szCs w:val="10"/>
        </w:rPr>
      </w:pPr>
    </w:p>
    <w:p w14:paraId="68EA3AA3" w14:textId="77777777" w:rsidR="00733207" w:rsidRDefault="00912BAE">
      <w:pPr>
        <w:pStyle w:val="Titre5"/>
        <w:numPr>
          <w:ilvl w:val="1"/>
          <w:numId w:val="45"/>
        </w:numPr>
        <w:spacing w:before="120" w:after="120" w:line="240" w:lineRule="auto"/>
        <w:jc w:val="center"/>
        <w:rPr>
          <w:rFonts w:ascii="Rockwell" w:hAnsi="Rockwell"/>
          <w:color w:val="auto"/>
          <w:sz w:val="26"/>
          <w:szCs w:val="26"/>
        </w:rPr>
      </w:pPr>
      <w:bookmarkStart w:id="546" w:name="_Toc175128591"/>
      <w:bookmarkStart w:id="547" w:name="_Toc169855235"/>
      <w:r>
        <w:rPr>
          <w:rFonts w:ascii="Rockwell" w:hAnsi="Rockwell"/>
          <w:color w:val="auto"/>
          <w:sz w:val="26"/>
          <w:szCs w:val="26"/>
        </w:rPr>
        <w:t>Renforcement des capacités des acteurs sur la budgétisation par programme et relecture de la maquette du programme et du dispositif de performance du CSC</w:t>
      </w:r>
      <w:bookmarkEnd w:id="546"/>
      <w:bookmarkEnd w:id="547"/>
    </w:p>
    <w:p w14:paraId="7CD873F3" w14:textId="77777777" w:rsidR="00733207" w:rsidRDefault="00733207">
      <w:pPr>
        <w:pStyle w:val="Paragraphedeliste"/>
        <w:ind w:left="862"/>
      </w:pPr>
    </w:p>
    <w:p w14:paraId="16E53155"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Cette formation a concerné les acteurs de la chaîne financière de l’institution et les responsables de structure et s’est déroulée à Ziniaré, du 22 au 24 mai 2023. Elle a permis aux participants, au nombre de quinze (15), d’améliorer leurs connaissances sur les techniques appropriées en budgétisation par programme et en conception de maquette du dispositif de performance en matière de budget programme.</w:t>
      </w:r>
    </w:p>
    <w:p w14:paraId="71A24DB0" w14:textId="77777777" w:rsidR="00733207" w:rsidRDefault="00733207">
      <w:pPr>
        <w:spacing w:before="120" w:after="120" w:line="360" w:lineRule="auto"/>
        <w:ind w:left="-284"/>
        <w:jc w:val="both"/>
        <w:rPr>
          <w:rFonts w:ascii="Rockwell" w:hAnsi="Rockwell"/>
          <w:sz w:val="10"/>
          <w:szCs w:val="10"/>
        </w:rPr>
      </w:pPr>
    </w:p>
    <w:p w14:paraId="7A8B4189" w14:textId="77777777" w:rsidR="00733207" w:rsidRDefault="00912BAE">
      <w:pPr>
        <w:pStyle w:val="Titre5"/>
        <w:spacing w:before="240" w:after="240" w:line="360" w:lineRule="auto"/>
        <w:rPr>
          <w:rFonts w:ascii="Rockwell" w:hAnsi="Rockwell"/>
          <w:color w:val="auto"/>
          <w:sz w:val="26"/>
          <w:szCs w:val="26"/>
        </w:rPr>
      </w:pPr>
      <w:bookmarkStart w:id="548" w:name="_Toc169855236"/>
      <w:bookmarkStart w:id="549" w:name="_Toc175128592"/>
      <w:r>
        <w:rPr>
          <w:rFonts w:ascii="Rockwell" w:hAnsi="Rockwell"/>
          <w:i w:val="0"/>
          <w:color w:val="auto"/>
          <w:sz w:val="26"/>
          <w:szCs w:val="26"/>
        </w:rPr>
        <w:t xml:space="preserve">2.4. </w:t>
      </w:r>
      <w:r>
        <w:rPr>
          <w:rFonts w:ascii="Rockwell" w:hAnsi="Rockwell"/>
          <w:color w:val="auto"/>
          <w:sz w:val="26"/>
          <w:szCs w:val="26"/>
        </w:rPr>
        <w:t>Formation sur les quatre (04) outils de régulation et de contribution à la consolidation de la cohésion sociale</w:t>
      </w:r>
      <w:bookmarkEnd w:id="548"/>
      <w:bookmarkEnd w:id="549"/>
    </w:p>
    <w:p w14:paraId="4B5E147D" w14:textId="77777777" w:rsidR="00733207" w:rsidRDefault="00912BAE">
      <w:pPr>
        <w:spacing w:before="120" w:after="120" w:line="360" w:lineRule="auto"/>
        <w:ind w:left="-284"/>
        <w:jc w:val="both"/>
        <w:rPr>
          <w:rFonts w:ascii="Rockwell" w:hAnsi="Rockwell" w:cs="Times New Roman"/>
          <w:sz w:val="26"/>
          <w:szCs w:val="26"/>
        </w:rPr>
      </w:pPr>
      <w:r>
        <w:rPr>
          <w:rFonts w:ascii="Rockwell" w:hAnsi="Rockwell" w:cs="Times New Roman"/>
          <w:sz w:val="26"/>
          <w:szCs w:val="26"/>
        </w:rPr>
        <w:t xml:space="preserve">Une activité, dénommée « Semaine du Régulateur de la communication », a été organisée du 15 au 22 juillet 2023. L’un des temps forts a été la formation des cadres aux quatre outils de régulation et de contribution à la consolidation de la cohésion sociale, le 21 juillet 2023, dans la salle de conférences de l’institution. Il s’est agi de renforcer les capacités des Délégués régionaux (DR), des Représentants provinciaux (RP) et des autres cadres de l’institution afin qu’ils puissent disséminer lesdits outils auprès des citoyens et des acteurs médiatiques. Ces outils sont, en rappel, le Guide, la Charte, les dix (10) </w:t>
      </w:r>
      <w:r>
        <w:rPr>
          <w:rFonts w:ascii="Rockwell" w:hAnsi="Rockwell" w:cs="Times New Roman"/>
          <w:sz w:val="26"/>
          <w:szCs w:val="26"/>
        </w:rPr>
        <w:lastRenderedPageBreak/>
        <w:t xml:space="preserve">conseils et les sept (07) points de vigilance. A l’issue de la formation, les bénéficiaires se sont dit prêts et disposés à travailler à une plus grande vulgarisation de ces outils dans leurs régions respectives. </w:t>
      </w:r>
    </w:p>
    <w:p w14:paraId="7344D2A7" w14:textId="77777777" w:rsidR="00733207" w:rsidRDefault="00733207">
      <w:pPr>
        <w:spacing w:before="120" w:after="120" w:line="360" w:lineRule="auto"/>
        <w:ind w:left="-284"/>
        <w:jc w:val="both"/>
        <w:rPr>
          <w:rFonts w:ascii="Rockwell" w:hAnsi="Rockwell" w:cs="Times New Roman"/>
          <w:sz w:val="10"/>
          <w:szCs w:val="10"/>
        </w:rPr>
      </w:pPr>
    </w:p>
    <w:p w14:paraId="3252494E" w14:textId="77777777" w:rsidR="00733207" w:rsidRDefault="00912BAE">
      <w:pPr>
        <w:pStyle w:val="Titre5"/>
        <w:spacing w:before="240" w:after="240" w:line="360" w:lineRule="auto"/>
        <w:rPr>
          <w:rFonts w:ascii="Rockwell" w:hAnsi="Rockwell"/>
          <w:color w:val="auto"/>
          <w:sz w:val="26"/>
          <w:szCs w:val="26"/>
        </w:rPr>
      </w:pPr>
      <w:bookmarkStart w:id="550" w:name="_Toc175128593"/>
      <w:bookmarkStart w:id="551" w:name="_Toc169855237"/>
      <w:r>
        <w:rPr>
          <w:rFonts w:ascii="Rockwell" w:hAnsi="Rockwell"/>
          <w:i w:val="0"/>
          <w:color w:val="auto"/>
          <w:sz w:val="26"/>
          <w:szCs w:val="26"/>
        </w:rPr>
        <w:t xml:space="preserve">2.5. </w:t>
      </w:r>
      <w:r>
        <w:rPr>
          <w:rFonts w:ascii="Rockwell" w:hAnsi="Rockwell"/>
          <w:color w:val="auto"/>
          <w:sz w:val="26"/>
          <w:szCs w:val="26"/>
        </w:rPr>
        <w:t>Formation sur le thème : « Team building »</w:t>
      </w:r>
      <w:bookmarkEnd w:id="550"/>
      <w:bookmarkEnd w:id="551"/>
    </w:p>
    <w:p w14:paraId="19D2F9E6"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Le 22 juillet 2023, s'est tenue à Loumbila Beach, la formation sur le team building au profit de l'ensemble du personnel de l'institution. Cette formation a été un cadre de rassemblement de tout le personnel, de partage d'expériences, de communion autour des valeurs du CSC et de détente. Elle a connu la participation des conseillers, des responsables de structure, des chefs de service, des agents et des représentants provinciaux. Au total, cent dix-neuf (119) agents ont participé à cette activité.</w:t>
      </w:r>
    </w:p>
    <w:p w14:paraId="4DC9A7BF" w14:textId="77777777" w:rsidR="00733207" w:rsidRDefault="00912BAE">
      <w:pPr>
        <w:spacing w:before="120" w:after="120" w:line="360" w:lineRule="auto"/>
        <w:ind w:left="-284"/>
        <w:jc w:val="center"/>
        <w:rPr>
          <w:rFonts w:ascii="Rockwell" w:hAnsi="Rockwell"/>
          <w:sz w:val="26"/>
          <w:szCs w:val="26"/>
        </w:rPr>
      </w:pPr>
      <w:r>
        <w:rPr>
          <w:rFonts w:ascii="Rockwell" w:hAnsi="Rockwell"/>
          <w:noProof/>
          <w:sz w:val="26"/>
          <w:szCs w:val="26"/>
          <w:lang w:eastAsia="fr-FR"/>
        </w:rPr>
        <w:drawing>
          <wp:inline distT="0" distB="0" distL="0" distR="0" wp14:anchorId="40B88A83" wp14:editId="02A689F4">
            <wp:extent cx="5760720" cy="3840480"/>
            <wp:effectExtent l="0" t="0" r="0" b="7620"/>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46"/>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60720" cy="3840480"/>
                    </a:xfrm>
                    <a:prstGeom prst="rect">
                      <a:avLst/>
                    </a:prstGeom>
                  </pic:spPr>
                </pic:pic>
              </a:graphicData>
            </a:graphic>
          </wp:inline>
        </w:drawing>
      </w:r>
    </w:p>
    <w:p w14:paraId="4C353742" w14:textId="77777777" w:rsidR="00733207" w:rsidRDefault="00912BAE">
      <w:pPr>
        <w:spacing w:before="120" w:after="120" w:line="360" w:lineRule="auto"/>
        <w:ind w:left="-284"/>
        <w:jc w:val="center"/>
        <w:rPr>
          <w:rFonts w:ascii="Rockwell" w:hAnsi="Rockwell"/>
          <w:i/>
          <w:sz w:val="18"/>
          <w:szCs w:val="18"/>
        </w:rPr>
      </w:pPr>
      <w:r>
        <w:rPr>
          <w:rFonts w:ascii="Rockwell" w:hAnsi="Rockwell"/>
          <w:i/>
          <w:sz w:val="18"/>
          <w:szCs w:val="18"/>
        </w:rPr>
        <w:t>Ce Team Building a également été l’occasion de détente et de fraternisation des travailleurs du CSC</w:t>
      </w:r>
    </w:p>
    <w:p w14:paraId="3095B5E5" w14:textId="77777777" w:rsidR="00733207" w:rsidRDefault="00733207">
      <w:pPr>
        <w:spacing w:before="120" w:after="120" w:line="360" w:lineRule="auto"/>
        <w:ind w:left="-284"/>
        <w:jc w:val="both"/>
        <w:rPr>
          <w:rFonts w:ascii="Rockwell" w:hAnsi="Rockwell"/>
          <w:b/>
          <w:sz w:val="18"/>
          <w:szCs w:val="18"/>
        </w:rPr>
      </w:pPr>
    </w:p>
    <w:p w14:paraId="7A6FE0A3" w14:textId="77777777" w:rsidR="00733207" w:rsidRDefault="00912BAE">
      <w:pPr>
        <w:pStyle w:val="Titre4"/>
        <w:spacing w:before="240" w:after="240" w:line="360" w:lineRule="auto"/>
        <w:jc w:val="center"/>
        <w:rPr>
          <w:rFonts w:ascii="Rockwell" w:hAnsi="Rockwell"/>
          <w:b/>
          <w:i w:val="0"/>
          <w:color w:val="auto"/>
          <w:sz w:val="28"/>
          <w:szCs w:val="28"/>
        </w:rPr>
      </w:pPr>
      <w:bookmarkStart w:id="552" w:name="_Toc169855238"/>
      <w:bookmarkStart w:id="553" w:name="_Toc175128594"/>
      <w:r>
        <w:rPr>
          <w:rFonts w:ascii="Rockwell" w:hAnsi="Rockwell"/>
          <w:b/>
          <w:i w:val="0"/>
          <w:color w:val="auto"/>
          <w:sz w:val="28"/>
          <w:szCs w:val="28"/>
        </w:rPr>
        <w:lastRenderedPageBreak/>
        <w:t>Paragraphe 3 : Activités sociales</w:t>
      </w:r>
      <w:bookmarkEnd w:id="552"/>
      <w:bookmarkEnd w:id="553"/>
    </w:p>
    <w:p w14:paraId="3109D43D" w14:textId="77777777" w:rsidR="00733207" w:rsidRDefault="00733207">
      <w:pPr>
        <w:spacing w:before="120" w:after="120" w:line="360" w:lineRule="auto"/>
        <w:jc w:val="both"/>
        <w:rPr>
          <w:rFonts w:ascii="Rockwell" w:hAnsi="Rockwell"/>
          <w:sz w:val="16"/>
          <w:szCs w:val="16"/>
        </w:rPr>
      </w:pPr>
    </w:p>
    <w:p w14:paraId="611FE7EC"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Les principales activités sociales réalisées sont les suivantes :</w:t>
      </w:r>
    </w:p>
    <w:p w14:paraId="201138AE" w14:textId="77777777" w:rsidR="00733207" w:rsidRDefault="00733207">
      <w:pPr>
        <w:spacing w:before="120" w:after="120" w:line="360" w:lineRule="auto"/>
        <w:ind w:left="-284"/>
        <w:jc w:val="both"/>
        <w:rPr>
          <w:rFonts w:ascii="Rockwell" w:hAnsi="Rockwell"/>
          <w:sz w:val="26"/>
          <w:szCs w:val="26"/>
        </w:rPr>
      </w:pPr>
    </w:p>
    <w:p w14:paraId="4FB82CEC" w14:textId="77777777" w:rsidR="00733207" w:rsidRDefault="00912BAE">
      <w:pPr>
        <w:pStyle w:val="Titre5"/>
        <w:spacing w:before="240" w:after="240" w:line="360" w:lineRule="auto"/>
        <w:jc w:val="center"/>
        <w:rPr>
          <w:rFonts w:ascii="Rockwell" w:hAnsi="Rockwell"/>
          <w:i w:val="0"/>
          <w:color w:val="auto"/>
          <w:sz w:val="26"/>
          <w:szCs w:val="26"/>
        </w:rPr>
      </w:pPr>
      <w:bookmarkStart w:id="554" w:name="_Toc169855239"/>
      <w:bookmarkStart w:id="555" w:name="_Toc175128595"/>
      <w:r>
        <w:rPr>
          <w:rFonts w:ascii="Rockwell" w:hAnsi="Rockwell"/>
          <w:i w:val="0"/>
          <w:color w:val="auto"/>
          <w:sz w:val="26"/>
          <w:szCs w:val="26"/>
        </w:rPr>
        <w:t>3.1. Visite des lieux de travail et visite médicale annuelle des travailleurs</w:t>
      </w:r>
      <w:bookmarkEnd w:id="554"/>
      <w:bookmarkEnd w:id="555"/>
    </w:p>
    <w:p w14:paraId="67A03F09" w14:textId="77777777" w:rsidR="00733207" w:rsidRDefault="00733207">
      <w:pPr>
        <w:jc w:val="both"/>
        <w:rPr>
          <w:rFonts w:ascii="Rockwell" w:hAnsi="Rockwell"/>
          <w:sz w:val="10"/>
          <w:szCs w:val="10"/>
        </w:rPr>
      </w:pPr>
    </w:p>
    <w:p w14:paraId="099F2C4A"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L’Office de Santé des Travailleurs (OST) a organisé au profit des travailleurs de l'institution, la visite médicale annuelle et la visite des lieux de travail du 28 février au 03 mars 2023.</w:t>
      </w:r>
    </w:p>
    <w:p w14:paraId="3A72DB90" w14:textId="77777777" w:rsidR="00733207" w:rsidRDefault="00733207">
      <w:pPr>
        <w:spacing w:before="120" w:after="120" w:line="360" w:lineRule="auto"/>
        <w:ind w:left="-284"/>
        <w:jc w:val="both"/>
        <w:rPr>
          <w:rFonts w:ascii="Rockwell" w:hAnsi="Rockwell"/>
          <w:sz w:val="10"/>
          <w:szCs w:val="10"/>
        </w:rPr>
      </w:pPr>
    </w:p>
    <w:p w14:paraId="635E047E" w14:textId="77777777" w:rsidR="00733207" w:rsidRDefault="00912BAE">
      <w:pPr>
        <w:pStyle w:val="Titre5"/>
        <w:spacing w:before="240" w:after="240" w:line="360" w:lineRule="auto"/>
        <w:jc w:val="center"/>
        <w:rPr>
          <w:rFonts w:ascii="Rockwell" w:hAnsi="Rockwell" w:cs="Times New Roman"/>
          <w:color w:val="auto"/>
          <w:sz w:val="26"/>
          <w:szCs w:val="26"/>
        </w:rPr>
      </w:pPr>
      <w:bookmarkStart w:id="556" w:name="_Toc175128596"/>
      <w:bookmarkStart w:id="557" w:name="_Toc169855240"/>
      <w:r>
        <w:rPr>
          <w:rFonts w:ascii="Rockwell" w:hAnsi="Rockwell"/>
          <w:i w:val="0"/>
          <w:color w:val="auto"/>
          <w:sz w:val="26"/>
          <w:szCs w:val="26"/>
        </w:rPr>
        <w:t xml:space="preserve">3.2. </w:t>
      </w:r>
      <w:r>
        <w:rPr>
          <w:rFonts w:ascii="Rockwell" w:hAnsi="Rockwell"/>
          <w:color w:val="auto"/>
          <w:sz w:val="26"/>
          <w:szCs w:val="26"/>
        </w:rPr>
        <w:t>Journée de collecte de sang</w:t>
      </w:r>
      <w:bookmarkEnd w:id="556"/>
      <w:bookmarkEnd w:id="557"/>
    </w:p>
    <w:p w14:paraId="28DF462B" w14:textId="77777777" w:rsidR="00733207" w:rsidRDefault="00912BAE">
      <w:pPr>
        <w:spacing w:before="120" w:after="120" w:line="360" w:lineRule="auto"/>
        <w:ind w:left="-284"/>
        <w:jc w:val="both"/>
        <w:rPr>
          <w:rFonts w:ascii="Rockwell" w:hAnsi="Rockwell"/>
          <w:sz w:val="26"/>
          <w:szCs w:val="26"/>
        </w:rPr>
      </w:pPr>
      <w:r>
        <w:rPr>
          <w:rFonts w:ascii="Rockwell" w:hAnsi="Rockwell"/>
          <w:sz w:val="26"/>
          <w:szCs w:val="26"/>
        </w:rPr>
        <w:t xml:space="preserve">Le CSC en collaboration avec le Centre Nationale de Transfusion Sanguine (CNTS) et l’Association SOS Sang a organisé le 07 juillet 2023, une journée de collecte de sang dans l’enceinte de l’institution. A la fin de l’opération, trente-cinq (35) poches de sang ont été collectées. </w:t>
      </w:r>
    </w:p>
    <w:p w14:paraId="1893A4C8" w14:textId="77777777" w:rsidR="00733207" w:rsidRDefault="00733207">
      <w:pPr>
        <w:spacing w:before="120" w:after="120" w:line="360" w:lineRule="auto"/>
        <w:ind w:left="-284"/>
        <w:jc w:val="both"/>
        <w:rPr>
          <w:rFonts w:ascii="Rockwell" w:hAnsi="Rockwell"/>
          <w:sz w:val="26"/>
          <w:szCs w:val="26"/>
        </w:rPr>
      </w:pPr>
    </w:p>
    <w:p w14:paraId="7325593B" w14:textId="77777777" w:rsidR="00733207" w:rsidRDefault="00733207">
      <w:pPr>
        <w:spacing w:before="120" w:after="120" w:line="360" w:lineRule="auto"/>
        <w:jc w:val="both"/>
        <w:rPr>
          <w:rFonts w:ascii="Rockwell" w:hAnsi="Rockwell" w:cs="Times New Roman"/>
          <w:color w:val="FF0000"/>
          <w:sz w:val="26"/>
          <w:szCs w:val="26"/>
        </w:rPr>
      </w:pPr>
    </w:p>
    <w:p w14:paraId="43259256" w14:textId="77777777" w:rsidR="00733207" w:rsidRDefault="00733207">
      <w:pPr>
        <w:spacing w:before="120" w:after="120" w:line="360" w:lineRule="auto"/>
        <w:jc w:val="both"/>
        <w:rPr>
          <w:rFonts w:ascii="Rockwell" w:hAnsi="Rockwell" w:cs="Times New Roman"/>
          <w:b/>
          <w:color w:val="FF0000"/>
          <w:sz w:val="26"/>
          <w:szCs w:val="26"/>
        </w:rPr>
        <w:sectPr w:rsidR="00733207">
          <w:pgSz w:w="11906" w:h="16838"/>
          <w:pgMar w:top="1417" w:right="1417" w:bottom="1417" w:left="1417" w:header="708" w:footer="708" w:gutter="0"/>
          <w:cols w:space="708"/>
          <w:docGrid w:linePitch="360"/>
        </w:sectPr>
      </w:pPr>
    </w:p>
    <w:p w14:paraId="0FEF9305" w14:textId="77777777" w:rsidR="00733207" w:rsidRDefault="00912BAE">
      <w:pPr>
        <w:pStyle w:val="Titre2"/>
        <w:spacing w:before="240" w:after="240" w:line="360" w:lineRule="auto"/>
        <w:jc w:val="center"/>
        <w:rPr>
          <w:rFonts w:ascii="Rockwell" w:hAnsi="Rockwell"/>
          <w:b/>
          <w:color w:val="auto"/>
          <w:sz w:val="30"/>
          <w:szCs w:val="30"/>
        </w:rPr>
      </w:pPr>
      <w:bookmarkStart w:id="558" w:name="_Toc175128597"/>
      <w:bookmarkStart w:id="559" w:name="_Toc170209356"/>
      <w:bookmarkStart w:id="560" w:name="_Toc169854395"/>
      <w:bookmarkStart w:id="561" w:name="_Toc169855241"/>
      <w:r>
        <w:rPr>
          <w:rFonts w:ascii="Rockwell" w:hAnsi="Rockwell"/>
          <w:b/>
          <w:color w:val="auto"/>
          <w:sz w:val="30"/>
          <w:szCs w:val="30"/>
        </w:rPr>
        <w:lastRenderedPageBreak/>
        <w:t>CHAPITRE II : GESTION FINANCIERE ET DES MATIERES</w:t>
      </w:r>
      <w:bookmarkEnd w:id="558"/>
      <w:bookmarkEnd w:id="559"/>
      <w:bookmarkEnd w:id="560"/>
      <w:bookmarkEnd w:id="561"/>
    </w:p>
    <w:p w14:paraId="74E7E022" w14:textId="77777777" w:rsidR="00733207" w:rsidRDefault="00733207">
      <w:pPr>
        <w:spacing w:before="120" w:after="120" w:line="360" w:lineRule="auto"/>
        <w:jc w:val="both"/>
        <w:rPr>
          <w:rFonts w:ascii="Rockwell" w:hAnsi="Rockwell"/>
          <w:sz w:val="6"/>
          <w:szCs w:val="6"/>
        </w:rPr>
      </w:pPr>
    </w:p>
    <w:p w14:paraId="7E8E76D4" w14:textId="77777777" w:rsidR="00733207" w:rsidRPr="00700C72" w:rsidRDefault="00912BAE">
      <w:pPr>
        <w:pStyle w:val="Titre3"/>
        <w:spacing w:before="120" w:after="120" w:line="360" w:lineRule="auto"/>
        <w:jc w:val="center"/>
        <w:rPr>
          <w:rFonts w:ascii="Rockwell" w:hAnsi="Rockwell"/>
          <w:b/>
          <w:i/>
          <w:color w:val="auto"/>
          <w:sz w:val="28"/>
          <w:szCs w:val="28"/>
        </w:rPr>
      </w:pPr>
      <w:bookmarkStart w:id="562" w:name="_Toc175128598"/>
      <w:bookmarkStart w:id="563" w:name="_Toc170209357"/>
      <w:bookmarkStart w:id="564" w:name="_Toc169854396"/>
      <w:bookmarkStart w:id="565" w:name="_Toc169855242"/>
      <w:r w:rsidRPr="00700C72">
        <w:rPr>
          <w:rFonts w:ascii="Rockwell" w:hAnsi="Rockwell"/>
          <w:b/>
          <w:i/>
          <w:color w:val="auto"/>
          <w:sz w:val="28"/>
          <w:szCs w:val="28"/>
        </w:rPr>
        <w:t>SECTION 1 : GESTION FINANCIERE</w:t>
      </w:r>
      <w:bookmarkEnd w:id="562"/>
      <w:bookmarkEnd w:id="563"/>
      <w:bookmarkEnd w:id="564"/>
      <w:bookmarkEnd w:id="565"/>
    </w:p>
    <w:p w14:paraId="3A71943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L’exercice budgétaire 2023 s’articule essentiellement autour de deux volets :</w:t>
      </w:r>
    </w:p>
    <w:p w14:paraId="325086F5" w14:textId="77777777" w:rsidR="00733207" w:rsidRDefault="00912BAE">
      <w:pPr>
        <w:pStyle w:val="Paragraphedeliste"/>
        <w:numPr>
          <w:ilvl w:val="0"/>
          <w:numId w:val="46"/>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 xml:space="preserve">Exécution des dépenses, </w:t>
      </w:r>
    </w:p>
    <w:p w14:paraId="56563194" w14:textId="77777777" w:rsidR="00733207" w:rsidRDefault="00912BAE">
      <w:pPr>
        <w:pStyle w:val="Paragraphedeliste"/>
        <w:numPr>
          <w:ilvl w:val="0"/>
          <w:numId w:val="46"/>
        </w:numPr>
        <w:suppressAutoHyphens/>
        <w:autoSpaceDN w:val="0"/>
        <w:spacing w:before="120" w:after="120" w:line="360" w:lineRule="auto"/>
        <w:contextualSpacing w:val="0"/>
        <w:jc w:val="both"/>
        <w:textAlignment w:val="baseline"/>
        <w:rPr>
          <w:rFonts w:ascii="Rockwell" w:hAnsi="Rockwell"/>
          <w:sz w:val="26"/>
          <w:szCs w:val="26"/>
        </w:rPr>
      </w:pPr>
      <w:r>
        <w:rPr>
          <w:rFonts w:ascii="Rockwell" w:hAnsi="Rockwell"/>
          <w:sz w:val="26"/>
          <w:szCs w:val="26"/>
        </w:rPr>
        <w:t>Élaboration de l’avant-projet de budget programme 2024-2026.</w:t>
      </w:r>
    </w:p>
    <w:p w14:paraId="43B8ED08" w14:textId="77777777" w:rsidR="00733207" w:rsidRDefault="00733207">
      <w:pPr>
        <w:pStyle w:val="Paragraphedeliste"/>
        <w:suppressAutoHyphens/>
        <w:autoSpaceDN w:val="0"/>
        <w:spacing w:before="120" w:after="120" w:line="360" w:lineRule="auto"/>
        <w:ind w:left="1504"/>
        <w:contextualSpacing w:val="0"/>
        <w:jc w:val="both"/>
        <w:textAlignment w:val="baseline"/>
        <w:rPr>
          <w:rFonts w:ascii="Rockwell" w:hAnsi="Rockwell"/>
          <w:sz w:val="10"/>
          <w:szCs w:val="10"/>
        </w:rPr>
      </w:pPr>
    </w:p>
    <w:p w14:paraId="286A25D2" w14:textId="77777777" w:rsidR="00733207" w:rsidRDefault="00912BAE">
      <w:pPr>
        <w:pStyle w:val="Titre4"/>
        <w:spacing w:before="240" w:after="240" w:line="360" w:lineRule="auto"/>
        <w:jc w:val="center"/>
        <w:rPr>
          <w:rFonts w:ascii="Rockwell" w:hAnsi="Rockwell"/>
          <w:b/>
          <w:i w:val="0"/>
          <w:color w:val="auto"/>
          <w:sz w:val="28"/>
          <w:szCs w:val="28"/>
        </w:rPr>
      </w:pPr>
      <w:bookmarkStart w:id="566" w:name="_Toc169855243"/>
      <w:bookmarkStart w:id="567" w:name="_Toc122608722"/>
      <w:bookmarkStart w:id="568" w:name="_Toc175128599"/>
      <w:r>
        <w:rPr>
          <w:rFonts w:ascii="Rockwell" w:hAnsi="Rockwell"/>
          <w:b/>
          <w:i w:val="0"/>
          <w:color w:val="auto"/>
          <w:sz w:val="28"/>
          <w:szCs w:val="28"/>
        </w:rPr>
        <w:t>Paragraphe 1 : Exécution des dépenses</w:t>
      </w:r>
      <w:bookmarkEnd w:id="566"/>
      <w:bookmarkEnd w:id="567"/>
      <w:bookmarkEnd w:id="568"/>
    </w:p>
    <w:p w14:paraId="0B39C1EF" w14:textId="74534889" w:rsidR="00733207" w:rsidRDefault="00912BAE">
      <w:pPr>
        <w:spacing w:before="120" w:after="120" w:line="360" w:lineRule="auto"/>
        <w:jc w:val="both"/>
        <w:rPr>
          <w:rFonts w:ascii="Rockwell" w:hAnsi="Rockwell"/>
          <w:sz w:val="26"/>
          <w:szCs w:val="26"/>
        </w:rPr>
      </w:pPr>
      <w:r>
        <w:rPr>
          <w:rFonts w:ascii="Rockwell" w:hAnsi="Rockwell"/>
          <w:sz w:val="26"/>
          <w:szCs w:val="26"/>
        </w:rPr>
        <w:t>Au titre de l’exercice 2023, le budget de l’institution adopté par l’Assemblée Législative de Transition (ALT) s’élevait à un milliard cent quarante-deux</w:t>
      </w:r>
      <w:r w:rsidR="00C708B9">
        <w:rPr>
          <w:rFonts w:ascii="Rockwell" w:hAnsi="Rockwell"/>
          <w:sz w:val="26"/>
          <w:szCs w:val="26"/>
        </w:rPr>
        <w:t xml:space="preserve"> millions deux</w:t>
      </w:r>
      <w:r>
        <w:rPr>
          <w:rFonts w:ascii="Rockwell" w:hAnsi="Rockwell"/>
          <w:sz w:val="26"/>
          <w:szCs w:val="26"/>
        </w:rPr>
        <w:t xml:space="preserve"> cent quinze mille (1 142 215 000) F CFA. Ce budget va subir des régulations budgétaires pour s’établir à un milliard soixante-sept millions neuf cent neuf mille (1 067 909 000) F CFA </w:t>
      </w:r>
      <w:r>
        <w:rPr>
          <w:rFonts w:ascii="Rockwell" w:hAnsi="Rockwell"/>
          <w:color w:val="000000" w:themeColor="text1"/>
          <w:sz w:val="26"/>
          <w:szCs w:val="26"/>
        </w:rPr>
        <w:t xml:space="preserve">pour des dépenses neuf cent soixante-trois mille trois cent trente-quatre (963 334 000) F CFA. </w:t>
      </w:r>
    </w:p>
    <w:p w14:paraId="41D19CB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Le budget exercice 2023 du CSC se présente comme suit :</w:t>
      </w:r>
    </w:p>
    <w:p w14:paraId="21768089" w14:textId="77777777" w:rsidR="00733207" w:rsidRDefault="00733207">
      <w:pPr>
        <w:spacing w:before="120" w:after="120" w:line="360" w:lineRule="auto"/>
        <w:jc w:val="both"/>
        <w:rPr>
          <w:rFonts w:ascii="Rockwell" w:hAnsi="Rockwell"/>
          <w:sz w:val="10"/>
          <w:szCs w:val="10"/>
        </w:rPr>
      </w:pPr>
    </w:p>
    <w:p w14:paraId="5A2DD000" w14:textId="77777777" w:rsidR="00733207" w:rsidRDefault="00912BAE">
      <w:pPr>
        <w:pStyle w:val="Lgende"/>
        <w:spacing w:before="120" w:after="120"/>
        <w:ind w:left="-1417" w:firstLine="1559"/>
        <w:rPr>
          <w:rFonts w:ascii="Rockwell" w:hAnsi="Rockwell"/>
          <w:b w:val="0"/>
          <w:i/>
          <w:sz w:val="22"/>
          <w:szCs w:val="22"/>
        </w:rPr>
      </w:pPr>
      <w:r>
        <w:rPr>
          <w:rFonts w:ascii="Rockwell" w:hAnsi="Rockwell"/>
          <w:i/>
          <w:sz w:val="22"/>
          <w:szCs w:val="22"/>
          <w:u w:val="single"/>
        </w:rPr>
        <w:t>Tableau n°27</w:t>
      </w:r>
      <w:r>
        <w:rPr>
          <w:rFonts w:ascii="Rockwell" w:hAnsi="Rockwell"/>
          <w:b w:val="0"/>
          <w:i/>
          <w:sz w:val="22"/>
          <w:szCs w:val="22"/>
        </w:rPr>
        <w:t xml:space="preserve"> : </w:t>
      </w:r>
      <w:r>
        <w:rPr>
          <w:rFonts w:ascii="Rockwell" w:hAnsi="Rockwell"/>
          <w:i/>
          <w:sz w:val="22"/>
          <w:szCs w:val="22"/>
        </w:rPr>
        <w:t>Budget 2023 par nature des dépenses</w:t>
      </w:r>
    </w:p>
    <w:tbl>
      <w:tblPr>
        <w:tblStyle w:val="Grilledutableau"/>
        <w:tblW w:w="9356" w:type="dxa"/>
        <w:tblInd w:w="137" w:type="dxa"/>
        <w:tblLook w:val="04A0" w:firstRow="1" w:lastRow="0" w:firstColumn="1" w:lastColumn="0" w:noHBand="0" w:noVBand="1"/>
      </w:tblPr>
      <w:tblGrid>
        <w:gridCol w:w="5812"/>
        <w:gridCol w:w="3544"/>
      </w:tblGrid>
      <w:tr w:rsidR="00733207" w14:paraId="2DDAE400" w14:textId="77777777">
        <w:trPr>
          <w:trHeight w:val="382"/>
        </w:trPr>
        <w:tc>
          <w:tcPr>
            <w:tcW w:w="5812" w:type="dxa"/>
          </w:tcPr>
          <w:p w14:paraId="2A916DBD" w14:textId="77777777" w:rsidR="00733207" w:rsidRDefault="00912BAE" w:rsidP="000F5D96">
            <w:pPr>
              <w:spacing w:before="120" w:after="120" w:line="360" w:lineRule="auto"/>
              <w:jc w:val="center"/>
              <w:rPr>
                <w:rFonts w:ascii="Rockwell" w:hAnsi="Rockwell"/>
                <w:b/>
                <w:sz w:val="26"/>
                <w:szCs w:val="26"/>
              </w:rPr>
            </w:pPr>
            <w:r>
              <w:rPr>
                <w:rFonts w:ascii="Rockwell" w:hAnsi="Rockwell"/>
                <w:b/>
                <w:sz w:val="26"/>
                <w:szCs w:val="26"/>
              </w:rPr>
              <w:t>Nature</w:t>
            </w:r>
          </w:p>
        </w:tc>
        <w:tc>
          <w:tcPr>
            <w:tcW w:w="3544" w:type="dxa"/>
          </w:tcPr>
          <w:p w14:paraId="282BA80E" w14:textId="77777777" w:rsidR="00733207" w:rsidRDefault="00912BAE" w:rsidP="000F5D96">
            <w:pPr>
              <w:spacing w:before="120" w:after="120" w:line="360" w:lineRule="auto"/>
              <w:jc w:val="center"/>
              <w:rPr>
                <w:rFonts w:ascii="Rockwell" w:hAnsi="Rockwell"/>
                <w:b/>
                <w:sz w:val="26"/>
                <w:szCs w:val="26"/>
              </w:rPr>
            </w:pPr>
            <w:r>
              <w:rPr>
                <w:rFonts w:ascii="Rockwell" w:hAnsi="Rockwell"/>
                <w:b/>
                <w:sz w:val="26"/>
                <w:szCs w:val="26"/>
              </w:rPr>
              <w:t>Montant</w:t>
            </w:r>
          </w:p>
        </w:tc>
      </w:tr>
      <w:tr w:rsidR="00733207" w14:paraId="4B9C6C2F" w14:textId="77777777">
        <w:trPr>
          <w:trHeight w:val="503"/>
        </w:trPr>
        <w:tc>
          <w:tcPr>
            <w:tcW w:w="5812" w:type="dxa"/>
          </w:tcPr>
          <w:p w14:paraId="41698F5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Dépenses de personnel </w:t>
            </w:r>
          </w:p>
        </w:tc>
        <w:tc>
          <w:tcPr>
            <w:tcW w:w="3544" w:type="dxa"/>
            <w:vAlign w:val="center"/>
          </w:tcPr>
          <w:p w14:paraId="09ACF76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435 074 000</w:t>
            </w:r>
          </w:p>
        </w:tc>
      </w:tr>
      <w:tr w:rsidR="00733207" w14:paraId="2C696A21" w14:textId="77777777">
        <w:trPr>
          <w:trHeight w:val="527"/>
        </w:trPr>
        <w:tc>
          <w:tcPr>
            <w:tcW w:w="5812" w:type="dxa"/>
          </w:tcPr>
          <w:p w14:paraId="4AEF1646"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Dépenses d’acquisition de biens et services</w:t>
            </w:r>
          </w:p>
        </w:tc>
        <w:tc>
          <w:tcPr>
            <w:tcW w:w="3544" w:type="dxa"/>
            <w:vAlign w:val="center"/>
          </w:tcPr>
          <w:p w14:paraId="5136550B"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520 162 000</w:t>
            </w:r>
          </w:p>
        </w:tc>
      </w:tr>
      <w:tr w:rsidR="00733207" w14:paraId="793C28EB" w14:textId="77777777">
        <w:trPr>
          <w:trHeight w:val="552"/>
        </w:trPr>
        <w:tc>
          <w:tcPr>
            <w:tcW w:w="5812" w:type="dxa"/>
          </w:tcPr>
          <w:p w14:paraId="63193360"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Transferts courants</w:t>
            </w:r>
          </w:p>
        </w:tc>
        <w:tc>
          <w:tcPr>
            <w:tcW w:w="3544" w:type="dxa"/>
            <w:vAlign w:val="center"/>
          </w:tcPr>
          <w:p w14:paraId="58D4DD5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112673 000</w:t>
            </w:r>
          </w:p>
        </w:tc>
      </w:tr>
      <w:tr w:rsidR="00733207" w14:paraId="1609502C" w14:textId="77777777">
        <w:trPr>
          <w:trHeight w:val="324"/>
        </w:trPr>
        <w:tc>
          <w:tcPr>
            <w:tcW w:w="5812" w:type="dxa"/>
          </w:tcPr>
          <w:p w14:paraId="13FAC92B" w14:textId="77777777" w:rsidR="00733207" w:rsidRDefault="00912BAE">
            <w:pPr>
              <w:spacing w:before="120" w:after="120" w:line="360" w:lineRule="auto"/>
              <w:jc w:val="both"/>
              <w:rPr>
                <w:rFonts w:ascii="Rockwell" w:hAnsi="Rockwell"/>
                <w:b/>
                <w:sz w:val="26"/>
                <w:szCs w:val="26"/>
              </w:rPr>
            </w:pPr>
            <w:r>
              <w:rPr>
                <w:rFonts w:ascii="Rockwell" w:hAnsi="Rockwell"/>
                <w:b/>
                <w:sz w:val="26"/>
                <w:szCs w:val="26"/>
              </w:rPr>
              <w:t>TOTAL</w:t>
            </w:r>
          </w:p>
        </w:tc>
        <w:tc>
          <w:tcPr>
            <w:tcW w:w="3544" w:type="dxa"/>
          </w:tcPr>
          <w:p w14:paraId="17042B99" w14:textId="77777777" w:rsidR="00733207" w:rsidRDefault="00912BAE">
            <w:pPr>
              <w:spacing w:before="120" w:after="120" w:line="360" w:lineRule="auto"/>
              <w:jc w:val="both"/>
              <w:rPr>
                <w:rFonts w:ascii="Rockwell" w:hAnsi="Rockwell"/>
                <w:b/>
                <w:sz w:val="26"/>
                <w:szCs w:val="26"/>
              </w:rPr>
            </w:pPr>
            <w:r>
              <w:rPr>
                <w:rFonts w:ascii="Rockwell" w:hAnsi="Rockwell"/>
                <w:b/>
                <w:sz w:val="26"/>
                <w:szCs w:val="26"/>
              </w:rPr>
              <w:t>1 067 909 000</w:t>
            </w:r>
          </w:p>
        </w:tc>
      </w:tr>
    </w:tbl>
    <w:p w14:paraId="7E555550" w14:textId="77777777" w:rsidR="00733207" w:rsidRDefault="00912BAE">
      <w:pPr>
        <w:spacing w:before="120" w:after="120" w:line="360" w:lineRule="auto"/>
        <w:ind w:left="142"/>
        <w:jc w:val="both"/>
        <w:rPr>
          <w:rFonts w:ascii="Rockwell" w:hAnsi="Rockwell"/>
          <w:i/>
        </w:rPr>
      </w:pPr>
      <w:r>
        <w:rPr>
          <w:rFonts w:ascii="Rockwell" w:hAnsi="Rockwell"/>
          <w:b/>
          <w:i/>
          <w:u w:val="single"/>
        </w:rPr>
        <w:t>Source</w:t>
      </w:r>
      <w:r>
        <w:rPr>
          <w:rFonts w:ascii="Rockwell" w:hAnsi="Rockwell"/>
          <w:i/>
        </w:rPr>
        <w:t> : SI NAFOLO 2023 &amp; SIGASPE</w:t>
      </w:r>
    </w:p>
    <w:p w14:paraId="2AB6DA25" w14:textId="2F55D04B"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La situation d’exécution des dépenses dans le cadre du programme </w:t>
      </w:r>
      <w:r w:rsidR="00C708B9">
        <w:rPr>
          <w:rFonts w:ascii="Rockwell" w:hAnsi="Rockwell"/>
          <w:sz w:val="26"/>
          <w:szCs w:val="26"/>
        </w:rPr>
        <w:t xml:space="preserve">« Régulation </w:t>
      </w:r>
      <w:r>
        <w:rPr>
          <w:rFonts w:ascii="Rockwell" w:hAnsi="Rockwell"/>
          <w:sz w:val="26"/>
          <w:szCs w:val="26"/>
        </w:rPr>
        <w:t>du secteur de la communication</w:t>
      </w:r>
      <w:r w:rsidR="00C708B9">
        <w:rPr>
          <w:rFonts w:ascii="Rockwell" w:hAnsi="Rockwell"/>
          <w:sz w:val="26"/>
          <w:szCs w:val="26"/>
        </w:rPr>
        <w:t> »</w:t>
      </w:r>
      <w:r>
        <w:rPr>
          <w:rFonts w:ascii="Rockwell" w:hAnsi="Rockwell"/>
          <w:sz w:val="26"/>
          <w:szCs w:val="26"/>
        </w:rPr>
        <w:t xml:space="preserve"> se présente comme suit :</w:t>
      </w:r>
    </w:p>
    <w:p w14:paraId="591C8447" w14:textId="77777777" w:rsidR="00733207" w:rsidRDefault="00912BAE">
      <w:pPr>
        <w:pStyle w:val="Lgende"/>
        <w:spacing w:before="120" w:after="120"/>
        <w:ind w:hanging="284"/>
        <w:jc w:val="center"/>
        <w:rPr>
          <w:rFonts w:ascii="Rockwell" w:hAnsi="Rockwell"/>
          <w:b w:val="0"/>
          <w:i/>
          <w:sz w:val="22"/>
          <w:szCs w:val="22"/>
          <w:u w:val="single"/>
        </w:rPr>
      </w:pPr>
      <w:r>
        <w:rPr>
          <w:rFonts w:ascii="Rockwell" w:hAnsi="Rockwell"/>
          <w:i/>
          <w:sz w:val="22"/>
          <w:szCs w:val="22"/>
          <w:u w:val="single"/>
        </w:rPr>
        <w:lastRenderedPageBreak/>
        <w:t>Tableau °28</w:t>
      </w:r>
      <w:r>
        <w:rPr>
          <w:rFonts w:ascii="Rockwell" w:hAnsi="Rockwell"/>
          <w:b w:val="0"/>
          <w:i/>
          <w:sz w:val="22"/>
          <w:szCs w:val="22"/>
        </w:rPr>
        <w:t xml:space="preserve"> : Etat d’exécution du programme « Régulation du secteur de la communication »</w:t>
      </w:r>
    </w:p>
    <w:tbl>
      <w:tblPr>
        <w:tblStyle w:val="Grilledutableau"/>
        <w:tblW w:w="9950" w:type="dxa"/>
        <w:jc w:val="center"/>
        <w:tblLook w:val="04A0" w:firstRow="1" w:lastRow="0" w:firstColumn="1" w:lastColumn="0" w:noHBand="0" w:noVBand="1"/>
      </w:tblPr>
      <w:tblGrid>
        <w:gridCol w:w="4008"/>
        <w:gridCol w:w="2131"/>
        <w:gridCol w:w="2045"/>
        <w:gridCol w:w="1766"/>
      </w:tblGrid>
      <w:tr w:rsidR="00733207" w14:paraId="7C214A1A" w14:textId="77777777">
        <w:trPr>
          <w:trHeight w:val="835"/>
          <w:jc w:val="center"/>
        </w:trPr>
        <w:tc>
          <w:tcPr>
            <w:tcW w:w="4008" w:type="dxa"/>
            <w:vMerge w:val="restart"/>
            <w:vAlign w:val="center"/>
          </w:tcPr>
          <w:p w14:paraId="360B77C7"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Programme 115</w:t>
            </w:r>
          </w:p>
        </w:tc>
        <w:tc>
          <w:tcPr>
            <w:tcW w:w="5942" w:type="dxa"/>
            <w:gridSpan w:val="3"/>
            <w:vAlign w:val="center"/>
          </w:tcPr>
          <w:p w14:paraId="70FEDAEB" w14:textId="77777777" w:rsidR="00733207" w:rsidRDefault="00912BAE" w:rsidP="000F5D96">
            <w:pPr>
              <w:spacing w:before="120" w:after="120" w:line="360" w:lineRule="auto"/>
              <w:jc w:val="center"/>
              <w:rPr>
                <w:rFonts w:ascii="Rockwell" w:hAnsi="Rockwell"/>
                <w:b/>
                <w:sz w:val="26"/>
                <w:szCs w:val="26"/>
              </w:rPr>
            </w:pPr>
            <w:r>
              <w:rPr>
                <w:rFonts w:ascii="Rockwell" w:hAnsi="Rockwell"/>
                <w:b/>
                <w:sz w:val="26"/>
                <w:szCs w:val="26"/>
              </w:rPr>
              <w:t>Exercice 2023</w:t>
            </w:r>
          </w:p>
        </w:tc>
      </w:tr>
      <w:tr w:rsidR="00733207" w14:paraId="28E408F6" w14:textId="77777777">
        <w:trPr>
          <w:trHeight w:val="523"/>
          <w:jc w:val="center"/>
        </w:trPr>
        <w:tc>
          <w:tcPr>
            <w:tcW w:w="4008" w:type="dxa"/>
            <w:vMerge/>
            <w:vAlign w:val="center"/>
          </w:tcPr>
          <w:p w14:paraId="2424B478" w14:textId="77777777" w:rsidR="00733207" w:rsidRDefault="00733207">
            <w:pPr>
              <w:spacing w:before="120" w:after="120" w:line="360" w:lineRule="auto"/>
              <w:jc w:val="both"/>
              <w:rPr>
                <w:rFonts w:ascii="Rockwell" w:hAnsi="Rockwell"/>
                <w:sz w:val="26"/>
                <w:szCs w:val="26"/>
              </w:rPr>
            </w:pPr>
          </w:p>
        </w:tc>
        <w:tc>
          <w:tcPr>
            <w:tcW w:w="2131" w:type="dxa"/>
            <w:vAlign w:val="center"/>
          </w:tcPr>
          <w:p w14:paraId="2F2C1E29"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Prévision</w:t>
            </w:r>
          </w:p>
        </w:tc>
        <w:tc>
          <w:tcPr>
            <w:tcW w:w="2045" w:type="dxa"/>
            <w:vAlign w:val="center"/>
          </w:tcPr>
          <w:p w14:paraId="4A8DD81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Exécution</w:t>
            </w:r>
          </w:p>
        </w:tc>
        <w:tc>
          <w:tcPr>
            <w:tcW w:w="1766" w:type="dxa"/>
            <w:vAlign w:val="center"/>
          </w:tcPr>
          <w:p w14:paraId="3EA707D3"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Taux </w:t>
            </w:r>
          </w:p>
        </w:tc>
      </w:tr>
      <w:tr w:rsidR="00733207" w14:paraId="2DD0CCD3" w14:textId="77777777">
        <w:trPr>
          <w:trHeight w:val="1171"/>
          <w:jc w:val="center"/>
        </w:trPr>
        <w:tc>
          <w:tcPr>
            <w:tcW w:w="4008" w:type="dxa"/>
            <w:vAlign w:val="center"/>
          </w:tcPr>
          <w:p w14:paraId="4F38A101"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Régulation du secteur de la communication</w:t>
            </w:r>
          </w:p>
        </w:tc>
        <w:tc>
          <w:tcPr>
            <w:tcW w:w="2131" w:type="dxa"/>
            <w:vAlign w:val="center"/>
          </w:tcPr>
          <w:p w14:paraId="4A8582D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1 067 909 000</w:t>
            </w:r>
          </w:p>
        </w:tc>
        <w:tc>
          <w:tcPr>
            <w:tcW w:w="2045" w:type="dxa"/>
            <w:vAlign w:val="center"/>
          </w:tcPr>
          <w:p w14:paraId="7EF89BDC"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963 334 000</w:t>
            </w:r>
          </w:p>
        </w:tc>
        <w:tc>
          <w:tcPr>
            <w:tcW w:w="1766" w:type="dxa"/>
            <w:vAlign w:val="center"/>
          </w:tcPr>
          <w:p w14:paraId="22804481"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90,21%</w:t>
            </w:r>
          </w:p>
        </w:tc>
      </w:tr>
      <w:tr w:rsidR="00733207" w14:paraId="63EDB50A" w14:textId="77777777">
        <w:trPr>
          <w:trHeight w:val="874"/>
          <w:jc w:val="center"/>
        </w:trPr>
        <w:tc>
          <w:tcPr>
            <w:tcW w:w="4008" w:type="dxa"/>
            <w:vAlign w:val="center"/>
          </w:tcPr>
          <w:p w14:paraId="3E4E8AD3" w14:textId="77777777" w:rsidR="00733207" w:rsidRDefault="00912BAE">
            <w:pPr>
              <w:spacing w:before="120" w:after="120" w:line="360" w:lineRule="auto"/>
              <w:jc w:val="both"/>
              <w:rPr>
                <w:rFonts w:ascii="Rockwell" w:hAnsi="Rockwell"/>
                <w:b/>
                <w:sz w:val="26"/>
                <w:szCs w:val="26"/>
              </w:rPr>
            </w:pPr>
            <w:r>
              <w:rPr>
                <w:rFonts w:ascii="Rockwell" w:hAnsi="Rockwell"/>
                <w:b/>
                <w:sz w:val="26"/>
                <w:szCs w:val="26"/>
              </w:rPr>
              <w:t xml:space="preserve">Total </w:t>
            </w:r>
          </w:p>
        </w:tc>
        <w:tc>
          <w:tcPr>
            <w:tcW w:w="2131" w:type="dxa"/>
            <w:vAlign w:val="center"/>
          </w:tcPr>
          <w:p w14:paraId="6630A820" w14:textId="77777777" w:rsidR="00733207" w:rsidRDefault="00912BAE">
            <w:pPr>
              <w:spacing w:before="120" w:after="120" w:line="360" w:lineRule="auto"/>
              <w:jc w:val="both"/>
              <w:rPr>
                <w:rFonts w:ascii="Rockwell" w:hAnsi="Rockwell"/>
                <w:sz w:val="26"/>
                <w:szCs w:val="26"/>
              </w:rPr>
            </w:pPr>
            <w:r>
              <w:rPr>
                <w:rFonts w:ascii="Rockwell" w:hAnsi="Rockwell"/>
                <w:b/>
                <w:sz w:val="26"/>
                <w:szCs w:val="26"/>
              </w:rPr>
              <w:t>1 067 909 000</w:t>
            </w:r>
          </w:p>
        </w:tc>
        <w:tc>
          <w:tcPr>
            <w:tcW w:w="2045" w:type="dxa"/>
            <w:vAlign w:val="center"/>
          </w:tcPr>
          <w:p w14:paraId="73AECDE8" w14:textId="77777777" w:rsidR="00733207" w:rsidRDefault="00912BAE">
            <w:pPr>
              <w:spacing w:before="120" w:after="120" w:line="360" w:lineRule="auto"/>
              <w:jc w:val="both"/>
              <w:rPr>
                <w:rFonts w:ascii="Rockwell" w:hAnsi="Rockwell"/>
                <w:b/>
                <w:sz w:val="26"/>
                <w:szCs w:val="26"/>
              </w:rPr>
            </w:pPr>
            <w:r>
              <w:rPr>
                <w:rFonts w:ascii="Rockwell" w:hAnsi="Rockwell"/>
                <w:b/>
                <w:sz w:val="26"/>
                <w:szCs w:val="26"/>
              </w:rPr>
              <w:t>963 334 000</w:t>
            </w:r>
          </w:p>
        </w:tc>
        <w:tc>
          <w:tcPr>
            <w:tcW w:w="1766" w:type="dxa"/>
            <w:vAlign w:val="center"/>
          </w:tcPr>
          <w:p w14:paraId="141E27E8"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90,21%</w:t>
            </w:r>
          </w:p>
        </w:tc>
      </w:tr>
    </w:tbl>
    <w:p w14:paraId="31471E98" w14:textId="77777777" w:rsidR="00733207" w:rsidRDefault="00912BAE">
      <w:pPr>
        <w:spacing w:before="120" w:after="120" w:line="360" w:lineRule="auto"/>
        <w:ind w:left="-284"/>
        <w:jc w:val="both"/>
        <w:rPr>
          <w:rFonts w:ascii="Rockwell" w:hAnsi="Rockwell"/>
          <w:i/>
        </w:rPr>
      </w:pPr>
      <w:r>
        <w:rPr>
          <w:rFonts w:ascii="Rockwell" w:hAnsi="Rockwell"/>
          <w:b/>
          <w:i/>
          <w:u w:val="single"/>
        </w:rPr>
        <w:t>Source</w:t>
      </w:r>
      <w:r>
        <w:rPr>
          <w:rFonts w:ascii="Rockwell" w:hAnsi="Rockwell"/>
          <w:b/>
          <w:i/>
        </w:rPr>
        <w:t xml:space="preserve"> : </w:t>
      </w:r>
      <w:r>
        <w:rPr>
          <w:rFonts w:ascii="Rockwell" w:hAnsi="Rockwell"/>
          <w:i/>
        </w:rPr>
        <w:t>SINAFOLO 2023 &amp; SIGASPE</w:t>
      </w:r>
    </w:p>
    <w:p w14:paraId="106D7E85" w14:textId="77777777" w:rsidR="00733207" w:rsidRDefault="00733207">
      <w:pPr>
        <w:spacing w:before="120" w:after="120" w:line="360" w:lineRule="auto"/>
        <w:jc w:val="both"/>
        <w:rPr>
          <w:rFonts w:ascii="Rockwell" w:hAnsi="Rockwell"/>
          <w:b/>
          <w:i/>
          <w:sz w:val="10"/>
          <w:szCs w:val="10"/>
        </w:rPr>
      </w:pPr>
    </w:p>
    <w:p w14:paraId="7C27F52C" w14:textId="77777777" w:rsidR="00733207" w:rsidRDefault="00733207">
      <w:pPr>
        <w:spacing w:before="120" w:after="120" w:line="360" w:lineRule="auto"/>
        <w:jc w:val="both"/>
        <w:rPr>
          <w:rFonts w:ascii="Rockwell" w:hAnsi="Rockwell"/>
          <w:b/>
          <w:i/>
          <w:sz w:val="10"/>
          <w:szCs w:val="10"/>
        </w:rPr>
      </w:pPr>
    </w:p>
    <w:p w14:paraId="539B6ADD" w14:textId="77777777" w:rsidR="00733207" w:rsidRDefault="00912BAE">
      <w:pPr>
        <w:spacing w:after="0" w:line="240" w:lineRule="auto"/>
        <w:ind w:left="-142"/>
        <w:jc w:val="center"/>
        <w:rPr>
          <w:rFonts w:ascii="Rockwell" w:hAnsi="Rockwell"/>
          <w:i/>
        </w:rPr>
      </w:pPr>
      <w:r>
        <w:rPr>
          <w:rFonts w:ascii="Rockwell" w:hAnsi="Rockwell"/>
          <w:b/>
          <w:i/>
          <w:u w:val="single"/>
        </w:rPr>
        <w:t>Tableau n°29 </w:t>
      </w:r>
      <w:r>
        <w:rPr>
          <w:rFonts w:ascii="Rockwell" w:hAnsi="Rockwell"/>
          <w:b/>
          <w:i/>
        </w:rPr>
        <w:t xml:space="preserve">: </w:t>
      </w:r>
      <w:r>
        <w:rPr>
          <w:rFonts w:ascii="Rockwell" w:hAnsi="Rockwell"/>
          <w:i/>
        </w:rPr>
        <w:t>Etat d’exécution des dépenses par nature du programme « Régulation du secteur de la communication »</w:t>
      </w:r>
    </w:p>
    <w:p w14:paraId="0C5F831E" w14:textId="77777777" w:rsidR="00733207" w:rsidRDefault="00733207">
      <w:pPr>
        <w:spacing w:after="0" w:line="240" w:lineRule="auto"/>
        <w:ind w:left="-284"/>
        <w:jc w:val="both"/>
        <w:rPr>
          <w:rFonts w:ascii="Rockwell" w:hAnsi="Rockwell"/>
          <w:i/>
        </w:rPr>
      </w:pPr>
    </w:p>
    <w:tbl>
      <w:tblPr>
        <w:tblStyle w:val="Grilledutableau"/>
        <w:tblW w:w="9935" w:type="dxa"/>
        <w:jc w:val="center"/>
        <w:tblLook w:val="04A0" w:firstRow="1" w:lastRow="0" w:firstColumn="1" w:lastColumn="0" w:noHBand="0" w:noVBand="1"/>
      </w:tblPr>
      <w:tblGrid>
        <w:gridCol w:w="4649"/>
        <w:gridCol w:w="2024"/>
        <w:gridCol w:w="1782"/>
        <w:gridCol w:w="1480"/>
      </w:tblGrid>
      <w:tr w:rsidR="00733207" w14:paraId="5F99368E" w14:textId="77777777">
        <w:trPr>
          <w:trHeight w:val="536"/>
          <w:jc w:val="center"/>
        </w:trPr>
        <w:tc>
          <w:tcPr>
            <w:tcW w:w="4649" w:type="dxa"/>
            <w:vMerge w:val="restart"/>
            <w:vAlign w:val="center"/>
          </w:tcPr>
          <w:p w14:paraId="4735DFC7" w14:textId="77777777" w:rsidR="00733207" w:rsidRDefault="00912BAE">
            <w:pPr>
              <w:spacing w:before="60" w:after="60" w:line="360" w:lineRule="auto"/>
              <w:jc w:val="both"/>
              <w:rPr>
                <w:rFonts w:ascii="Rockwell" w:hAnsi="Rockwell"/>
                <w:sz w:val="26"/>
                <w:szCs w:val="26"/>
              </w:rPr>
            </w:pPr>
            <w:r>
              <w:rPr>
                <w:rFonts w:ascii="Rockwell" w:hAnsi="Rockwell"/>
                <w:sz w:val="26"/>
                <w:szCs w:val="26"/>
              </w:rPr>
              <w:t>Nature des dépenses</w:t>
            </w:r>
          </w:p>
        </w:tc>
        <w:tc>
          <w:tcPr>
            <w:tcW w:w="5286" w:type="dxa"/>
            <w:gridSpan w:val="3"/>
            <w:vAlign w:val="center"/>
          </w:tcPr>
          <w:p w14:paraId="78D6B2E0" w14:textId="77777777" w:rsidR="00733207" w:rsidRDefault="00912BAE" w:rsidP="000F5D96">
            <w:pPr>
              <w:spacing w:before="60" w:after="60" w:line="360" w:lineRule="auto"/>
              <w:jc w:val="center"/>
              <w:rPr>
                <w:rFonts w:ascii="Rockwell" w:hAnsi="Rockwell"/>
                <w:sz w:val="26"/>
                <w:szCs w:val="26"/>
              </w:rPr>
            </w:pPr>
            <w:r>
              <w:rPr>
                <w:rFonts w:ascii="Rockwell" w:hAnsi="Rockwell"/>
                <w:sz w:val="26"/>
                <w:szCs w:val="26"/>
              </w:rPr>
              <w:t>Exercice 2023</w:t>
            </w:r>
          </w:p>
        </w:tc>
      </w:tr>
      <w:tr w:rsidR="00733207" w14:paraId="05CD55CB" w14:textId="77777777">
        <w:trPr>
          <w:trHeight w:val="75"/>
          <w:jc w:val="center"/>
        </w:trPr>
        <w:tc>
          <w:tcPr>
            <w:tcW w:w="4649" w:type="dxa"/>
            <w:vMerge/>
            <w:vAlign w:val="center"/>
          </w:tcPr>
          <w:p w14:paraId="13CED71B" w14:textId="77777777" w:rsidR="00733207" w:rsidRDefault="00733207">
            <w:pPr>
              <w:spacing w:before="60" w:after="60" w:line="360" w:lineRule="auto"/>
              <w:jc w:val="both"/>
              <w:rPr>
                <w:rFonts w:ascii="Rockwell" w:hAnsi="Rockwell"/>
                <w:sz w:val="26"/>
                <w:szCs w:val="26"/>
              </w:rPr>
            </w:pPr>
          </w:p>
        </w:tc>
        <w:tc>
          <w:tcPr>
            <w:tcW w:w="2024" w:type="dxa"/>
            <w:vAlign w:val="center"/>
          </w:tcPr>
          <w:p w14:paraId="011EE16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Prévision</w:t>
            </w:r>
          </w:p>
        </w:tc>
        <w:tc>
          <w:tcPr>
            <w:tcW w:w="1782" w:type="dxa"/>
            <w:vAlign w:val="center"/>
          </w:tcPr>
          <w:p w14:paraId="18BA07E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Exécution</w:t>
            </w:r>
          </w:p>
        </w:tc>
        <w:tc>
          <w:tcPr>
            <w:tcW w:w="1480" w:type="dxa"/>
            <w:vAlign w:val="center"/>
          </w:tcPr>
          <w:p w14:paraId="33CE20CE" w14:textId="77777777" w:rsidR="00733207" w:rsidRDefault="00912BAE">
            <w:pPr>
              <w:spacing w:before="60" w:after="60" w:line="360" w:lineRule="auto"/>
              <w:jc w:val="both"/>
              <w:rPr>
                <w:rFonts w:ascii="Rockwell" w:hAnsi="Rockwell"/>
                <w:sz w:val="26"/>
                <w:szCs w:val="26"/>
              </w:rPr>
            </w:pPr>
            <w:r>
              <w:rPr>
                <w:rFonts w:ascii="Rockwell" w:hAnsi="Rockwell"/>
                <w:sz w:val="26"/>
                <w:szCs w:val="26"/>
              </w:rPr>
              <w:t xml:space="preserve">Taux </w:t>
            </w:r>
          </w:p>
        </w:tc>
      </w:tr>
      <w:tr w:rsidR="00733207" w14:paraId="58CC7933" w14:textId="77777777">
        <w:trPr>
          <w:trHeight w:val="343"/>
          <w:jc w:val="center"/>
        </w:trPr>
        <w:tc>
          <w:tcPr>
            <w:tcW w:w="4649" w:type="dxa"/>
            <w:vAlign w:val="center"/>
          </w:tcPr>
          <w:p w14:paraId="31610B80"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DEPENSES COURANTES</w:t>
            </w:r>
          </w:p>
        </w:tc>
        <w:tc>
          <w:tcPr>
            <w:tcW w:w="2024" w:type="dxa"/>
            <w:vAlign w:val="center"/>
          </w:tcPr>
          <w:p w14:paraId="7302F8EA"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1 067 909 000</w:t>
            </w:r>
          </w:p>
        </w:tc>
        <w:tc>
          <w:tcPr>
            <w:tcW w:w="1782" w:type="dxa"/>
            <w:vAlign w:val="center"/>
          </w:tcPr>
          <w:p w14:paraId="54140F2C"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963 334 000</w:t>
            </w:r>
          </w:p>
        </w:tc>
        <w:tc>
          <w:tcPr>
            <w:tcW w:w="1480" w:type="dxa"/>
            <w:vAlign w:val="center"/>
          </w:tcPr>
          <w:p w14:paraId="2096EB45" w14:textId="77777777" w:rsidR="00733207" w:rsidRDefault="00912BAE">
            <w:pPr>
              <w:spacing w:before="60" w:after="60" w:line="360" w:lineRule="auto"/>
              <w:jc w:val="both"/>
              <w:rPr>
                <w:rFonts w:ascii="Rockwell" w:hAnsi="Rockwell"/>
                <w:sz w:val="26"/>
                <w:szCs w:val="26"/>
              </w:rPr>
            </w:pPr>
            <w:r>
              <w:rPr>
                <w:rFonts w:ascii="Rockwell" w:hAnsi="Rockwell"/>
                <w:sz w:val="26"/>
                <w:szCs w:val="26"/>
              </w:rPr>
              <w:t>90,21%</w:t>
            </w:r>
          </w:p>
        </w:tc>
      </w:tr>
      <w:tr w:rsidR="00733207" w14:paraId="53153E14" w14:textId="77777777">
        <w:trPr>
          <w:trHeight w:val="507"/>
          <w:jc w:val="center"/>
        </w:trPr>
        <w:tc>
          <w:tcPr>
            <w:tcW w:w="4649" w:type="dxa"/>
            <w:vAlign w:val="center"/>
          </w:tcPr>
          <w:p w14:paraId="37529024" w14:textId="77777777" w:rsidR="00733207" w:rsidRDefault="00912BAE">
            <w:pPr>
              <w:pStyle w:val="Paragraphedeliste"/>
              <w:numPr>
                <w:ilvl w:val="0"/>
                <w:numId w:val="47"/>
              </w:numPr>
              <w:spacing w:before="60" w:after="60" w:line="360" w:lineRule="auto"/>
              <w:jc w:val="both"/>
              <w:rPr>
                <w:rFonts w:ascii="Rockwell" w:hAnsi="Rockwell"/>
                <w:sz w:val="26"/>
                <w:szCs w:val="26"/>
              </w:rPr>
            </w:pPr>
            <w:r>
              <w:rPr>
                <w:rFonts w:ascii="Rockwell" w:hAnsi="Rockwell"/>
                <w:sz w:val="26"/>
                <w:szCs w:val="26"/>
              </w:rPr>
              <w:t>Dépenses de personnel</w:t>
            </w:r>
          </w:p>
        </w:tc>
        <w:tc>
          <w:tcPr>
            <w:tcW w:w="2024" w:type="dxa"/>
            <w:vAlign w:val="center"/>
          </w:tcPr>
          <w:p w14:paraId="75707D2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435 074 000</w:t>
            </w:r>
          </w:p>
        </w:tc>
        <w:tc>
          <w:tcPr>
            <w:tcW w:w="1782" w:type="dxa"/>
            <w:vAlign w:val="center"/>
          </w:tcPr>
          <w:p w14:paraId="777E5DB1" w14:textId="77777777" w:rsidR="00733207" w:rsidRDefault="00912BAE">
            <w:pPr>
              <w:spacing w:before="60" w:after="60" w:line="360" w:lineRule="auto"/>
              <w:jc w:val="both"/>
              <w:rPr>
                <w:rFonts w:ascii="Rockwell" w:hAnsi="Rockwell"/>
                <w:sz w:val="26"/>
                <w:szCs w:val="26"/>
              </w:rPr>
            </w:pPr>
            <w:r>
              <w:rPr>
                <w:rFonts w:ascii="Rockwell" w:hAnsi="Rockwell"/>
                <w:sz w:val="26"/>
                <w:szCs w:val="26"/>
              </w:rPr>
              <w:t>419 741 000</w:t>
            </w:r>
          </w:p>
        </w:tc>
        <w:tc>
          <w:tcPr>
            <w:tcW w:w="1480" w:type="dxa"/>
            <w:vAlign w:val="center"/>
          </w:tcPr>
          <w:p w14:paraId="45DD3A60" w14:textId="77777777" w:rsidR="00733207" w:rsidRDefault="00912BAE">
            <w:pPr>
              <w:spacing w:before="60" w:after="60" w:line="360" w:lineRule="auto"/>
              <w:jc w:val="both"/>
              <w:rPr>
                <w:rFonts w:ascii="Rockwell" w:hAnsi="Rockwell"/>
                <w:sz w:val="26"/>
                <w:szCs w:val="26"/>
              </w:rPr>
            </w:pPr>
            <w:r>
              <w:rPr>
                <w:rFonts w:ascii="Rockwell" w:hAnsi="Rockwell"/>
                <w:sz w:val="26"/>
                <w:szCs w:val="26"/>
              </w:rPr>
              <w:t>96,48%</w:t>
            </w:r>
          </w:p>
        </w:tc>
      </w:tr>
      <w:tr w:rsidR="00733207" w14:paraId="0AE17CF5" w14:textId="77777777">
        <w:trPr>
          <w:trHeight w:val="213"/>
          <w:jc w:val="center"/>
        </w:trPr>
        <w:tc>
          <w:tcPr>
            <w:tcW w:w="4649" w:type="dxa"/>
            <w:vAlign w:val="center"/>
          </w:tcPr>
          <w:p w14:paraId="70FB70DC" w14:textId="77777777" w:rsidR="00733207" w:rsidRDefault="00912BAE">
            <w:pPr>
              <w:pStyle w:val="Paragraphedeliste"/>
              <w:numPr>
                <w:ilvl w:val="0"/>
                <w:numId w:val="47"/>
              </w:numPr>
              <w:spacing w:before="60" w:after="60" w:line="360" w:lineRule="auto"/>
              <w:jc w:val="both"/>
              <w:rPr>
                <w:rFonts w:ascii="Rockwell" w:hAnsi="Rockwell"/>
                <w:sz w:val="26"/>
                <w:szCs w:val="26"/>
              </w:rPr>
            </w:pPr>
            <w:r>
              <w:rPr>
                <w:rFonts w:ascii="Rockwell" w:hAnsi="Rockwell"/>
                <w:sz w:val="26"/>
                <w:szCs w:val="26"/>
              </w:rPr>
              <w:t>Acquisition de biens et services</w:t>
            </w:r>
          </w:p>
        </w:tc>
        <w:tc>
          <w:tcPr>
            <w:tcW w:w="2024" w:type="dxa"/>
            <w:vAlign w:val="center"/>
          </w:tcPr>
          <w:p w14:paraId="7925A1D4" w14:textId="77777777" w:rsidR="00733207" w:rsidRDefault="00912BAE">
            <w:pPr>
              <w:spacing w:before="60" w:after="60" w:line="360" w:lineRule="auto"/>
              <w:jc w:val="both"/>
              <w:rPr>
                <w:rFonts w:ascii="Rockwell" w:hAnsi="Rockwell"/>
                <w:sz w:val="26"/>
                <w:szCs w:val="26"/>
              </w:rPr>
            </w:pPr>
            <w:r>
              <w:rPr>
                <w:rFonts w:ascii="Rockwell" w:hAnsi="Rockwell"/>
                <w:sz w:val="26"/>
                <w:szCs w:val="26"/>
              </w:rPr>
              <w:t>520 162 000</w:t>
            </w:r>
          </w:p>
        </w:tc>
        <w:tc>
          <w:tcPr>
            <w:tcW w:w="1782" w:type="dxa"/>
            <w:vAlign w:val="center"/>
          </w:tcPr>
          <w:p w14:paraId="33BE303C" w14:textId="77777777" w:rsidR="00733207" w:rsidRDefault="00912BAE">
            <w:pPr>
              <w:spacing w:before="60" w:after="60" w:line="360" w:lineRule="auto"/>
              <w:jc w:val="both"/>
              <w:rPr>
                <w:rFonts w:ascii="Rockwell" w:hAnsi="Rockwell"/>
                <w:sz w:val="26"/>
                <w:szCs w:val="26"/>
              </w:rPr>
            </w:pPr>
            <w:r>
              <w:rPr>
                <w:rFonts w:ascii="Rockwell" w:hAnsi="Rockwell"/>
                <w:sz w:val="26"/>
                <w:szCs w:val="26"/>
              </w:rPr>
              <w:t>430 920 000</w:t>
            </w:r>
          </w:p>
        </w:tc>
        <w:tc>
          <w:tcPr>
            <w:tcW w:w="1480" w:type="dxa"/>
            <w:vAlign w:val="center"/>
          </w:tcPr>
          <w:p w14:paraId="224D4F22" w14:textId="77777777" w:rsidR="00733207" w:rsidRDefault="00912BAE">
            <w:pPr>
              <w:spacing w:before="60" w:after="60" w:line="360" w:lineRule="auto"/>
              <w:jc w:val="both"/>
              <w:rPr>
                <w:rFonts w:ascii="Rockwell" w:hAnsi="Rockwell"/>
                <w:sz w:val="26"/>
                <w:szCs w:val="26"/>
              </w:rPr>
            </w:pPr>
            <w:r>
              <w:rPr>
                <w:rFonts w:ascii="Rockwell" w:hAnsi="Rockwell"/>
                <w:sz w:val="26"/>
                <w:szCs w:val="26"/>
              </w:rPr>
              <w:t>82,84%</w:t>
            </w:r>
          </w:p>
        </w:tc>
      </w:tr>
      <w:tr w:rsidR="00733207" w14:paraId="7F5D869B" w14:textId="77777777">
        <w:trPr>
          <w:trHeight w:val="376"/>
          <w:jc w:val="center"/>
        </w:trPr>
        <w:tc>
          <w:tcPr>
            <w:tcW w:w="4649" w:type="dxa"/>
            <w:vAlign w:val="center"/>
          </w:tcPr>
          <w:p w14:paraId="07837FED" w14:textId="77777777" w:rsidR="00733207" w:rsidRDefault="00912BAE">
            <w:pPr>
              <w:pStyle w:val="Paragraphedeliste"/>
              <w:numPr>
                <w:ilvl w:val="0"/>
                <w:numId w:val="47"/>
              </w:numPr>
              <w:spacing w:before="60" w:after="60" w:line="360" w:lineRule="auto"/>
              <w:jc w:val="both"/>
              <w:rPr>
                <w:rFonts w:ascii="Rockwell" w:hAnsi="Rockwell"/>
                <w:sz w:val="26"/>
                <w:szCs w:val="26"/>
              </w:rPr>
            </w:pPr>
            <w:r>
              <w:rPr>
                <w:rFonts w:ascii="Rockwell" w:hAnsi="Rockwell"/>
                <w:sz w:val="26"/>
                <w:szCs w:val="26"/>
              </w:rPr>
              <w:t>Transferts courants</w:t>
            </w:r>
          </w:p>
        </w:tc>
        <w:tc>
          <w:tcPr>
            <w:tcW w:w="2024" w:type="dxa"/>
            <w:vAlign w:val="center"/>
          </w:tcPr>
          <w:p w14:paraId="5ACF4E0F" w14:textId="77777777" w:rsidR="00733207" w:rsidRDefault="00912BAE">
            <w:pPr>
              <w:spacing w:before="60" w:after="60" w:line="360" w:lineRule="auto"/>
              <w:jc w:val="both"/>
              <w:rPr>
                <w:rFonts w:ascii="Rockwell" w:hAnsi="Rockwell"/>
                <w:sz w:val="26"/>
                <w:szCs w:val="26"/>
              </w:rPr>
            </w:pPr>
            <w:r>
              <w:rPr>
                <w:rFonts w:ascii="Rockwell" w:hAnsi="Rockwell"/>
                <w:sz w:val="26"/>
                <w:szCs w:val="26"/>
              </w:rPr>
              <w:t>112673 000</w:t>
            </w:r>
          </w:p>
        </w:tc>
        <w:tc>
          <w:tcPr>
            <w:tcW w:w="1782" w:type="dxa"/>
            <w:vAlign w:val="center"/>
          </w:tcPr>
          <w:p w14:paraId="5DF280AC" w14:textId="77777777" w:rsidR="00733207" w:rsidRDefault="00912BAE">
            <w:pPr>
              <w:spacing w:before="60" w:after="60" w:line="360" w:lineRule="auto"/>
              <w:jc w:val="both"/>
              <w:rPr>
                <w:rFonts w:ascii="Rockwell" w:hAnsi="Rockwell"/>
                <w:sz w:val="26"/>
                <w:szCs w:val="26"/>
              </w:rPr>
            </w:pPr>
            <w:r>
              <w:rPr>
                <w:rFonts w:ascii="Rockwell" w:hAnsi="Rockwell"/>
                <w:sz w:val="26"/>
                <w:szCs w:val="26"/>
              </w:rPr>
              <w:t>112 673 000</w:t>
            </w:r>
          </w:p>
        </w:tc>
        <w:tc>
          <w:tcPr>
            <w:tcW w:w="1480" w:type="dxa"/>
            <w:vAlign w:val="center"/>
          </w:tcPr>
          <w:p w14:paraId="3B3F1D8D" w14:textId="77777777" w:rsidR="00733207" w:rsidRDefault="00912BAE">
            <w:pPr>
              <w:spacing w:before="60" w:after="60" w:line="360" w:lineRule="auto"/>
              <w:jc w:val="both"/>
              <w:rPr>
                <w:rFonts w:ascii="Rockwell" w:hAnsi="Rockwell"/>
                <w:sz w:val="26"/>
                <w:szCs w:val="26"/>
              </w:rPr>
            </w:pPr>
            <w:r>
              <w:rPr>
                <w:rFonts w:ascii="Rockwell" w:hAnsi="Rockwell"/>
                <w:sz w:val="26"/>
                <w:szCs w:val="26"/>
              </w:rPr>
              <w:t>100%</w:t>
            </w:r>
          </w:p>
        </w:tc>
      </w:tr>
      <w:tr w:rsidR="00733207" w14:paraId="645FDAB6" w14:textId="77777777">
        <w:trPr>
          <w:trHeight w:val="267"/>
          <w:jc w:val="center"/>
        </w:trPr>
        <w:tc>
          <w:tcPr>
            <w:tcW w:w="4649" w:type="dxa"/>
            <w:vAlign w:val="center"/>
          </w:tcPr>
          <w:p w14:paraId="4201E716"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DEPENSES EN CAPITAL</w:t>
            </w:r>
          </w:p>
        </w:tc>
        <w:tc>
          <w:tcPr>
            <w:tcW w:w="2024" w:type="dxa"/>
            <w:vAlign w:val="center"/>
          </w:tcPr>
          <w:p w14:paraId="5E0B1DB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0</w:t>
            </w:r>
          </w:p>
        </w:tc>
        <w:tc>
          <w:tcPr>
            <w:tcW w:w="1782" w:type="dxa"/>
            <w:vAlign w:val="center"/>
          </w:tcPr>
          <w:p w14:paraId="6B7FF6CE" w14:textId="77777777" w:rsidR="00733207" w:rsidRDefault="00912BAE">
            <w:pPr>
              <w:spacing w:before="60" w:after="60" w:line="360" w:lineRule="auto"/>
              <w:jc w:val="both"/>
              <w:rPr>
                <w:rFonts w:ascii="Rockwell" w:hAnsi="Rockwell"/>
                <w:sz w:val="26"/>
                <w:szCs w:val="26"/>
              </w:rPr>
            </w:pPr>
            <w:r>
              <w:rPr>
                <w:rFonts w:ascii="Rockwell" w:hAnsi="Rockwell"/>
                <w:sz w:val="26"/>
                <w:szCs w:val="26"/>
              </w:rPr>
              <w:t>0</w:t>
            </w:r>
          </w:p>
        </w:tc>
        <w:tc>
          <w:tcPr>
            <w:tcW w:w="1480" w:type="dxa"/>
            <w:vAlign w:val="center"/>
          </w:tcPr>
          <w:p w14:paraId="272C2A4F" w14:textId="77777777" w:rsidR="00733207" w:rsidRDefault="00912BAE">
            <w:pPr>
              <w:spacing w:before="60" w:after="60" w:line="360" w:lineRule="auto"/>
              <w:jc w:val="both"/>
              <w:rPr>
                <w:rFonts w:ascii="Rockwell" w:hAnsi="Rockwell"/>
                <w:sz w:val="26"/>
                <w:szCs w:val="26"/>
              </w:rPr>
            </w:pPr>
            <w:r>
              <w:rPr>
                <w:rFonts w:ascii="Rockwell" w:hAnsi="Rockwell"/>
                <w:sz w:val="26"/>
                <w:szCs w:val="26"/>
              </w:rPr>
              <w:t>0%</w:t>
            </w:r>
          </w:p>
        </w:tc>
      </w:tr>
      <w:tr w:rsidR="00733207" w14:paraId="3511BA84" w14:textId="77777777">
        <w:trPr>
          <w:trHeight w:val="860"/>
          <w:jc w:val="center"/>
        </w:trPr>
        <w:tc>
          <w:tcPr>
            <w:tcW w:w="4649" w:type="dxa"/>
            <w:vAlign w:val="center"/>
          </w:tcPr>
          <w:p w14:paraId="4C5652EE" w14:textId="77777777" w:rsidR="00733207" w:rsidRDefault="00912BAE">
            <w:pPr>
              <w:pStyle w:val="Paragraphedeliste"/>
              <w:numPr>
                <w:ilvl w:val="0"/>
                <w:numId w:val="47"/>
              </w:numPr>
              <w:spacing w:before="60" w:after="60" w:line="360" w:lineRule="auto"/>
              <w:jc w:val="both"/>
              <w:rPr>
                <w:rFonts w:ascii="Rockwell" w:hAnsi="Rockwell"/>
                <w:sz w:val="26"/>
                <w:szCs w:val="26"/>
              </w:rPr>
            </w:pPr>
            <w:r>
              <w:rPr>
                <w:rFonts w:ascii="Rockwell" w:hAnsi="Rockwell"/>
                <w:sz w:val="26"/>
                <w:szCs w:val="26"/>
              </w:rPr>
              <w:t>Dépenses d’investissement</w:t>
            </w:r>
          </w:p>
        </w:tc>
        <w:tc>
          <w:tcPr>
            <w:tcW w:w="2024" w:type="dxa"/>
            <w:vAlign w:val="center"/>
          </w:tcPr>
          <w:p w14:paraId="26B853FF" w14:textId="77777777" w:rsidR="00733207" w:rsidRDefault="00912BAE">
            <w:pPr>
              <w:spacing w:before="60" w:after="60" w:line="360" w:lineRule="auto"/>
              <w:jc w:val="both"/>
              <w:rPr>
                <w:rFonts w:ascii="Rockwell" w:hAnsi="Rockwell"/>
                <w:sz w:val="26"/>
                <w:szCs w:val="26"/>
              </w:rPr>
            </w:pPr>
            <w:r>
              <w:rPr>
                <w:rFonts w:ascii="Rockwell" w:hAnsi="Rockwell"/>
                <w:sz w:val="26"/>
                <w:szCs w:val="26"/>
              </w:rPr>
              <w:t>0</w:t>
            </w:r>
          </w:p>
        </w:tc>
        <w:tc>
          <w:tcPr>
            <w:tcW w:w="1782" w:type="dxa"/>
            <w:vAlign w:val="center"/>
          </w:tcPr>
          <w:p w14:paraId="087B27D2" w14:textId="77777777" w:rsidR="00733207" w:rsidRDefault="00912BAE">
            <w:pPr>
              <w:spacing w:before="60" w:after="60" w:line="360" w:lineRule="auto"/>
              <w:jc w:val="both"/>
              <w:rPr>
                <w:rFonts w:ascii="Rockwell" w:hAnsi="Rockwell"/>
                <w:sz w:val="26"/>
                <w:szCs w:val="26"/>
              </w:rPr>
            </w:pPr>
            <w:r>
              <w:rPr>
                <w:rFonts w:ascii="Rockwell" w:hAnsi="Rockwell"/>
                <w:sz w:val="26"/>
                <w:szCs w:val="26"/>
              </w:rPr>
              <w:t>0</w:t>
            </w:r>
          </w:p>
        </w:tc>
        <w:tc>
          <w:tcPr>
            <w:tcW w:w="1480" w:type="dxa"/>
            <w:vAlign w:val="center"/>
          </w:tcPr>
          <w:p w14:paraId="77B35005" w14:textId="77777777" w:rsidR="00733207" w:rsidRDefault="00912BAE">
            <w:pPr>
              <w:spacing w:before="60" w:after="60" w:line="360" w:lineRule="auto"/>
              <w:jc w:val="both"/>
              <w:rPr>
                <w:rFonts w:ascii="Rockwell" w:hAnsi="Rockwell"/>
                <w:sz w:val="26"/>
                <w:szCs w:val="26"/>
              </w:rPr>
            </w:pPr>
            <w:r>
              <w:rPr>
                <w:rFonts w:ascii="Rockwell" w:hAnsi="Rockwell"/>
                <w:sz w:val="26"/>
                <w:szCs w:val="26"/>
              </w:rPr>
              <w:t>0%</w:t>
            </w:r>
          </w:p>
        </w:tc>
      </w:tr>
      <w:tr w:rsidR="00733207" w14:paraId="115E337D" w14:textId="77777777">
        <w:trPr>
          <w:trHeight w:val="882"/>
          <w:jc w:val="center"/>
        </w:trPr>
        <w:tc>
          <w:tcPr>
            <w:tcW w:w="4649" w:type="dxa"/>
            <w:vAlign w:val="center"/>
          </w:tcPr>
          <w:p w14:paraId="042D269C"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Total Général</w:t>
            </w:r>
          </w:p>
        </w:tc>
        <w:tc>
          <w:tcPr>
            <w:tcW w:w="2024" w:type="dxa"/>
            <w:vAlign w:val="center"/>
          </w:tcPr>
          <w:p w14:paraId="532EDB2E"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1 067 909 000</w:t>
            </w:r>
          </w:p>
        </w:tc>
        <w:tc>
          <w:tcPr>
            <w:tcW w:w="1782" w:type="dxa"/>
            <w:vAlign w:val="center"/>
          </w:tcPr>
          <w:p w14:paraId="479B4981"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963 334 000</w:t>
            </w:r>
          </w:p>
        </w:tc>
        <w:tc>
          <w:tcPr>
            <w:tcW w:w="1480" w:type="dxa"/>
            <w:vAlign w:val="center"/>
          </w:tcPr>
          <w:p w14:paraId="2B5FB2E1" w14:textId="77777777" w:rsidR="00733207" w:rsidRDefault="00912BAE">
            <w:pPr>
              <w:spacing w:before="60" w:after="60" w:line="360" w:lineRule="auto"/>
              <w:jc w:val="both"/>
              <w:rPr>
                <w:rFonts w:ascii="Rockwell" w:hAnsi="Rockwell"/>
                <w:sz w:val="26"/>
                <w:szCs w:val="26"/>
              </w:rPr>
            </w:pPr>
            <w:r>
              <w:rPr>
                <w:rFonts w:ascii="Rockwell" w:hAnsi="Rockwell"/>
                <w:sz w:val="26"/>
                <w:szCs w:val="26"/>
              </w:rPr>
              <w:t>90,21%</w:t>
            </w:r>
          </w:p>
        </w:tc>
      </w:tr>
    </w:tbl>
    <w:p w14:paraId="65E9FC67" w14:textId="77777777" w:rsidR="00733207" w:rsidRDefault="00912BAE">
      <w:pPr>
        <w:spacing w:before="120" w:after="120" w:line="360" w:lineRule="auto"/>
        <w:ind w:left="-426"/>
        <w:jc w:val="both"/>
        <w:rPr>
          <w:rFonts w:ascii="Rockwell" w:hAnsi="Rockwell"/>
          <w:i/>
        </w:rPr>
      </w:pPr>
      <w:r>
        <w:rPr>
          <w:rFonts w:ascii="Rockwell" w:hAnsi="Rockwell"/>
          <w:b/>
          <w:i/>
        </w:rPr>
        <w:t xml:space="preserve">   </w:t>
      </w:r>
      <w:r>
        <w:rPr>
          <w:rFonts w:ascii="Rockwell" w:hAnsi="Rockwell"/>
          <w:b/>
          <w:i/>
          <w:u w:val="single"/>
        </w:rPr>
        <w:t>Source</w:t>
      </w:r>
      <w:r>
        <w:rPr>
          <w:rFonts w:ascii="Rockwell" w:hAnsi="Rockwell"/>
          <w:i/>
        </w:rPr>
        <w:t> :</w:t>
      </w:r>
      <w:r>
        <w:rPr>
          <w:rFonts w:ascii="Rockwell" w:hAnsi="Rockwell"/>
          <w:b/>
          <w:i/>
        </w:rPr>
        <w:t xml:space="preserve"> </w:t>
      </w:r>
      <w:r>
        <w:rPr>
          <w:rFonts w:ascii="Rockwell" w:hAnsi="Rockwell"/>
          <w:i/>
        </w:rPr>
        <w:t>SINAFOLO 2023 &amp; SIGASPE</w:t>
      </w:r>
    </w:p>
    <w:p w14:paraId="5C84EBE2" w14:textId="77777777" w:rsidR="00733207" w:rsidRDefault="00733207">
      <w:pPr>
        <w:spacing w:before="120" w:after="120" w:line="360" w:lineRule="auto"/>
        <w:ind w:left="-426"/>
        <w:jc w:val="both"/>
        <w:rPr>
          <w:rFonts w:ascii="Rockwell" w:hAnsi="Rockwell"/>
          <w:i/>
        </w:rPr>
      </w:pPr>
    </w:p>
    <w:p w14:paraId="725A2F97" w14:textId="77777777" w:rsidR="00733207" w:rsidRDefault="00912BAE">
      <w:pPr>
        <w:pStyle w:val="Lgende"/>
        <w:spacing w:before="120" w:after="120"/>
        <w:jc w:val="center"/>
        <w:rPr>
          <w:rFonts w:ascii="Rockwell" w:hAnsi="Rockwell"/>
          <w:b w:val="0"/>
          <w:i/>
          <w:sz w:val="22"/>
          <w:szCs w:val="22"/>
        </w:rPr>
      </w:pPr>
      <w:r>
        <w:rPr>
          <w:rFonts w:ascii="Rockwell" w:hAnsi="Rockwell"/>
          <w:i/>
          <w:sz w:val="22"/>
          <w:szCs w:val="22"/>
          <w:u w:val="single"/>
        </w:rPr>
        <w:lastRenderedPageBreak/>
        <w:t>Tableau n°30.</w:t>
      </w:r>
      <w:r>
        <w:rPr>
          <w:rFonts w:ascii="Rockwell" w:hAnsi="Rockwell"/>
          <w:b w:val="0"/>
          <w:sz w:val="22"/>
          <w:szCs w:val="22"/>
        </w:rPr>
        <w:t> </w:t>
      </w:r>
      <w:r>
        <w:rPr>
          <w:rFonts w:ascii="Rockwell" w:hAnsi="Rockwell"/>
          <w:b w:val="0"/>
          <w:i/>
          <w:sz w:val="22"/>
          <w:szCs w:val="22"/>
        </w:rPr>
        <w:t>: Etat d’exécution des actions du programme « Régulation du secteur de la communication »</w:t>
      </w:r>
    </w:p>
    <w:p w14:paraId="08E0A2AE" w14:textId="77777777" w:rsidR="00733207" w:rsidRDefault="00733207">
      <w:pPr>
        <w:spacing w:before="120" w:after="120" w:line="360" w:lineRule="auto"/>
        <w:jc w:val="both"/>
        <w:rPr>
          <w:rFonts w:ascii="Rockwell" w:hAnsi="Rockwell"/>
          <w:sz w:val="10"/>
          <w:szCs w:val="10"/>
        </w:rPr>
      </w:pPr>
    </w:p>
    <w:tbl>
      <w:tblPr>
        <w:tblStyle w:val="Grilledutableau"/>
        <w:tblW w:w="10076" w:type="dxa"/>
        <w:jc w:val="center"/>
        <w:tblLook w:val="04A0" w:firstRow="1" w:lastRow="0" w:firstColumn="1" w:lastColumn="0" w:noHBand="0" w:noVBand="1"/>
      </w:tblPr>
      <w:tblGrid>
        <w:gridCol w:w="4733"/>
        <w:gridCol w:w="1846"/>
        <w:gridCol w:w="1732"/>
        <w:gridCol w:w="1765"/>
      </w:tblGrid>
      <w:tr w:rsidR="00733207" w14:paraId="1CB732BF" w14:textId="77777777">
        <w:trPr>
          <w:trHeight w:val="425"/>
          <w:jc w:val="center"/>
        </w:trPr>
        <w:tc>
          <w:tcPr>
            <w:tcW w:w="5382" w:type="dxa"/>
            <w:vMerge w:val="restart"/>
            <w:vAlign w:val="center"/>
          </w:tcPr>
          <w:p w14:paraId="2CCD9333" w14:textId="77777777" w:rsidR="00733207" w:rsidRDefault="00912BAE">
            <w:pPr>
              <w:spacing w:before="60" w:after="60" w:line="360" w:lineRule="auto"/>
              <w:jc w:val="both"/>
              <w:rPr>
                <w:rFonts w:ascii="Rockwell" w:hAnsi="Rockwell"/>
                <w:sz w:val="26"/>
                <w:szCs w:val="26"/>
              </w:rPr>
            </w:pPr>
            <w:r>
              <w:rPr>
                <w:rFonts w:ascii="Rockwell" w:hAnsi="Rockwell"/>
                <w:sz w:val="26"/>
                <w:szCs w:val="26"/>
              </w:rPr>
              <w:t>Actions</w:t>
            </w:r>
          </w:p>
        </w:tc>
        <w:tc>
          <w:tcPr>
            <w:tcW w:w="4694" w:type="dxa"/>
            <w:gridSpan w:val="3"/>
            <w:vAlign w:val="center"/>
          </w:tcPr>
          <w:p w14:paraId="6594E8E3" w14:textId="77777777" w:rsidR="00733207" w:rsidRDefault="00912BAE" w:rsidP="000F5D96">
            <w:pPr>
              <w:spacing w:before="60" w:after="60" w:line="360" w:lineRule="auto"/>
              <w:jc w:val="center"/>
              <w:rPr>
                <w:rFonts w:ascii="Rockwell" w:hAnsi="Rockwell"/>
                <w:sz w:val="26"/>
                <w:szCs w:val="26"/>
              </w:rPr>
            </w:pPr>
            <w:r>
              <w:rPr>
                <w:rFonts w:ascii="Rockwell" w:hAnsi="Rockwell"/>
                <w:sz w:val="26"/>
                <w:szCs w:val="26"/>
              </w:rPr>
              <w:t>Exercice 2023</w:t>
            </w:r>
          </w:p>
        </w:tc>
      </w:tr>
      <w:tr w:rsidR="00733207" w14:paraId="3C5F15AF" w14:textId="77777777">
        <w:trPr>
          <w:trHeight w:val="336"/>
          <w:jc w:val="center"/>
        </w:trPr>
        <w:tc>
          <w:tcPr>
            <w:tcW w:w="5382" w:type="dxa"/>
            <w:vMerge/>
            <w:vAlign w:val="center"/>
          </w:tcPr>
          <w:p w14:paraId="3B227A8A" w14:textId="77777777" w:rsidR="00733207" w:rsidRDefault="00733207">
            <w:pPr>
              <w:spacing w:before="60" w:after="60" w:line="360" w:lineRule="auto"/>
              <w:jc w:val="both"/>
              <w:rPr>
                <w:rFonts w:ascii="Rockwell" w:hAnsi="Rockwell"/>
                <w:sz w:val="26"/>
                <w:szCs w:val="26"/>
              </w:rPr>
            </w:pPr>
          </w:p>
        </w:tc>
        <w:tc>
          <w:tcPr>
            <w:tcW w:w="957" w:type="dxa"/>
            <w:vAlign w:val="center"/>
          </w:tcPr>
          <w:p w14:paraId="34C3DFF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Prévisions</w:t>
            </w:r>
          </w:p>
        </w:tc>
        <w:tc>
          <w:tcPr>
            <w:tcW w:w="1813" w:type="dxa"/>
            <w:vAlign w:val="center"/>
          </w:tcPr>
          <w:p w14:paraId="5973ECC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Exécution</w:t>
            </w:r>
          </w:p>
        </w:tc>
        <w:tc>
          <w:tcPr>
            <w:tcW w:w="1924" w:type="dxa"/>
            <w:vAlign w:val="center"/>
          </w:tcPr>
          <w:p w14:paraId="4F4F9DA1" w14:textId="77777777" w:rsidR="00733207" w:rsidRDefault="00912BAE">
            <w:pPr>
              <w:spacing w:before="60" w:after="60" w:line="360" w:lineRule="auto"/>
              <w:jc w:val="both"/>
              <w:rPr>
                <w:rFonts w:ascii="Rockwell" w:hAnsi="Rockwell"/>
                <w:sz w:val="26"/>
                <w:szCs w:val="26"/>
              </w:rPr>
            </w:pPr>
            <w:r>
              <w:rPr>
                <w:rFonts w:ascii="Rockwell" w:hAnsi="Rockwell"/>
                <w:sz w:val="26"/>
                <w:szCs w:val="26"/>
              </w:rPr>
              <w:t>Taux</w:t>
            </w:r>
          </w:p>
        </w:tc>
      </w:tr>
      <w:tr w:rsidR="00733207" w14:paraId="394E815E" w14:textId="77777777">
        <w:trPr>
          <w:trHeight w:val="880"/>
          <w:jc w:val="center"/>
        </w:trPr>
        <w:tc>
          <w:tcPr>
            <w:tcW w:w="5382" w:type="dxa"/>
            <w:vAlign w:val="center"/>
          </w:tcPr>
          <w:p w14:paraId="26CFBF81"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115</w:t>
            </w:r>
            <w:r>
              <w:rPr>
                <w:rFonts w:ascii="Rockwell" w:hAnsi="Rockwell"/>
                <w:sz w:val="26"/>
                <w:szCs w:val="26"/>
              </w:rPr>
              <w:t xml:space="preserve"> Régulation du secteur de la</w:t>
            </w:r>
          </w:p>
          <w:p w14:paraId="0AF2850B" w14:textId="77777777" w:rsidR="00733207" w:rsidRDefault="00912BAE">
            <w:pPr>
              <w:spacing w:before="60" w:after="60" w:line="360" w:lineRule="auto"/>
              <w:jc w:val="both"/>
              <w:rPr>
                <w:rFonts w:ascii="Rockwell" w:hAnsi="Rockwell"/>
                <w:sz w:val="26"/>
                <w:szCs w:val="26"/>
              </w:rPr>
            </w:pPr>
            <w:r>
              <w:rPr>
                <w:rFonts w:ascii="Rockwell" w:hAnsi="Rockwell"/>
                <w:sz w:val="26"/>
                <w:szCs w:val="26"/>
              </w:rPr>
              <w:t xml:space="preserve">       Communication</w:t>
            </w:r>
          </w:p>
        </w:tc>
        <w:tc>
          <w:tcPr>
            <w:tcW w:w="957" w:type="dxa"/>
            <w:vAlign w:val="center"/>
          </w:tcPr>
          <w:p w14:paraId="14E6ADEC"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1 067 909 000</w:t>
            </w:r>
          </w:p>
        </w:tc>
        <w:tc>
          <w:tcPr>
            <w:tcW w:w="1813" w:type="dxa"/>
            <w:vAlign w:val="center"/>
          </w:tcPr>
          <w:p w14:paraId="70AAEFAD"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963 334 000</w:t>
            </w:r>
          </w:p>
        </w:tc>
        <w:tc>
          <w:tcPr>
            <w:tcW w:w="1924" w:type="dxa"/>
            <w:vAlign w:val="center"/>
          </w:tcPr>
          <w:p w14:paraId="68B9C1D9"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90,21%</w:t>
            </w:r>
          </w:p>
        </w:tc>
      </w:tr>
      <w:tr w:rsidR="00733207" w14:paraId="637DE7C8" w14:textId="77777777">
        <w:trPr>
          <w:trHeight w:val="880"/>
          <w:jc w:val="center"/>
        </w:trPr>
        <w:tc>
          <w:tcPr>
            <w:tcW w:w="5382" w:type="dxa"/>
            <w:vAlign w:val="center"/>
          </w:tcPr>
          <w:p w14:paraId="13C5BD55"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11501</w:t>
            </w:r>
            <w:r>
              <w:rPr>
                <w:rFonts w:ascii="Rockwell" w:hAnsi="Rockwell"/>
                <w:sz w:val="26"/>
                <w:szCs w:val="26"/>
              </w:rPr>
              <w:t xml:space="preserve"> Régulation de l'offre médiatique </w:t>
            </w:r>
          </w:p>
          <w:p w14:paraId="23FD129D" w14:textId="77777777" w:rsidR="00733207" w:rsidRDefault="00912BAE">
            <w:pPr>
              <w:spacing w:before="60" w:after="60" w:line="360" w:lineRule="auto"/>
              <w:jc w:val="both"/>
              <w:rPr>
                <w:rFonts w:ascii="Rockwell" w:hAnsi="Rockwell"/>
                <w:sz w:val="26"/>
                <w:szCs w:val="26"/>
              </w:rPr>
            </w:pPr>
            <w:r>
              <w:rPr>
                <w:rFonts w:ascii="Rockwell" w:hAnsi="Rockwell"/>
                <w:sz w:val="26"/>
                <w:szCs w:val="26"/>
              </w:rPr>
              <w:t xml:space="preserve">           Audiovisuelle</w:t>
            </w:r>
          </w:p>
        </w:tc>
        <w:tc>
          <w:tcPr>
            <w:tcW w:w="957" w:type="dxa"/>
            <w:vAlign w:val="center"/>
          </w:tcPr>
          <w:p w14:paraId="3EBFD55F" w14:textId="77777777" w:rsidR="00733207" w:rsidRDefault="00912BAE">
            <w:pPr>
              <w:spacing w:before="60" w:after="60" w:line="360" w:lineRule="auto"/>
              <w:jc w:val="both"/>
              <w:rPr>
                <w:rFonts w:ascii="Rockwell" w:hAnsi="Rockwell"/>
                <w:sz w:val="26"/>
                <w:szCs w:val="26"/>
              </w:rPr>
            </w:pPr>
            <w:r>
              <w:rPr>
                <w:rFonts w:ascii="Rockwell" w:hAnsi="Rockwell"/>
                <w:sz w:val="26"/>
                <w:szCs w:val="26"/>
              </w:rPr>
              <w:t>579 088 000</w:t>
            </w:r>
          </w:p>
        </w:tc>
        <w:tc>
          <w:tcPr>
            <w:tcW w:w="1813" w:type="dxa"/>
            <w:vAlign w:val="center"/>
          </w:tcPr>
          <w:p w14:paraId="60696A29" w14:textId="77777777" w:rsidR="00733207" w:rsidRDefault="00912BAE">
            <w:pPr>
              <w:spacing w:before="60" w:after="60" w:line="360" w:lineRule="auto"/>
              <w:jc w:val="both"/>
              <w:rPr>
                <w:rFonts w:ascii="Rockwell" w:hAnsi="Rockwell"/>
                <w:sz w:val="26"/>
                <w:szCs w:val="26"/>
              </w:rPr>
            </w:pPr>
            <w:r>
              <w:rPr>
                <w:rFonts w:ascii="Rockwell" w:hAnsi="Rockwell"/>
                <w:sz w:val="26"/>
                <w:szCs w:val="26"/>
              </w:rPr>
              <w:t>520 200 000</w:t>
            </w:r>
          </w:p>
        </w:tc>
        <w:tc>
          <w:tcPr>
            <w:tcW w:w="1924" w:type="dxa"/>
            <w:vAlign w:val="center"/>
          </w:tcPr>
          <w:p w14:paraId="471AA021" w14:textId="77777777" w:rsidR="00733207" w:rsidRDefault="00912BAE">
            <w:pPr>
              <w:spacing w:before="60" w:after="60" w:line="360" w:lineRule="auto"/>
              <w:jc w:val="both"/>
              <w:rPr>
                <w:rFonts w:ascii="Rockwell" w:hAnsi="Rockwell"/>
                <w:sz w:val="26"/>
                <w:szCs w:val="26"/>
              </w:rPr>
            </w:pPr>
            <w:r>
              <w:rPr>
                <w:rFonts w:ascii="Rockwell" w:hAnsi="Rockwell"/>
                <w:sz w:val="26"/>
                <w:szCs w:val="26"/>
              </w:rPr>
              <w:t>89,83%</w:t>
            </w:r>
          </w:p>
        </w:tc>
      </w:tr>
      <w:tr w:rsidR="00733207" w14:paraId="38EB4537" w14:textId="77777777">
        <w:trPr>
          <w:trHeight w:val="807"/>
          <w:jc w:val="center"/>
        </w:trPr>
        <w:tc>
          <w:tcPr>
            <w:tcW w:w="5382" w:type="dxa"/>
            <w:vAlign w:val="center"/>
          </w:tcPr>
          <w:p w14:paraId="7031BCAB"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11502</w:t>
            </w:r>
            <w:r>
              <w:rPr>
                <w:rFonts w:ascii="Rockwell" w:hAnsi="Rockwell"/>
                <w:sz w:val="26"/>
                <w:szCs w:val="26"/>
              </w:rPr>
              <w:t xml:space="preserve"> Observation du contenu des médias</w:t>
            </w:r>
          </w:p>
        </w:tc>
        <w:tc>
          <w:tcPr>
            <w:tcW w:w="957" w:type="dxa"/>
            <w:vAlign w:val="center"/>
          </w:tcPr>
          <w:p w14:paraId="3F1FE43B" w14:textId="77777777" w:rsidR="00733207" w:rsidRDefault="00912BAE">
            <w:pPr>
              <w:spacing w:before="60" w:after="60" w:line="360" w:lineRule="auto"/>
              <w:jc w:val="both"/>
              <w:rPr>
                <w:rFonts w:ascii="Rockwell" w:hAnsi="Rockwell"/>
                <w:sz w:val="26"/>
                <w:szCs w:val="26"/>
              </w:rPr>
            </w:pPr>
            <w:r>
              <w:rPr>
                <w:rFonts w:ascii="Rockwell" w:hAnsi="Rockwell"/>
                <w:sz w:val="26"/>
                <w:szCs w:val="26"/>
              </w:rPr>
              <w:t>266 767 000</w:t>
            </w:r>
          </w:p>
        </w:tc>
        <w:tc>
          <w:tcPr>
            <w:tcW w:w="1813" w:type="dxa"/>
            <w:vAlign w:val="center"/>
          </w:tcPr>
          <w:p w14:paraId="45838BDE" w14:textId="77777777" w:rsidR="00733207" w:rsidRDefault="00912BAE">
            <w:pPr>
              <w:spacing w:before="60" w:after="60" w:line="360" w:lineRule="auto"/>
              <w:jc w:val="both"/>
              <w:rPr>
                <w:rFonts w:ascii="Rockwell" w:hAnsi="Rockwell"/>
                <w:sz w:val="26"/>
                <w:szCs w:val="26"/>
              </w:rPr>
            </w:pPr>
            <w:r>
              <w:rPr>
                <w:rFonts w:ascii="Rockwell" w:hAnsi="Rockwell"/>
                <w:sz w:val="26"/>
                <w:szCs w:val="26"/>
              </w:rPr>
              <w:t>240 834 000</w:t>
            </w:r>
          </w:p>
        </w:tc>
        <w:tc>
          <w:tcPr>
            <w:tcW w:w="1924" w:type="dxa"/>
            <w:vAlign w:val="center"/>
          </w:tcPr>
          <w:p w14:paraId="629994B8" w14:textId="77777777" w:rsidR="00733207" w:rsidRDefault="00912BAE">
            <w:pPr>
              <w:spacing w:before="60" w:after="60" w:line="360" w:lineRule="auto"/>
              <w:jc w:val="both"/>
              <w:rPr>
                <w:rFonts w:ascii="Rockwell" w:hAnsi="Rockwell"/>
                <w:sz w:val="26"/>
                <w:szCs w:val="26"/>
              </w:rPr>
            </w:pPr>
            <w:r>
              <w:rPr>
                <w:rFonts w:ascii="Rockwell" w:hAnsi="Rockwell"/>
                <w:sz w:val="26"/>
                <w:szCs w:val="26"/>
              </w:rPr>
              <w:t>90,28%</w:t>
            </w:r>
          </w:p>
        </w:tc>
      </w:tr>
      <w:tr w:rsidR="00733207" w14:paraId="4A43E71F" w14:textId="77777777">
        <w:trPr>
          <w:trHeight w:val="880"/>
          <w:jc w:val="center"/>
        </w:trPr>
        <w:tc>
          <w:tcPr>
            <w:tcW w:w="5382" w:type="dxa"/>
            <w:vAlign w:val="center"/>
          </w:tcPr>
          <w:p w14:paraId="34CB17D0"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11503</w:t>
            </w:r>
            <w:r>
              <w:rPr>
                <w:rFonts w:ascii="Rockwell" w:hAnsi="Rockwell"/>
                <w:sz w:val="26"/>
                <w:szCs w:val="26"/>
              </w:rPr>
              <w:t xml:space="preserve"> Contrôle des équipements techniques des médias audiovisuels</w:t>
            </w:r>
          </w:p>
        </w:tc>
        <w:tc>
          <w:tcPr>
            <w:tcW w:w="957" w:type="dxa"/>
            <w:vAlign w:val="center"/>
          </w:tcPr>
          <w:p w14:paraId="6E5D4F51" w14:textId="77777777" w:rsidR="00733207" w:rsidRDefault="00912BAE">
            <w:pPr>
              <w:spacing w:before="60" w:after="60" w:line="360" w:lineRule="auto"/>
              <w:jc w:val="both"/>
              <w:rPr>
                <w:rFonts w:ascii="Rockwell" w:hAnsi="Rockwell"/>
                <w:sz w:val="26"/>
                <w:szCs w:val="26"/>
              </w:rPr>
            </w:pPr>
            <w:r>
              <w:rPr>
                <w:rFonts w:ascii="Rockwell" w:hAnsi="Rockwell"/>
                <w:sz w:val="26"/>
                <w:szCs w:val="26"/>
              </w:rPr>
              <w:t>81 358 000</w:t>
            </w:r>
          </w:p>
        </w:tc>
        <w:tc>
          <w:tcPr>
            <w:tcW w:w="1813" w:type="dxa"/>
            <w:vAlign w:val="center"/>
          </w:tcPr>
          <w:p w14:paraId="0CB8BE94" w14:textId="77777777" w:rsidR="00733207" w:rsidRDefault="00912BAE">
            <w:pPr>
              <w:spacing w:before="60" w:after="60" w:line="360" w:lineRule="auto"/>
              <w:jc w:val="both"/>
              <w:rPr>
                <w:rFonts w:ascii="Rockwell" w:hAnsi="Rockwell"/>
                <w:sz w:val="26"/>
                <w:szCs w:val="26"/>
              </w:rPr>
            </w:pPr>
            <w:r>
              <w:rPr>
                <w:rFonts w:ascii="Rockwell" w:hAnsi="Rockwell"/>
                <w:sz w:val="26"/>
                <w:szCs w:val="26"/>
              </w:rPr>
              <w:t>77 067 000</w:t>
            </w:r>
          </w:p>
        </w:tc>
        <w:tc>
          <w:tcPr>
            <w:tcW w:w="1924" w:type="dxa"/>
            <w:vAlign w:val="center"/>
          </w:tcPr>
          <w:p w14:paraId="2673F9D3" w14:textId="77777777" w:rsidR="00733207" w:rsidRDefault="00912BAE">
            <w:pPr>
              <w:spacing w:before="60" w:after="60" w:line="360" w:lineRule="auto"/>
              <w:jc w:val="both"/>
              <w:rPr>
                <w:rFonts w:ascii="Rockwell" w:hAnsi="Rockwell"/>
                <w:sz w:val="26"/>
                <w:szCs w:val="26"/>
              </w:rPr>
            </w:pPr>
            <w:r>
              <w:rPr>
                <w:rFonts w:ascii="Rockwell" w:hAnsi="Rockwell"/>
                <w:sz w:val="26"/>
                <w:szCs w:val="26"/>
              </w:rPr>
              <w:t>94,73%</w:t>
            </w:r>
          </w:p>
        </w:tc>
      </w:tr>
      <w:tr w:rsidR="00733207" w14:paraId="6057239B" w14:textId="77777777">
        <w:trPr>
          <w:trHeight w:val="408"/>
          <w:jc w:val="center"/>
        </w:trPr>
        <w:tc>
          <w:tcPr>
            <w:tcW w:w="5382" w:type="dxa"/>
            <w:vAlign w:val="center"/>
          </w:tcPr>
          <w:p w14:paraId="2A067771"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11504</w:t>
            </w:r>
            <w:r>
              <w:rPr>
                <w:rFonts w:ascii="Rockwell" w:hAnsi="Rockwell"/>
                <w:sz w:val="26"/>
                <w:szCs w:val="26"/>
              </w:rPr>
              <w:t xml:space="preserve"> Documentation et archives</w:t>
            </w:r>
          </w:p>
        </w:tc>
        <w:tc>
          <w:tcPr>
            <w:tcW w:w="957" w:type="dxa"/>
            <w:vAlign w:val="center"/>
          </w:tcPr>
          <w:p w14:paraId="5520E219" w14:textId="77777777" w:rsidR="00733207" w:rsidRDefault="00912BAE">
            <w:pPr>
              <w:spacing w:before="60" w:after="60" w:line="360" w:lineRule="auto"/>
              <w:jc w:val="both"/>
              <w:rPr>
                <w:rFonts w:ascii="Rockwell" w:hAnsi="Rockwell"/>
                <w:sz w:val="26"/>
                <w:szCs w:val="26"/>
              </w:rPr>
            </w:pPr>
            <w:r>
              <w:rPr>
                <w:rFonts w:ascii="Rockwell" w:hAnsi="Rockwell"/>
                <w:sz w:val="26"/>
                <w:szCs w:val="26"/>
              </w:rPr>
              <w:t>32 592 000</w:t>
            </w:r>
          </w:p>
        </w:tc>
        <w:tc>
          <w:tcPr>
            <w:tcW w:w="1813" w:type="dxa"/>
            <w:vAlign w:val="center"/>
          </w:tcPr>
          <w:p w14:paraId="698EADD3" w14:textId="77777777" w:rsidR="00733207" w:rsidRDefault="00912BAE">
            <w:pPr>
              <w:spacing w:before="60" w:after="60" w:line="360" w:lineRule="auto"/>
              <w:jc w:val="both"/>
              <w:rPr>
                <w:rFonts w:ascii="Rockwell" w:hAnsi="Rockwell"/>
                <w:sz w:val="26"/>
                <w:szCs w:val="26"/>
              </w:rPr>
            </w:pPr>
            <w:r>
              <w:rPr>
                <w:rFonts w:ascii="Rockwell" w:hAnsi="Rockwell"/>
                <w:sz w:val="26"/>
                <w:szCs w:val="26"/>
              </w:rPr>
              <w:t>28 900 000</w:t>
            </w:r>
          </w:p>
        </w:tc>
        <w:tc>
          <w:tcPr>
            <w:tcW w:w="1924" w:type="dxa"/>
            <w:vAlign w:val="center"/>
          </w:tcPr>
          <w:p w14:paraId="21AF6234" w14:textId="77777777" w:rsidR="00733207" w:rsidRDefault="00912BAE">
            <w:pPr>
              <w:spacing w:before="60" w:after="60" w:line="360" w:lineRule="auto"/>
              <w:jc w:val="both"/>
              <w:rPr>
                <w:rFonts w:ascii="Rockwell" w:hAnsi="Rockwell"/>
                <w:sz w:val="26"/>
                <w:szCs w:val="26"/>
              </w:rPr>
            </w:pPr>
            <w:r>
              <w:rPr>
                <w:rFonts w:ascii="Rockwell" w:hAnsi="Rockwell"/>
                <w:sz w:val="26"/>
                <w:szCs w:val="26"/>
              </w:rPr>
              <w:t>88,67%</w:t>
            </w:r>
          </w:p>
        </w:tc>
      </w:tr>
      <w:tr w:rsidR="00733207" w14:paraId="5DB1BFFE" w14:textId="77777777">
        <w:trPr>
          <w:trHeight w:val="880"/>
          <w:jc w:val="center"/>
        </w:trPr>
        <w:tc>
          <w:tcPr>
            <w:tcW w:w="5382" w:type="dxa"/>
            <w:vAlign w:val="center"/>
          </w:tcPr>
          <w:p w14:paraId="09FDCC6D"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11505</w:t>
            </w:r>
            <w:r>
              <w:rPr>
                <w:rFonts w:ascii="Rockwell" w:hAnsi="Rockwell"/>
                <w:sz w:val="26"/>
                <w:szCs w:val="26"/>
              </w:rPr>
              <w:t xml:space="preserve"> Pilotage et soutien aux services du CSC</w:t>
            </w:r>
          </w:p>
        </w:tc>
        <w:tc>
          <w:tcPr>
            <w:tcW w:w="957" w:type="dxa"/>
            <w:vAlign w:val="center"/>
          </w:tcPr>
          <w:p w14:paraId="68982047" w14:textId="77777777" w:rsidR="00733207" w:rsidRDefault="00912BAE">
            <w:pPr>
              <w:spacing w:before="60" w:after="60" w:line="360" w:lineRule="auto"/>
              <w:jc w:val="both"/>
              <w:rPr>
                <w:rFonts w:ascii="Rockwell" w:hAnsi="Rockwell"/>
                <w:sz w:val="26"/>
                <w:szCs w:val="26"/>
              </w:rPr>
            </w:pPr>
            <w:r>
              <w:rPr>
                <w:rFonts w:ascii="Rockwell" w:hAnsi="Rockwell"/>
                <w:sz w:val="26"/>
                <w:szCs w:val="26"/>
              </w:rPr>
              <w:t>108 104 000</w:t>
            </w:r>
          </w:p>
        </w:tc>
        <w:tc>
          <w:tcPr>
            <w:tcW w:w="1813" w:type="dxa"/>
            <w:vAlign w:val="center"/>
          </w:tcPr>
          <w:p w14:paraId="2F1B23DA" w14:textId="77777777" w:rsidR="00733207" w:rsidRDefault="00912BAE">
            <w:pPr>
              <w:spacing w:before="60" w:after="60" w:line="360" w:lineRule="auto"/>
              <w:jc w:val="both"/>
              <w:rPr>
                <w:rFonts w:ascii="Rockwell" w:hAnsi="Rockwell"/>
                <w:sz w:val="26"/>
                <w:szCs w:val="26"/>
              </w:rPr>
            </w:pPr>
            <w:r>
              <w:rPr>
                <w:rFonts w:ascii="Rockwell" w:hAnsi="Rockwell"/>
                <w:sz w:val="26"/>
                <w:szCs w:val="26"/>
              </w:rPr>
              <w:t>96 333 000</w:t>
            </w:r>
          </w:p>
        </w:tc>
        <w:tc>
          <w:tcPr>
            <w:tcW w:w="1924" w:type="dxa"/>
            <w:vAlign w:val="center"/>
          </w:tcPr>
          <w:p w14:paraId="3F3B36CA" w14:textId="77777777" w:rsidR="00733207" w:rsidRDefault="00912BAE">
            <w:pPr>
              <w:spacing w:before="60" w:after="60" w:line="360" w:lineRule="auto"/>
              <w:jc w:val="both"/>
              <w:rPr>
                <w:rFonts w:ascii="Rockwell" w:hAnsi="Rockwell"/>
                <w:sz w:val="26"/>
                <w:szCs w:val="26"/>
              </w:rPr>
            </w:pPr>
            <w:r>
              <w:rPr>
                <w:rFonts w:ascii="Rockwell" w:hAnsi="Rockwell"/>
                <w:sz w:val="26"/>
                <w:szCs w:val="26"/>
              </w:rPr>
              <w:t>89,11%</w:t>
            </w:r>
          </w:p>
        </w:tc>
      </w:tr>
      <w:tr w:rsidR="00733207" w14:paraId="2E63AA50" w14:textId="77777777">
        <w:trPr>
          <w:trHeight w:val="730"/>
          <w:jc w:val="center"/>
        </w:trPr>
        <w:tc>
          <w:tcPr>
            <w:tcW w:w="5382" w:type="dxa"/>
            <w:vAlign w:val="center"/>
          </w:tcPr>
          <w:p w14:paraId="071F6099"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Total Général</w:t>
            </w:r>
          </w:p>
        </w:tc>
        <w:tc>
          <w:tcPr>
            <w:tcW w:w="957" w:type="dxa"/>
            <w:vAlign w:val="center"/>
          </w:tcPr>
          <w:p w14:paraId="59C98195" w14:textId="77777777" w:rsidR="00733207" w:rsidRDefault="00912BAE">
            <w:pPr>
              <w:spacing w:before="60" w:after="60" w:line="360" w:lineRule="auto"/>
              <w:jc w:val="both"/>
              <w:rPr>
                <w:rFonts w:ascii="Rockwell" w:hAnsi="Rockwell"/>
                <w:sz w:val="26"/>
                <w:szCs w:val="26"/>
              </w:rPr>
            </w:pPr>
            <w:r>
              <w:rPr>
                <w:rFonts w:ascii="Rockwell" w:hAnsi="Rockwell"/>
                <w:b/>
                <w:sz w:val="26"/>
                <w:szCs w:val="26"/>
              </w:rPr>
              <w:t>1 067 909 000</w:t>
            </w:r>
          </w:p>
        </w:tc>
        <w:tc>
          <w:tcPr>
            <w:tcW w:w="1813" w:type="dxa"/>
            <w:vAlign w:val="center"/>
          </w:tcPr>
          <w:p w14:paraId="227D0D38"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963 334 000</w:t>
            </w:r>
          </w:p>
        </w:tc>
        <w:tc>
          <w:tcPr>
            <w:tcW w:w="1924" w:type="dxa"/>
            <w:vAlign w:val="center"/>
          </w:tcPr>
          <w:p w14:paraId="3270D9E3" w14:textId="77777777" w:rsidR="00733207" w:rsidRDefault="00912BAE">
            <w:pPr>
              <w:spacing w:before="60" w:after="60" w:line="360" w:lineRule="auto"/>
              <w:jc w:val="both"/>
              <w:rPr>
                <w:rFonts w:ascii="Rockwell" w:hAnsi="Rockwell"/>
                <w:b/>
                <w:sz w:val="26"/>
                <w:szCs w:val="26"/>
              </w:rPr>
            </w:pPr>
            <w:r>
              <w:rPr>
                <w:rFonts w:ascii="Rockwell" w:hAnsi="Rockwell"/>
                <w:b/>
                <w:sz w:val="26"/>
                <w:szCs w:val="26"/>
              </w:rPr>
              <w:t>90,21%</w:t>
            </w:r>
          </w:p>
        </w:tc>
      </w:tr>
    </w:tbl>
    <w:p w14:paraId="40899887" w14:textId="77777777" w:rsidR="00733207" w:rsidRDefault="00912BAE">
      <w:pPr>
        <w:spacing w:before="120" w:after="120" w:line="360" w:lineRule="auto"/>
        <w:ind w:left="-426"/>
        <w:jc w:val="both"/>
        <w:rPr>
          <w:rFonts w:ascii="Rockwell" w:hAnsi="Rockwell"/>
          <w:b/>
          <w:i/>
        </w:rPr>
      </w:pPr>
      <w:r>
        <w:rPr>
          <w:rFonts w:ascii="Rockwell" w:hAnsi="Rockwell"/>
          <w:b/>
          <w:i/>
          <w:u w:val="single"/>
        </w:rPr>
        <w:t>Source</w:t>
      </w:r>
      <w:r>
        <w:rPr>
          <w:rFonts w:ascii="Rockwell" w:hAnsi="Rockwell"/>
          <w:b/>
          <w:i/>
        </w:rPr>
        <w:t xml:space="preserve"> : </w:t>
      </w:r>
      <w:r>
        <w:rPr>
          <w:rFonts w:ascii="Rockwell" w:hAnsi="Rockwell"/>
          <w:i/>
        </w:rPr>
        <w:t>SINAFOLO 2023 &amp; SIGASPE</w:t>
      </w:r>
    </w:p>
    <w:p w14:paraId="79AD483C" w14:textId="77777777" w:rsidR="00733207" w:rsidRDefault="00733207">
      <w:pPr>
        <w:spacing w:before="120" w:after="120" w:line="360" w:lineRule="auto"/>
        <w:jc w:val="both"/>
        <w:rPr>
          <w:rFonts w:ascii="Rockwell" w:hAnsi="Rockwell"/>
          <w:sz w:val="26"/>
          <w:szCs w:val="26"/>
        </w:rPr>
      </w:pPr>
    </w:p>
    <w:p w14:paraId="62391F19" w14:textId="77777777" w:rsidR="00733207" w:rsidRDefault="00912BAE">
      <w:pPr>
        <w:pStyle w:val="Titre4"/>
        <w:spacing w:before="240" w:after="240" w:line="360" w:lineRule="auto"/>
        <w:jc w:val="center"/>
        <w:rPr>
          <w:rFonts w:ascii="Rockwell" w:hAnsi="Rockwell"/>
          <w:b/>
          <w:i w:val="0"/>
          <w:color w:val="auto"/>
          <w:sz w:val="26"/>
          <w:szCs w:val="26"/>
        </w:rPr>
      </w:pPr>
      <w:bookmarkStart w:id="569" w:name="_Toc122608723"/>
      <w:bookmarkStart w:id="570" w:name="_Toc175128600"/>
      <w:bookmarkStart w:id="571" w:name="_Toc169855244"/>
      <w:r>
        <w:rPr>
          <w:rFonts w:ascii="Rockwell" w:hAnsi="Rockwell"/>
          <w:b/>
          <w:i w:val="0"/>
          <w:color w:val="auto"/>
          <w:sz w:val="26"/>
          <w:szCs w:val="26"/>
        </w:rPr>
        <w:t>Paragraphe 2 : Elaboration de l’avant-projet de budget programme 2024-202</w:t>
      </w:r>
      <w:bookmarkEnd w:id="569"/>
      <w:r>
        <w:rPr>
          <w:rFonts w:ascii="Rockwell" w:hAnsi="Rockwell"/>
          <w:b/>
          <w:i w:val="0"/>
          <w:color w:val="auto"/>
          <w:sz w:val="26"/>
          <w:szCs w:val="26"/>
        </w:rPr>
        <w:t>6</w:t>
      </w:r>
      <w:bookmarkEnd w:id="570"/>
      <w:bookmarkEnd w:id="571"/>
    </w:p>
    <w:p w14:paraId="446ADF71"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Le projet de budget programme 2024-2026 du CSC a été élaboré sur la base des dotations du Document de Programmation Budgétaire et Economique Pluriannuelle (DPBEP) 2024-2026 dont les montants étaient respectivement de </w:t>
      </w:r>
      <w:r>
        <w:rPr>
          <w:rFonts w:ascii="Rockwell" w:hAnsi="Rockwell"/>
          <w:sz w:val="26"/>
          <w:szCs w:val="26"/>
        </w:rPr>
        <w:lastRenderedPageBreak/>
        <w:t>1 119 554 000, 1 114 731 000 F CFA et 1 126 873 000 F CFA pour les années 2024, 2025 et 2026.</w:t>
      </w:r>
      <w:r>
        <w:rPr>
          <w:rFonts w:ascii="Rockwell" w:hAnsi="Rockwell"/>
          <w:sz w:val="26"/>
          <w:szCs w:val="26"/>
        </w:rPr>
        <w:tab/>
      </w:r>
    </w:p>
    <w:p w14:paraId="530AD854" w14:textId="77777777" w:rsidR="00733207" w:rsidRDefault="00733207">
      <w:pPr>
        <w:spacing w:before="120" w:after="120" w:line="360" w:lineRule="auto"/>
        <w:jc w:val="both"/>
        <w:rPr>
          <w:rFonts w:ascii="Rockwell" w:hAnsi="Rockwell"/>
          <w:sz w:val="26"/>
          <w:szCs w:val="26"/>
        </w:rPr>
      </w:pPr>
    </w:p>
    <w:p w14:paraId="6219E608" w14:textId="77777777" w:rsidR="00733207" w:rsidRPr="00C708B9" w:rsidRDefault="00912BAE">
      <w:pPr>
        <w:pStyle w:val="Titre3"/>
        <w:spacing w:before="240" w:after="240" w:line="360" w:lineRule="auto"/>
        <w:jc w:val="center"/>
        <w:rPr>
          <w:rFonts w:ascii="Rockwell" w:hAnsi="Rockwell"/>
          <w:b/>
          <w:i/>
          <w:color w:val="auto"/>
          <w:sz w:val="28"/>
          <w:szCs w:val="28"/>
        </w:rPr>
      </w:pPr>
      <w:bookmarkStart w:id="572" w:name="_Toc175128601"/>
      <w:bookmarkStart w:id="573" w:name="_Toc170209358"/>
      <w:bookmarkStart w:id="574" w:name="_Toc169854397"/>
      <w:bookmarkStart w:id="575" w:name="_Toc169855245"/>
      <w:r w:rsidRPr="00C708B9">
        <w:rPr>
          <w:rFonts w:ascii="Rockwell" w:hAnsi="Rockwell"/>
          <w:b/>
          <w:i/>
          <w:color w:val="auto"/>
          <w:sz w:val="28"/>
          <w:szCs w:val="28"/>
        </w:rPr>
        <w:t>SECTION 2 : GESTION DES MATIERES</w:t>
      </w:r>
      <w:bookmarkEnd w:id="572"/>
      <w:bookmarkEnd w:id="573"/>
      <w:bookmarkEnd w:id="574"/>
      <w:bookmarkEnd w:id="575"/>
    </w:p>
    <w:p w14:paraId="169AA0BE"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La gestion des matières relève de la comptabilité des matières qui est une discipline de gestion administrative et comptable des biens meubles et immeubles de l’Etat et autres organismes.</w:t>
      </w:r>
    </w:p>
    <w:p w14:paraId="451558B6"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 xml:space="preserve">Au 31 décembre 2023, le patrimoine non financier du CSC a été évalué à </w:t>
      </w:r>
      <w:r>
        <w:rPr>
          <w:rFonts w:ascii="Rockwell" w:hAnsi="Rockwell" w:cs="Times New Roman"/>
          <w:sz w:val="26"/>
          <w:szCs w:val="26"/>
        </w:rPr>
        <w:t>deux milliards huit cent quarante-neuf millions six cent quarante un mille six cent trente-deux (2 849 641 632) francs CFA</w:t>
      </w:r>
      <w:r>
        <w:rPr>
          <w:rFonts w:ascii="Rockwell" w:hAnsi="Rockwell"/>
          <w:sz w:val="26"/>
          <w:szCs w:val="26"/>
        </w:rPr>
        <w:t>.</w:t>
      </w:r>
    </w:p>
    <w:p w14:paraId="5EF92717" w14:textId="77777777" w:rsidR="00733207" w:rsidRDefault="00912BAE">
      <w:pPr>
        <w:spacing w:before="120" w:after="120" w:line="360" w:lineRule="auto"/>
        <w:jc w:val="both"/>
        <w:rPr>
          <w:rFonts w:ascii="Rockwell" w:hAnsi="Rockwell" w:cs="Times New Roman"/>
          <w:sz w:val="26"/>
          <w:szCs w:val="26"/>
        </w:rPr>
      </w:pPr>
      <w:bookmarkStart w:id="576" w:name="_Toc141088630"/>
      <w:r>
        <w:rPr>
          <w:rFonts w:ascii="Rockwell" w:hAnsi="Rockwell" w:cs="Times New Roman"/>
          <w:sz w:val="26"/>
          <w:szCs w:val="26"/>
        </w:rPr>
        <w:t>Le tableau suivant donne les valeurs des matières par compte matière :</w:t>
      </w:r>
    </w:p>
    <w:p w14:paraId="175D898E" w14:textId="77777777" w:rsidR="00733207" w:rsidRDefault="00733207">
      <w:pPr>
        <w:spacing w:before="120" w:after="120" w:line="360" w:lineRule="auto"/>
        <w:jc w:val="both"/>
        <w:rPr>
          <w:rFonts w:ascii="Rockwell" w:hAnsi="Rockwell" w:cs="Times New Roman"/>
          <w:sz w:val="26"/>
          <w:szCs w:val="26"/>
        </w:rPr>
      </w:pPr>
    </w:p>
    <w:p w14:paraId="7A72CB26" w14:textId="77777777" w:rsidR="00733207" w:rsidRDefault="00912BAE">
      <w:pPr>
        <w:pStyle w:val="Paragraphedeliste"/>
        <w:spacing w:before="120" w:after="120" w:line="360" w:lineRule="auto"/>
        <w:ind w:hanging="578"/>
        <w:jc w:val="both"/>
        <w:rPr>
          <w:rFonts w:ascii="Rockwell" w:hAnsi="Rockwell" w:cs="Times New Roman"/>
          <w:i/>
        </w:rPr>
      </w:pPr>
      <w:r>
        <w:rPr>
          <w:rFonts w:ascii="Rockwell" w:hAnsi="Rockwell" w:cs="Times New Roman"/>
          <w:b/>
          <w:i/>
          <w:u w:val="single"/>
        </w:rPr>
        <w:t>Tableau n°31</w:t>
      </w:r>
      <w:r>
        <w:rPr>
          <w:rFonts w:ascii="Rockwell" w:hAnsi="Rockwell" w:cs="Times New Roman"/>
          <w:b/>
          <w:i/>
        </w:rPr>
        <w:t xml:space="preserve">. : </w:t>
      </w:r>
      <w:r>
        <w:rPr>
          <w:rFonts w:ascii="Rockwell" w:hAnsi="Rockwell" w:cs="Times New Roman"/>
          <w:i/>
        </w:rPr>
        <w:t>Valeurs des matières par compte matière</w:t>
      </w:r>
    </w:p>
    <w:p w14:paraId="20E86459" w14:textId="77777777" w:rsidR="00733207" w:rsidRDefault="00733207">
      <w:pPr>
        <w:pStyle w:val="Paragraphedeliste"/>
        <w:spacing w:before="120" w:after="120" w:line="360" w:lineRule="auto"/>
        <w:jc w:val="both"/>
        <w:rPr>
          <w:rFonts w:ascii="Rockwell" w:hAnsi="Rockwell" w:cs="Times New Roman"/>
          <w:b/>
          <w:i/>
          <w:sz w:val="18"/>
          <w:szCs w:val="18"/>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4111"/>
        <w:gridCol w:w="2551"/>
      </w:tblGrid>
      <w:tr w:rsidR="00733207" w14:paraId="7B3AD25F" w14:textId="77777777">
        <w:trPr>
          <w:trHeight w:val="759"/>
          <w:jc w:val="center"/>
        </w:trPr>
        <w:tc>
          <w:tcPr>
            <w:tcW w:w="3114" w:type="dxa"/>
            <w:shd w:val="clear" w:color="000000" w:fill="BFBFBF"/>
            <w:vAlign w:val="center"/>
          </w:tcPr>
          <w:p w14:paraId="0E5E6168" w14:textId="77777777" w:rsidR="00733207" w:rsidRDefault="00912BAE" w:rsidP="000F5D96">
            <w:pPr>
              <w:spacing w:after="0" w:line="240" w:lineRule="auto"/>
              <w:jc w:val="center"/>
              <w:rPr>
                <w:rFonts w:ascii="Rockwell" w:eastAsia="Times New Roman" w:hAnsi="Rockwell" w:cs="Times New Roman"/>
                <w:b/>
                <w:bCs/>
                <w:sz w:val="26"/>
                <w:szCs w:val="26"/>
                <w:lang w:eastAsia="fr-FR"/>
              </w:rPr>
            </w:pPr>
            <w:r>
              <w:rPr>
                <w:rFonts w:ascii="Rockwell" w:eastAsia="Times New Roman" w:hAnsi="Rockwell" w:cs="Times New Roman"/>
                <w:b/>
                <w:bCs/>
                <w:sz w:val="26"/>
                <w:szCs w:val="26"/>
                <w:lang w:eastAsia="fr-FR"/>
              </w:rPr>
              <w:t>N° COMPTE MATIERE</w:t>
            </w:r>
          </w:p>
        </w:tc>
        <w:tc>
          <w:tcPr>
            <w:tcW w:w="4111" w:type="dxa"/>
            <w:shd w:val="clear" w:color="000000" w:fill="BFBFBF"/>
            <w:noWrap/>
            <w:vAlign w:val="center"/>
          </w:tcPr>
          <w:p w14:paraId="55CB99AA" w14:textId="77777777" w:rsidR="00733207" w:rsidRDefault="00912BAE" w:rsidP="000F5D96">
            <w:pPr>
              <w:spacing w:after="0" w:line="240" w:lineRule="auto"/>
              <w:jc w:val="center"/>
              <w:rPr>
                <w:rFonts w:ascii="Rockwell" w:eastAsia="Times New Roman" w:hAnsi="Rockwell" w:cs="Times New Roman"/>
                <w:b/>
                <w:bCs/>
                <w:sz w:val="26"/>
                <w:szCs w:val="26"/>
                <w:lang w:eastAsia="fr-FR"/>
              </w:rPr>
            </w:pPr>
            <w:r>
              <w:rPr>
                <w:rFonts w:ascii="Rockwell" w:eastAsia="Times New Roman" w:hAnsi="Rockwell" w:cs="Times New Roman"/>
                <w:b/>
                <w:bCs/>
                <w:sz w:val="26"/>
                <w:szCs w:val="26"/>
                <w:lang w:eastAsia="fr-FR"/>
              </w:rPr>
              <w:t>INTITULE</w:t>
            </w:r>
          </w:p>
        </w:tc>
        <w:tc>
          <w:tcPr>
            <w:tcW w:w="2551" w:type="dxa"/>
            <w:shd w:val="clear" w:color="000000" w:fill="BFBFBF"/>
            <w:noWrap/>
            <w:vAlign w:val="center"/>
          </w:tcPr>
          <w:p w14:paraId="7ED2E226" w14:textId="77777777" w:rsidR="00733207" w:rsidRDefault="00912BAE" w:rsidP="000F5D96">
            <w:pPr>
              <w:spacing w:after="0" w:line="240" w:lineRule="auto"/>
              <w:jc w:val="center"/>
              <w:rPr>
                <w:rFonts w:ascii="Rockwell" w:eastAsia="Times New Roman" w:hAnsi="Rockwell" w:cs="Times New Roman"/>
                <w:b/>
                <w:bCs/>
                <w:sz w:val="26"/>
                <w:szCs w:val="26"/>
                <w:lang w:eastAsia="fr-FR"/>
              </w:rPr>
            </w:pPr>
            <w:r>
              <w:rPr>
                <w:rFonts w:ascii="Rockwell" w:eastAsia="Times New Roman" w:hAnsi="Rockwell" w:cs="Times New Roman"/>
                <w:b/>
                <w:bCs/>
                <w:sz w:val="26"/>
                <w:szCs w:val="26"/>
                <w:lang w:eastAsia="fr-FR"/>
              </w:rPr>
              <w:t>VALEUR</w:t>
            </w:r>
          </w:p>
        </w:tc>
      </w:tr>
      <w:tr w:rsidR="00733207" w14:paraId="36579696" w14:textId="77777777">
        <w:trPr>
          <w:trHeight w:val="315"/>
          <w:jc w:val="center"/>
        </w:trPr>
        <w:tc>
          <w:tcPr>
            <w:tcW w:w="3114" w:type="dxa"/>
            <w:shd w:val="clear" w:color="auto" w:fill="auto"/>
            <w:noWrap/>
            <w:vAlign w:val="center"/>
          </w:tcPr>
          <w:p w14:paraId="1AA58F69"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213</w:t>
            </w:r>
          </w:p>
        </w:tc>
        <w:tc>
          <w:tcPr>
            <w:tcW w:w="4111" w:type="dxa"/>
            <w:shd w:val="clear" w:color="auto" w:fill="auto"/>
            <w:noWrap/>
            <w:vAlign w:val="center"/>
          </w:tcPr>
          <w:p w14:paraId="5C7B5D39"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Conception de système d’organisation-Progiciel</w:t>
            </w:r>
          </w:p>
        </w:tc>
        <w:tc>
          <w:tcPr>
            <w:tcW w:w="2551" w:type="dxa"/>
            <w:shd w:val="clear" w:color="auto" w:fill="auto"/>
            <w:noWrap/>
            <w:vAlign w:val="center"/>
          </w:tcPr>
          <w:p w14:paraId="03B448C0"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380 280 280</w:t>
            </w:r>
          </w:p>
        </w:tc>
      </w:tr>
      <w:tr w:rsidR="00733207" w14:paraId="46C5CECD" w14:textId="77777777">
        <w:trPr>
          <w:trHeight w:val="1011"/>
          <w:jc w:val="center"/>
        </w:trPr>
        <w:tc>
          <w:tcPr>
            <w:tcW w:w="3114" w:type="dxa"/>
            <w:shd w:val="clear" w:color="auto" w:fill="auto"/>
            <w:noWrap/>
            <w:vAlign w:val="center"/>
          </w:tcPr>
          <w:p w14:paraId="5938D21B"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221</w:t>
            </w:r>
          </w:p>
        </w:tc>
        <w:tc>
          <w:tcPr>
            <w:tcW w:w="4111" w:type="dxa"/>
            <w:shd w:val="clear" w:color="auto" w:fill="auto"/>
            <w:noWrap/>
            <w:vAlign w:val="center"/>
          </w:tcPr>
          <w:p w14:paraId="73E138F0"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Terrains</w:t>
            </w:r>
          </w:p>
        </w:tc>
        <w:tc>
          <w:tcPr>
            <w:tcW w:w="2551" w:type="dxa"/>
            <w:shd w:val="clear" w:color="auto" w:fill="auto"/>
            <w:noWrap/>
            <w:vAlign w:val="center"/>
          </w:tcPr>
          <w:p w14:paraId="225234F1"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300 762 000</w:t>
            </w:r>
          </w:p>
        </w:tc>
      </w:tr>
      <w:tr w:rsidR="00733207" w14:paraId="28145159" w14:textId="77777777">
        <w:trPr>
          <w:trHeight w:val="1060"/>
          <w:jc w:val="center"/>
        </w:trPr>
        <w:tc>
          <w:tcPr>
            <w:tcW w:w="3114" w:type="dxa"/>
            <w:shd w:val="clear" w:color="auto" w:fill="auto"/>
            <w:noWrap/>
            <w:vAlign w:val="center"/>
          </w:tcPr>
          <w:p w14:paraId="2D9B72BA"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231</w:t>
            </w:r>
          </w:p>
        </w:tc>
        <w:tc>
          <w:tcPr>
            <w:tcW w:w="4111" w:type="dxa"/>
            <w:shd w:val="clear" w:color="auto" w:fill="auto"/>
            <w:noWrap/>
            <w:vAlign w:val="center"/>
          </w:tcPr>
          <w:p w14:paraId="3F8D24C2"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Bâtiments administratifs à usage de bureaux</w:t>
            </w:r>
          </w:p>
        </w:tc>
        <w:tc>
          <w:tcPr>
            <w:tcW w:w="2551" w:type="dxa"/>
            <w:shd w:val="clear" w:color="auto" w:fill="auto"/>
            <w:noWrap/>
            <w:vAlign w:val="center"/>
          </w:tcPr>
          <w:p w14:paraId="24C8027E"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718 911 600</w:t>
            </w:r>
          </w:p>
        </w:tc>
      </w:tr>
      <w:tr w:rsidR="00733207" w14:paraId="46635048" w14:textId="77777777">
        <w:trPr>
          <w:trHeight w:val="849"/>
          <w:jc w:val="center"/>
        </w:trPr>
        <w:tc>
          <w:tcPr>
            <w:tcW w:w="3114" w:type="dxa"/>
            <w:shd w:val="clear" w:color="auto" w:fill="auto"/>
            <w:noWrap/>
            <w:vAlign w:val="center"/>
          </w:tcPr>
          <w:p w14:paraId="2E81984D"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233</w:t>
            </w:r>
          </w:p>
        </w:tc>
        <w:tc>
          <w:tcPr>
            <w:tcW w:w="4111" w:type="dxa"/>
            <w:shd w:val="clear" w:color="auto" w:fill="auto"/>
            <w:noWrap/>
            <w:vAlign w:val="center"/>
          </w:tcPr>
          <w:p w14:paraId="3CBC9B10"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Bâtiments administratifs à usage technique</w:t>
            </w:r>
          </w:p>
        </w:tc>
        <w:tc>
          <w:tcPr>
            <w:tcW w:w="2551" w:type="dxa"/>
            <w:shd w:val="clear" w:color="auto" w:fill="auto"/>
            <w:noWrap/>
            <w:vAlign w:val="center"/>
          </w:tcPr>
          <w:p w14:paraId="2A958D87"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3 481 192</w:t>
            </w:r>
          </w:p>
        </w:tc>
      </w:tr>
      <w:tr w:rsidR="00733207" w14:paraId="3D1A9DE2" w14:textId="77777777">
        <w:trPr>
          <w:trHeight w:val="833"/>
          <w:jc w:val="center"/>
        </w:trPr>
        <w:tc>
          <w:tcPr>
            <w:tcW w:w="3114" w:type="dxa"/>
            <w:shd w:val="clear" w:color="auto" w:fill="auto"/>
            <w:noWrap/>
            <w:vAlign w:val="center"/>
          </w:tcPr>
          <w:p w14:paraId="6B0BA4A2"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235</w:t>
            </w:r>
          </w:p>
        </w:tc>
        <w:tc>
          <w:tcPr>
            <w:tcW w:w="4111" w:type="dxa"/>
            <w:shd w:val="clear" w:color="auto" w:fill="auto"/>
            <w:noWrap/>
            <w:vAlign w:val="center"/>
          </w:tcPr>
          <w:p w14:paraId="38B7C9D2"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Bâtiments administratifs à usage spécifique</w:t>
            </w:r>
          </w:p>
        </w:tc>
        <w:tc>
          <w:tcPr>
            <w:tcW w:w="2551" w:type="dxa"/>
            <w:shd w:val="clear" w:color="auto" w:fill="auto"/>
            <w:noWrap/>
            <w:vAlign w:val="center"/>
          </w:tcPr>
          <w:p w14:paraId="7DC65793"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21 659 344</w:t>
            </w:r>
          </w:p>
        </w:tc>
      </w:tr>
      <w:tr w:rsidR="00733207" w14:paraId="41CA6BFF" w14:textId="77777777">
        <w:trPr>
          <w:trHeight w:val="315"/>
          <w:jc w:val="center"/>
        </w:trPr>
        <w:tc>
          <w:tcPr>
            <w:tcW w:w="3114" w:type="dxa"/>
            <w:shd w:val="clear" w:color="auto" w:fill="auto"/>
            <w:noWrap/>
            <w:vAlign w:val="center"/>
          </w:tcPr>
          <w:p w14:paraId="4127CE21"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241</w:t>
            </w:r>
          </w:p>
        </w:tc>
        <w:tc>
          <w:tcPr>
            <w:tcW w:w="4111" w:type="dxa"/>
            <w:shd w:val="clear" w:color="auto" w:fill="auto"/>
            <w:noWrap/>
            <w:vAlign w:val="center"/>
          </w:tcPr>
          <w:p w14:paraId="2F1B9876"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Matériel de bureau et de logement</w:t>
            </w:r>
          </w:p>
        </w:tc>
        <w:tc>
          <w:tcPr>
            <w:tcW w:w="2551" w:type="dxa"/>
            <w:shd w:val="clear" w:color="auto" w:fill="auto"/>
            <w:noWrap/>
            <w:vAlign w:val="center"/>
          </w:tcPr>
          <w:p w14:paraId="50B4C3DA"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78 264 882</w:t>
            </w:r>
          </w:p>
        </w:tc>
      </w:tr>
      <w:tr w:rsidR="00733207" w14:paraId="230442B8" w14:textId="77777777">
        <w:trPr>
          <w:trHeight w:val="992"/>
          <w:jc w:val="center"/>
        </w:trPr>
        <w:tc>
          <w:tcPr>
            <w:tcW w:w="3114" w:type="dxa"/>
            <w:shd w:val="clear" w:color="auto" w:fill="auto"/>
            <w:noWrap/>
            <w:vAlign w:val="center"/>
          </w:tcPr>
          <w:p w14:paraId="0D9DDB66"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lastRenderedPageBreak/>
              <w:t>242</w:t>
            </w:r>
          </w:p>
        </w:tc>
        <w:tc>
          <w:tcPr>
            <w:tcW w:w="4111" w:type="dxa"/>
            <w:shd w:val="clear" w:color="auto" w:fill="auto"/>
            <w:noWrap/>
            <w:vAlign w:val="center"/>
          </w:tcPr>
          <w:p w14:paraId="7BF68FA6"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Mobilier de bureau et de logement</w:t>
            </w:r>
          </w:p>
        </w:tc>
        <w:tc>
          <w:tcPr>
            <w:tcW w:w="2551" w:type="dxa"/>
            <w:shd w:val="clear" w:color="auto" w:fill="auto"/>
            <w:noWrap/>
            <w:vAlign w:val="center"/>
          </w:tcPr>
          <w:p w14:paraId="3CF1CAF7"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195 327 050</w:t>
            </w:r>
          </w:p>
        </w:tc>
      </w:tr>
      <w:tr w:rsidR="00733207" w14:paraId="6E062842" w14:textId="77777777">
        <w:trPr>
          <w:trHeight w:val="708"/>
          <w:jc w:val="center"/>
        </w:trPr>
        <w:tc>
          <w:tcPr>
            <w:tcW w:w="3114" w:type="dxa"/>
            <w:shd w:val="clear" w:color="auto" w:fill="auto"/>
            <w:noWrap/>
            <w:vAlign w:val="center"/>
          </w:tcPr>
          <w:p w14:paraId="75805047"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243</w:t>
            </w:r>
          </w:p>
        </w:tc>
        <w:tc>
          <w:tcPr>
            <w:tcW w:w="4111" w:type="dxa"/>
            <w:shd w:val="clear" w:color="auto" w:fill="auto"/>
            <w:noWrap/>
            <w:vAlign w:val="center"/>
          </w:tcPr>
          <w:p w14:paraId="56949FEA"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Matériel informatique</w:t>
            </w:r>
          </w:p>
        </w:tc>
        <w:tc>
          <w:tcPr>
            <w:tcW w:w="2551" w:type="dxa"/>
            <w:shd w:val="clear" w:color="auto" w:fill="auto"/>
            <w:noWrap/>
            <w:vAlign w:val="center"/>
          </w:tcPr>
          <w:p w14:paraId="1EC7B20C"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449 337 200</w:t>
            </w:r>
          </w:p>
        </w:tc>
      </w:tr>
      <w:tr w:rsidR="00733207" w14:paraId="07092F6D" w14:textId="77777777">
        <w:trPr>
          <w:trHeight w:val="833"/>
          <w:jc w:val="center"/>
        </w:trPr>
        <w:tc>
          <w:tcPr>
            <w:tcW w:w="3114" w:type="dxa"/>
            <w:shd w:val="clear" w:color="auto" w:fill="auto"/>
            <w:noWrap/>
            <w:vAlign w:val="center"/>
          </w:tcPr>
          <w:p w14:paraId="7D436B20"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248</w:t>
            </w:r>
          </w:p>
        </w:tc>
        <w:tc>
          <w:tcPr>
            <w:tcW w:w="4111" w:type="dxa"/>
            <w:shd w:val="clear" w:color="auto" w:fill="auto"/>
            <w:noWrap/>
            <w:vAlign w:val="center"/>
          </w:tcPr>
          <w:p w14:paraId="1E71B445"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Matériel roulant et de transport</w:t>
            </w:r>
          </w:p>
        </w:tc>
        <w:tc>
          <w:tcPr>
            <w:tcW w:w="2551" w:type="dxa"/>
            <w:shd w:val="clear" w:color="auto" w:fill="auto"/>
            <w:noWrap/>
            <w:vAlign w:val="center"/>
          </w:tcPr>
          <w:p w14:paraId="0B1D8879"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499 706 017</w:t>
            </w:r>
          </w:p>
        </w:tc>
      </w:tr>
      <w:tr w:rsidR="00733207" w14:paraId="0C79CD52" w14:textId="77777777">
        <w:trPr>
          <w:trHeight w:val="987"/>
          <w:jc w:val="center"/>
        </w:trPr>
        <w:tc>
          <w:tcPr>
            <w:tcW w:w="3114" w:type="dxa"/>
            <w:shd w:val="clear" w:color="auto" w:fill="auto"/>
            <w:noWrap/>
            <w:vAlign w:val="center"/>
          </w:tcPr>
          <w:p w14:paraId="066D152F"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250</w:t>
            </w:r>
          </w:p>
        </w:tc>
        <w:tc>
          <w:tcPr>
            <w:tcW w:w="4111" w:type="dxa"/>
            <w:shd w:val="clear" w:color="auto" w:fill="auto"/>
            <w:vAlign w:val="center"/>
          </w:tcPr>
          <w:p w14:paraId="21D26279" w14:textId="76534BF9"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Matériel et outillage spécifique de communication audiovisuel</w:t>
            </w:r>
            <w:r w:rsidR="000841A2">
              <w:rPr>
                <w:rFonts w:ascii="Rockwell" w:eastAsia="Times New Roman" w:hAnsi="Rockwell" w:cs="Times New Roman"/>
                <w:sz w:val="26"/>
                <w:szCs w:val="26"/>
                <w:lang w:eastAsia="fr-FR"/>
              </w:rPr>
              <w:t>le</w:t>
            </w:r>
          </w:p>
        </w:tc>
        <w:tc>
          <w:tcPr>
            <w:tcW w:w="2551" w:type="dxa"/>
            <w:shd w:val="clear" w:color="auto" w:fill="auto"/>
            <w:noWrap/>
            <w:vAlign w:val="center"/>
          </w:tcPr>
          <w:p w14:paraId="1F1890DA"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165 436 965</w:t>
            </w:r>
          </w:p>
        </w:tc>
      </w:tr>
      <w:tr w:rsidR="00733207" w14:paraId="276B330A" w14:textId="77777777">
        <w:trPr>
          <w:trHeight w:val="1117"/>
          <w:jc w:val="center"/>
        </w:trPr>
        <w:tc>
          <w:tcPr>
            <w:tcW w:w="3114" w:type="dxa"/>
            <w:shd w:val="clear" w:color="auto" w:fill="auto"/>
            <w:noWrap/>
            <w:vAlign w:val="center"/>
          </w:tcPr>
          <w:p w14:paraId="37C67943"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256</w:t>
            </w:r>
          </w:p>
        </w:tc>
        <w:tc>
          <w:tcPr>
            <w:tcW w:w="4111" w:type="dxa"/>
            <w:shd w:val="clear" w:color="auto" w:fill="auto"/>
            <w:vAlign w:val="center"/>
          </w:tcPr>
          <w:p w14:paraId="5426DB33"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Matériel et outillage spécifique des mines et énergies</w:t>
            </w:r>
          </w:p>
        </w:tc>
        <w:tc>
          <w:tcPr>
            <w:tcW w:w="2551" w:type="dxa"/>
            <w:shd w:val="clear" w:color="auto" w:fill="auto"/>
            <w:noWrap/>
            <w:vAlign w:val="center"/>
          </w:tcPr>
          <w:p w14:paraId="71B427E3"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28 953 999</w:t>
            </w:r>
          </w:p>
        </w:tc>
      </w:tr>
      <w:tr w:rsidR="00733207" w14:paraId="6C29E1E8" w14:textId="77777777">
        <w:trPr>
          <w:trHeight w:val="991"/>
          <w:jc w:val="center"/>
        </w:trPr>
        <w:tc>
          <w:tcPr>
            <w:tcW w:w="3114" w:type="dxa"/>
            <w:shd w:val="clear" w:color="auto" w:fill="auto"/>
            <w:noWrap/>
            <w:vAlign w:val="center"/>
          </w:tcPr>
          <w:p w14:paraId="5691DEF9"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260</w:t>
            </w:r>
          </w:p>
        </w:tc>
        <w:tc>
          <w:tcPr>
            <w:tcW w:w="4111" w:type="dxa"/>
            <w:shd w:val="clear" w:color="auto" w:fill="auto"/>
            <w:noWrap/>
            <w:vAlign w:val="center"/>
          </w:tcPr>
          <w:p w14:paraId="3523D637"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Autres matériels et outillages techniques</w:t>
            </w:r>
          </w:p>
        </w:tc>
        <w:tc>
          <w:tcPr>
            <w:tcW w:w="2551" w:type="dxa"/>
            <w:shd w:val="clear" w:color="auto" w:fill="auto"/>
            <w:noWrap/>
            <w:vAlign w:val="center"/>
          </w:tcPr>
          <w:p w14:paraId="3ADDDB11" w14:textId="77777777" w:rsidR="00733207" w:rsidRDefault="00912BAE">
            <w:pPr>
              <w:spacing w:after="0" w:line="240" w:lineRule="auto"/>
              <w:jc w:val="both"/>
              <w:rPr>
                <w:rFonts w:ascii="Rockwell" w:eastAsia="Times New Roman" w:hAnsi="Rockwell" w:cs="Times New Roman"/>
                <w:sz w:val="26"/>
                <w:szCs w:val="26"/>
                <w:lang w:eastAsia="fr-FR"/>
              </w:rPr>
            </w:pPr>
            <w:r>
              <w:rPr>
                <w:rFonts w:ascii="Rockwell" w:eastAsia="Times New Roman" w:hAnsi="Rockwell" w:cs="Times New Roman"/>
                <w:sz w:val="26"/>
                <w:szCs w:val="26"/>
                <w:lang w:eastAsia="fr-FR"/>
              </w:rPr>
              <w:t>7 521 100</w:t>
            </w:r>
          </w:p>
        </w:tc>
      </w:tr>
      <w:tr w:rsidR="00733207" w14:paraId="13B520D9" w14:textId="77777777">
        <w:trPr>
          <w:trHeight w:val="682"/>
          <w:jc w:val="center"/>
        </w:trPr>
        <w:tc>
          <w:tcPr>
            <w:tcW w:w="7225" w:type="dxa"/>
            <w:gridSpan w:val="2"/>
            <w:shd w:val="clear" w:color="000000" w:fill="BFBFBF"/>
            <w:noWrap/>
            <w:vAlign w:val="center"/>
          </w:tcPr>
          <w:p w14:paraId="1DCC6D1B" w14:textId="77777777" w:rsidR="00733207" w:rsidRDefault="00912BAE">
            <w:pPr>
              <w:spacing w:after="0" w:line="240" w:lineRule="auto"/>
              <w:jc w:val="both"/>
              <w:rPr>
                <w:rFonts w:ascii="Rockwell" w:eastAsia="Times New Roman" w:hAnsi="Rockwell" w:cs="Times New Roman"/>
                <w:b/>
                <w:bCs/>
                <w:sz w:val="26"/>
                <w:szCs w:val="26"/>
                <w:lang w:eastAsia="fr-FR"/>
              </w:rPr>
            </w:pPr>
            <w:r>
              <w:rPr>
                <w:rFonts w:ascii="Rockwell" w:eastAsia="Times New Roman" w:hAnsi="Rockwell" w:cs="Times New Roman"/>
                <w:b/>
                <w:bCs/>
                <w:sz w:val="26"/>
                <w:szCs w:val="26"/>
                <w:lang w:eastAsia="fr-FR"/>
              </w:rPr>
              <w:t>Total</w:t>
            </w:r>
          </w:p>
        </w:tc>
        <w:tc>
          <w:tcPr>
            <w:tcW w:w="2551" w:type="dxa"/>
            <w:shd w:val="clear" w:color="000000" w:fill="BFBFBF"/>
            <w:noWrap/>
            <w:vAlign w:val="center"/>
          </w:tcPr>
          <w:p w14:paraId="468266F8" w14:textId="77777777" w:rsidR="00733207" w:rsidRDefault="00912BAE">
            <w:pPr>
              <w:spacing w:after="0" w:line="240" w:lineRule="auto"/>
              <w:jc w:val="both"/>
              <w:rPr>
                <w:rFonts w:ascii="Rockwell" w:eastAsia="Times New Roman" w:hAnsi="Rockwell" w:cs="Times New Roman"/>
                <w:b/>
                <w:bCs/>
                <w:sz w:val="26"/>
                <w:szCs w:val="26"/>
                <w:lang w:eastAsia="fr-FR"/>
              </w:rPr>
            </w:pPr>
            <w:r>
              <w:rPr>
                <w:rFonts w:ascii="Rockwell" w:eastAsia="Times New Roman" w:hAnsi="Rockwell" w:cs="Times New Roman"/>
                <w:b/>
                <w:bCs/>
                <w:sz w:val="26"/>
                <w:szCs w:val="26"/>
                <w:lang w:eastAsia="fr-FR"/>
              </w:rPr>
              <w:t>2 849 641 632</w:t>
            </w:r>
          </w:p>
        </w:tc>
      </w:tr>
    </w:tbl>
    <w:p w14:paraId="26B9D5C3" w14:textId="77777777" w:rsidR="00733207" w:rsidRDefault="00912BAE">
      <w:pPr>
        <w:spacing w:before="120" w:after="120" w:line="360" w:lineRule="auto"/>
        <w:ind w:left="-284"/>
        <w:jc w:val="both"/>
        <w:rPr>
          <w:rFonts w:ascii="Rockwell" w:hAnsi="Rockwell" w:cs="Times New Roman"/>
          <w:i/>
        </w:rPr>
      </w:pPr>
      <w:r>
        <w:rPr>
          <w:rFonts w:ascii="Rockwell" w:hAnsi="Rockwell" w:cs="Times New Roman"/>
          <w:b/>
          <w:i/>
          <w:u w:val="single"/>
        </w:rPr>
        <w:t>Source</w:t>
      </w:r>
      <w:r>
        <w:rPr>
          <w:rFonts w:ascii="Rockwell" w:hAnsi="Rockwell" w:cs="Times New Roman"/>
          <w:b/>
          <w:i/>
        </w:rPr>
        <w:t> :</w:t>
      </w:r>
      <w:r>
        <w:rPr>
          <w:rFonts w:ascii="Rockwell" w:hAnsi="Rockwell" w:cs="Times New Roman"/>
          <w:i/>
        </w:rPr>
        <w:t xml:space="preserve"> SIGCM</w:t>
      </w:r>
    </w:p>
    <w:p w14:paraId="424A64C5" w14:textId="77777777" w:rsidR="00733207" w:rsidRDefault="00733207">
      <w:pPr>
        <w:spacing w:before="120" w:after="120" w:line="360" w:lineRule="auto"/>
        <w:ind w:left="-284"/>
        <w:jc w:val="both"/>
        <w:rPr>
          <w:rFonts w:ascii="Rockwell" w:hAnsi="Rockwell" w:cs="Times New Roman"/>
          <w:b/>
          <w:i/>
        </w:rPr>
      </w:pPr>
    </w:p>
    <w:bookmarkEnd w:id="576"/>
    <w:p w14:paraId="4D38C4F3" w14:textId="77777777" w:rsidR="00733207" w:rsidRDefault="00733207">
      <w:pPr>
        <w:spacing w:before="120" w:after="120" w:line="360" w:lineRule="auto"/>
        <w:jc w:val="both"/>
        <w:rPr>
          <w:rFonts w:ascii="Rockwell" w:hAnsi="Rockwell" w:cs="Times New Roman"/>
          <w:b/>
          <w:sz w:val="26"/>
          <w:szCs w:val="26"/>
        </w:rPr>
        <w:sectPr w:rsidR="00733207">
          <w:pgSz w:w="11906" w:h="16838"/>
          <w:pgMar w:top="1417" w:right="1274" w:bottom="1417" w:left="1417" w:header="708" w:footer="708" w:gutter="0"/>
          <w:cols w:space="708"/>
          <w:docGrid w:linePitch="360"/>
        </w:sectPr>
      </w:pPr>
    </w:p>
    <w:p w14:paraId="55C6863F" w14:textId="77777777" w:rsidR="00733207" w:rsidRDefault="00733207">
      <w:pPr>
        <w:spacing w:before="120" w:after="120" w:line="360" w:lineRule="auto"/>
        <w:jc w:val="both"/>
        <w:rPr>
          <w:rFonts w:ascii="Rockwell" w:hAnsi="Rockwell" w:cs="Times New Roman"/>
          <w:sz w:val="26"/>
          <w:szCs w:val="26"/>
        </w:rPr>
      </w:pPr>
    </w:p>
    <w:p w14:paraId="3C1915A6" w14:textId="77777777" w:rsidR="00733207" w:rsidRDefault="00733207">
      <w:pPr>
        <w:spacing w:before="120" w:after="120" w:line="360" w:lineRule="auto"/>
        <w:jc w:val="both"/>
        <w:rPr>
          <w:rFonts w:ascii="Rockwell" w:hAnsi="Rockwell" w:cs="Times New Roman"/>
          <w:sz w:val="26"/>
          <w:szCs w:val="26"/>
        </w:rPr>
      </w:pPr>
    </w:p>
    <w:p w14:paraId="29605753" w14:textId="77777777" w:rsidR="00733207" w:rsidRDefault="00733207">
      <w:pPr>
        <w:spacing w:before="120" w:after="120" w:line="360" w:lineRule="auto"/>
        <w:jc w:val="both"/>
        <w:rPr>
          <w:rFonts w:ascii="Rockwell" w:hAnsi="Rockwell" w:cs="Times New Roman"/>
          <w:sz w:val="26"/>
          <w:szCs w:val="26"/>
        </w:rPr>
      </w:pPr>
    </w:p>
    <w:p w14:paraId="7002D2B5" w14:textId="77777777" w:rsidR="00733207" w:rsidRDefault="00733207">
      <w:pPr>
        <w:spacing w:before="120" w:after="120" w:line="360" w:lineRule="auto"/>
        <w:jc w:val="both"/>
        <w:rPr>
          <w:rFonts w:ascii="Rockwell" w:hAnsi="Rockwell" w:cs="Times New Roman"/>
          <w:sz w:val="26"/>
          <w:szCs w:val="26"/>
        </w:rPr>
      </w:pPr>
    </w:p>
    <w:p w14:paraId="375A5580" w14:textId="77777777" w:rsidR="00733207" w:rsidRDefault="00733207">
      <w:pPr>
        <w:spacing w:before="120" w:after="120" w:line="360" w:lineRule="auto"/>
        <w:jc w:val="both"/>
        <w:rPr>
          <w:rFonts w:ascii="Rockwell" w:hAnsi="Rockwell" w:cs="Times New Roman"/>
          <w:sz w:val="26"/>
          <w:szCs w:val="26"/>
        </w:rPr>
      </w:pPr>
    </w:p>
    <w:p w14:paraId="1F8EF122" w14:textId="77777777" w:rsidR="00733207" w:rsidRDefault="00733207">
      <w:pPr>
        <w:spacing w:before="120" w:after="120" w:line="360" w:lineRule="auto"/>
        <w:jc w:val="both"/>
        <w:rPr>
          <w:rFonts w:ascii="Rockwell" w:hAnsi="Rockwell" w:cs="Times New Roman"/>
          <w:sz w:val="26"/>
          <w:szCs w:val="26"/>
        </w:rPr>
      </w:pPr>
    </w:p>
    <w:p w14:paraId="49C572D4" w14:textId="77777777" w:rsidR="00733207" w:rsidRDefault="00733207">
      <w:pPr>
        <w:spacing w:before="120" w:after="120" w:line="360" w:lineRule="auto"/>
        <w:jc w:val="both"/>
        <w:rPr>
          <w:rFonts w:ascii="Rockwell" w:hAnsi="Rockwell" w:cs="Times New Roman"/>
          <w:sz w:val="26"/>
          <w:szCs w:val="26"/>
        </w:rPr>
      </w:pPr>
    </w:p>
    <w:p w14:paraId="36D301D0" w14:textId="77777777" w:rsidR="00733207" w:rsidRDefault="00733207">
      <w:pPr>
        <w:spacing w:before="120" w:after="120" w:line="360" w:lineRule="auto"/>
        <w:jc w:val="both"/>
        <w:rPr>
          <w:rFonts w:ascii="Rockwell" w:hAnsi="Rockwell" w:cs="Times New Roman"/>
          <w:sz w:val="26"/>
          <w:szCs w:val="26"/>
        </w:rPr>
      </w:pPr>
    </w:p>
    <w:p w14:paraId="57F95763" w14:textId="77777777" w:rsidR="00733207" w:rsidRDefault="00733207">
      <w:pPr>
        <w:spacing w:before="120" w:after="120" w:line="360" w:lineRule="auto"/>
        <w:jc w:val="both"/>
        <w:rPr>
          <w:rFonts w:ascii="Rockwell" w:hAnsi="Rockwell" w:cs="Times New Roman"/>
          <w:sz w:val="26"/>
          <w:szCs w:val="26"/>
        </w:rPr>
      </w:pPr>
    </w:p>
    <w:p w14:paraId="139A4E1B" w14:textId="77777777" w:rsidR="00733207" w:rsidRDefault="00733207">
      <w:pPr>
        <w:spacing w:before="120" w:after="120" w:line="360" w:lineRule="auto"/>
        <w:jc w:val="both"/>
        <w:rPr>
          <w:rFonts w:ascii="Rockwell" w:hAnsi="Rockwell" w:cs="Times New Roman"/>
          <w:sz w:val="26"/>
          <w:szCs w:val="26"/>
        </w:rPr>
      </w:pPr>
    </w:p>
    <w:p w14:paraId="21B30CD2" w14:textId="77777777" w:rsidR="00733207" w:rsidRDefault="00912BAE">
      <w:pPr>
        <w:pStyle w:val="Titre1"/>
        <w:spacing w:before="120" w:after="120" w:line="360" w:lineRule="auto"/>
        <w:jc w:val="center"/>
        <w:rPr>
          <w:rFonts w:ascii="Rockwell" w:hAnsi="Rockwell"/>
          <w:b/>
          <w:color w:val="auto"/>
        </w:rPr>
      </w:pPr>
      <w:bookmarkStart w:id="577" w:name="_Toc169855246"/>
      <w:bookmarkStart w:id="578" w:name="_Toc175128602"/>
      <w:bookmarkStart w:id="579" w:name="_Toc169854398"/>
      <w:bookmarkStart w:id="580" w:name="_Toc170209359"/>
      <w:r>
        <w:rPr>
          <w:rFonts w:ascii="Rockwell" w:hAnsi="Rockwell"/>
          <w:b/>
          <w:color w:val="auto"/>
        </w:rPr>
        <w:t>CINQUIEME PARTIE : ACQUIS, PERSPECTIVES ET RECOMMANDATIONS</w:t>
      </w:r>
      <w:bookmarkEnd w:id="577"/>
      <w:bookmarkEnd w:id="578"/>
      <w:bookmarkEnd w:id="579"/>
      <w:bookmarkEnd w:id="580"/>
    </w:p>
    <w:p w14:paraId="6CFF91CE" w14:textId="77777777" w:rsidR="00733207" w:rsidRDefault="00733207">
      <w:pPr>
        <w:jc w:val="both"/>
        <w:rPr>
          <w:rFonts w:ascii="Rockwell" w:hAnsi="Rockwell"/>
        </w:rPr>
      </w:pPr>
    </w:p>
    <w:p w14:paraId="23896A8C" w14:textId="77777777" w:rsidR="00733207" w:rsidRDefault="00733207">
      <w:pPr>
        <w:spacing w:before="120" w:after="120" w:line="360" w:lineRule="auto"/>
        <w:jc w:val="both"/>
        <w:rPr>
          <w:rFonts w:ascii="Rockwell" w:hAnsi="Rockwell" w:cs="Times New Roman"/>
          <w:sz w:val="26"/>
          <w:szCs w:val="26"/>
        </w:rPr>
      </w:pPr>
    </w:p>
    <w:p w14:paraId="69C9471C" w14:textId="77777777" w:rsidR="00733207" w:rsidRDefault="00733207">
      <w:pPr>
        <w:spacing w:before="120" w:after="120" w:line="360" w:lineRule="auto"/>
        <w:jc w:val="both"/>
        <w:rPr>
          <w:rFonts w:ascii="Rockwell" w:hAnsi="Rockwell" w:cs="Times New Roman"/>
          <w:sz w:val="26"/>
          <w:szCs w:val="26"/>
        </w:rPr>
      </w:pPr>
    </w:p>
    <w:p w14:paraId="69B9FD99" w14:textId="77777777" w:rsidR="00733207" w:rsidRDefault="00733207">
      <w:pPr>
        <w:spacing w:before="120" w:after="120" w:line="360" w:lineRule="auto"/>
        <w:jc w:val="both"/>
        <w:rPr>
          <w:rFonts w:ascii="Rockwell" w:hAnsi="Rockwell" w:cs="Times New Roman"/>
          <w:sz w:val="26"/>
          <w:szCs w:val="26"/>
        </w:rPr>
      </w:pPr>
    </w:p>
    <w:p w14:paraId="1F42BD29" w14:textId="77777777" w:rsidR="00733207" w:rsidRDefault="00733207">
      <w:pPr>
        <w:spacing w:before="120" w:after="120" w:line="360" w:lineRule="auto"/>
        <w:jc w:val="both"/>
        <w:rPr>
          <w:rFonts w:ascii="Rockwell" w:hAnsi="Rockwell" w:cs="Times New Roman"/>
          <w:sz w:val="26"/>
          <w:szCs w:val="26"/>
        </w:rPr>
      </w:pPr>
    </w:p>
    <w:p w14:paraId="5E5F9AEB" w14:textId="77777777" w:rsidR="00733207" w:rsidRDefault="00733207">
      <w:pPr>
        <w:spacing w:before="120" w:after="120" w:line="360" w:lineRule="auto"/>
        <w:jc w:val="both"/>
        <w:rPr>
          <w:rFonts w:ascii="Rockwell" w:hAnsi="Rockwell" w:cs="Times New Roman"/>
          <w:sz w:val="26"/>
          <w:szCs w:val="26"/>
        </w:rPr>
      </w:pPr>
    </w:p>
    <w:p w14:paraId="14C71F16" w14:textId="77777777" w:rsidR="00733207" w:rsidRDefault="00733207">
      <w:pPr>
        <w:spacing w:before="120" w:after="120" w:line="360" w:lineRule="auto"/>
        <w:jc w:val="both"/>
        <w:rPr>
          <w:rFonts w:ascii="Rockwell" w:hAnsi="Rockwell" w:cs="Times New Roman"/>
          <w:sz w:val="26"/>
          <w:szCs w:val="26"/>
        </w:rPr>
      </w:pPr>
    </w:p>
    <w:p w14:paraId="3600502E" w14:textId="77777777" w:rsidR="00733207" w:rsidRDefault="00733207">
      <w:pPr>
        <w:spacing w:before="120" w:after="120" w:line="360" w:lineRule="auto"/>
        <w:jc w:val="both"/>
        <w:rPr>
          <w:rFonts w:ascii="Rockwell" w:hAnsi="Rockwell" w:cs="Times New Roman"/>
          <w:sz w:val="26"/>
          <w:szCs w:val="26"/>
        </w:rPr>
      </w:pPr>
    </w:p>
    <w:p w14:paraId="4510CF99" w14:textId="77777777" w:rsidR="00733207" w:rsidRDefault="00733207">
      <w:pPr>
        <w:spacing w:before="120" w:after="120" w:line="360" w:lineRule="auto"/>
        <w:jc w:val="both"/>
        <w:rPr>
          <w:rFonts w:ascii="Rockwell" w:hAnsi="Rockwell" w:cs="Times New Roman"/>
          <w:sz w:val="26"/>
          <w:szCs w:val="26"/>
        </w:rPr>
      </w:pPr>
    </w:p>
    <w:p w14:paraId="30F90716" w14:textId="77777777" w:rsidR="00733207" w:rsidRDefault="00733207">
      <w:pPr>
        <w:spacing w:before="120" w:after="120" w:line="360" w:lineRule="auto"/>
        <w:jc w:val="both"/>
        <w:rPr>
          <w:rFonts w:ascii="Rockwell" w:hAnsi="Rockwell" w:cs="Times New Roman"/>
          <w:sz w:val="26"/>
          <w:szCs w:val="26"/>
        </w:rPr>
      </w:pPr>
    </w:p>
    <w:p w14:paraId="5C919D0C" w14:textId="77777777" w:rsidR="00733207" w:rsidRDefault="00733207">
      <w:pPr>
        <w:spacing w:before="120" w:after="120" w:line="360" w:lineRule="auto"/>
        <w:jc w:val="both"/>
        <w:rPr>
          <w:rFonts w:ascii="Rockwell" w:hAnsi="Rockwell" w:cs="Times New Roman"/>
          <w:sz w:val="26"/>
          <w:szCs w:val="26"/>
        </w:rPr>
      </w:pPr>
    </w:p>
    <w:p w14:paraId="5942CF31" w14:textId="77777777" w:rsidR="00733207" w:rsidRDefault="00733207">
      <w:pPr>
        <w:spacing w:before="120" w:after="120" w:line="360" w:lineRule="auto"/>
        <w:jc w:val="both"/>
        <w:rPr>
          <w:rFonts w:ascii="Rockwell" w:hAnsi="Rockwell" w:cs="Times New Roman"/>
          <w:sz w:val="26"/>
          <w:szCs w:val="26"/>
        </w:rPr>
      </w:pPr>
    </w:p>
    <w:p w14:paraId="731371F9" w14:textId="77777777" w:rsidR="00733207" w:rsidRDefault="00912BAE">
      <w:pPr>
        <w:pStyle w:val="Titre2"/>
        <w:spacing w:before="120" w:after="120" w:line="360" w:lineRule="auto"/>
        <w:jc w:val="center"/>
        <w:rPr>
          <w:rFonts w:ascii="Rockwell" w:hAnsi="Rockwell"/>
          <w:b/>
          <w:color w:val="auto"/>
          <w:sz w:val="30"/>
          <w:szCs w:val="30"/>
        </w:rPr>
      </w:pPr>
      <w:bookmarkStart w:id="581" w:name="_Toc170209360"/>
      <w:bookmarkStart w:id="582" w:name="_Toc141088634"/>
      <w:bookmarkStart w:id="583" w:name="_Toc175128603"/>
      <w:bookmarkStart w:id="584" w:name="_Toc141088446"/>
      <w:bookmarkStart w:id="585" w:name="_Toc169855247"/>
      <w:bookmarkStart w:id="586" w:name="_Toc169854399"/>
      <w:r>
        <w:rPr>
          <w:rFonts w:ascii="Rockwell" w:hAnsi="Rockwell"/>
          <w:b/>
          <w:color w:val="auto"/>
          <w:sz w:val="30"/>
          <w:szCs w:val="30"/>
        </w:rPr>
        <w:lastRenderedPageBreak/>
        <w:t>CHAPITRE I : ACQUIS</w:t>
      </w:r>
      <w:bookmarkEnd w:id="581"/>
      <w:bookmarkEnd w:id="582"/>
      <w:bookmarkEnd w:id="583"/>
      <w:bookmarkEnd w:id="584"/>
      <w:bookmarkEnd w:id="585"/>
      <w:bookmarkEnd w:id="586"/>
    </w:p>
    <w:p w14:paraId="4C08623B" w14:textId="77777777" w:rsidR="00733207" w:rsidRDefault="00733207">
      <w:pPr>
        <w:spacing w:before="120" w:after="120" w:line="360" w:lineRule="auto"/>
        <w:jc w:val="both"/>
        <w:rPr>
          <w:rFonts w:ascii="Rockwell" w:hAnsi="Rockwell"/>
          <w:sz w:val="10"/>
          <w:szCs w:val="10"/>
        </w:rPr>
      </w:pPr>
    </w:p>
    <w:p w14:paraId="78AD462D" w14:textId="77777777" w:rsidR="00733207" w:rsidRDefault="00912BAE">
      <w:pPr>
        <w:widowControl w:val="0"/>
        <w:suppressAutoHyphens/>
        <w:spacing w:before="120" w:after="120" w:line="360" w:lineRule="auto"/>
        <w:jc w:val="both"/>
        <w:rPr>
          <w:rFonts w:ascii="Rockwell" w:eastAsia="Arial Narrow" w:hAnsi="Rockwell" w:cs="Times New Roman"/>
          <w:sz w:val="26"/>
          <w:szCs w:val="26"/>
        </w:rPr>
      </w:pPr>
      <w:r>
        <w:rPr>
          <w:rFonts w:ascii="Rockwell" w:eastAsia="Arial Narrow" w:hAnsi="Rockwell" w:cs="Times New Roman"/>
          <w:sz w:val="26"/>
          <w:szCs w:val="26"/>
        </w:rPr>
        <w:t>En dépit des nombreuses difficultés qui ont jalonné le parcours du CSC en 2023, des acquis ont été engrangés.</w:t>
      </w:r>
    </w:p>
    <w:p w14:paraId="2A6A16E6" w14:textId="77777777" w:rsidR="00733207" w:rsidRDefault="00733207">
      <w:pPr>
        <w:widowControl w:val="0"/>
        <w:suppressAutoHyphens/>
        <w:spacing w:before="120" w:after="120" w:line="360" w:lineRule="auto"/>
        <w:jc w:val="both"/>
        <w:rPr>
          <w:rFonts w:ascii="Rockwell" w:eastAsia="Arial Narrow" w:hAnsi="Rockwell" w:cs="Times New Roman"/>
          <w:sz w:val="26"/>
          <w:szCs w:val="26"/>
        </w:rPr>
      </w:pPr>
    </w:p>
    <w:p w14:paraId="42FD346B" w14:textId="77777777" w:rsidR="00733207" w:rsidRDefault="00733207">
      <w:pPr>
        <w:widowControl w:val="0"/>
        <w:suppressAutoHyphens/>
        <w:spacing w:before="120" w:after="120" w:line="360" w:lineRule="auto"/>
        <w:jc w:val="both"/>
        <w:rPr>
          <w:rFonts w:ascii="Rockwell" w:eastAsia="Arial Narrow" w:hAnsi="Rockwell" w:cs="Times New Roman"/>
          <w:sz w:val="10"/>
          <w:szCs w:val="10"/>
        </w:rPr>
      </w:pPr>
    </w:p>
    <w:p w14:paraId="06D0D5ED" w14:textId="77777777" w:rsidR="00733207" w:rsidRPr="000841A2" w:rsidRDefault="00912BAE">
      <w:pPr>
        <w:pStyle w:val="Titre3"/>
        <w:spacing w:before="120" w:after="120" w:line="360" w:lineRule="auto"/>
        <w:jc w:val="both"/>
        <w:rPr>
          <w:rFonts w:ascii="Rockwell" w:eastAsia="Arial Narrow" w:hAnsi="Rockwell"/>
          <w:b/>
          <w:i/>
          <w:color w:val="auto"/>
          <w:sz w:val="28"/>
          <w:szCs w:val="28"/>
        </w:rPr>
      </w:pPr>
      <w:bookmarkStart w:id="587" w:name="_Toc169855248"/>
      <w:bookmarkStart w:id="588" w:name="_Toc169854400"/>
      <w:bookmarkStart w:id="589" w:name="_Toc175128604"/>
      <w:bookmarkStart w:id="590" w:name="_Toc170209361"/>
      <w:r w:rsidRPr="000841A2">
        <w:rPr>
          <w:rFonts w:ascii="Rockwell" w:eastAsia="Arial Narrow" w:hAnsi="Rockwell"/>
          <w:b/>
          <w:i/>
          <w:color w:val="auto"/>
          <w:sz w:val="28"/>
          <w:szCs w:val="28"/>
        </w:rPr>
        <w:t>SECTION 1 : ACQUIS D’ORDRE ADMINISTRATIF ET ORGANISATIONNEL</w:t>
      </w:r>
      <w:bookmarkEnd w:id="587"/>
      <w:bookmarkEnd w:id="588"/>
      <w:bookmarkEnd w:id="589"/>
      <w:bookmarkEnd w:id="590"/>
    </w:p>
    <w:p w14:paraId="14AB8B8A" w14:textId="77777777" w:rsidR="00733207" w:rsidRDefault="00733207">
      <w:pPr>
        <w:rPr>
          <w:sz w:val="10"/>
          <w:szCs w:val="10"/>
        </w:rPr>
      </w:pPr>
    </w:p>
    <w:p w14:paraId="1414E794" w14:textId="77777777" w:rsidR="00733207" w:rsidRDefault="00733207">
      <w:pPr>
        <w:spacing w:before="120" w:after="120" w:line="360" w:lineRule="auto"/>
        <w:jc w:val="both"/>
        <w:rPr>
          <w:rFonts w:ascii="Rockwell" w:hAnsi="Rockwell"/>
          <w:sz w:val="10"/>
          <w:szCs w:val="10"/>
        </w:rPr>
      </w:pPr>
    </w:p>
    <w:p w14:paraId="0104E652" w14:textId="77777777" w:rsidR="00733207" w:rsidRDefault="00912BAE">
      <w:pPr>
        <w:spacing w:before="120" w:after="120" w:line="360" w:lineRule="auto"/>
        <w:jc w:val="both"/>
        <w:rPr>
          <w:rFonts w:ascii="Rockwell" w:hAnsi="Rockwell"/>
          <w:sz w:val="26"/>
          <w:szCs w:val="26"/>
        </w:rPr>
      </w:pPr>
      <w:r>
        <w:rPr>
          <w:rFonts w:ascii="Rockwell" w:hAnsi="Rockwell"/>
          <w:sz w:val="26"/>
          <w:szCs w:val="26"/>
        </w:rPr>
        <w:t>Au titre des acquis d’ordre administratif et organisationnel, l’on peut retenir :</w:t>
      </w:r>
    </w:p>
    <w:p w14:paraId="34048B31" w14:textId="77777777" w:rsidR="00733207" w:rsidRDefault="00733207">
      <w:pPr>
        <w:widowControl w:val="0"/>
        <w:suppressAutoHyphens/>
        <w:spacing w:before="120" w:after="120" w:line="360" w:lineRule="auto"/>
        <w:jc w:val="both"/>
        <w:rPr>
          <w:rFonts w:ascii="Rockwell" w:eastAsia="Arial Narrow" w:hAnsi="Rockwell" w:cs="Times New Roman"/>
          <w:sz w:val="10"/>
          <w:szCs w:val="10"/>
        </w:rPr>
      </w:pPr>
    </w:p>
    <w:p w14:paraId="2D5CA182" w14:textId="77777777" w:rsidR="00733207" w:rsidRDefault="00912BAE">
      <w:pPr>
        <w:pStyle w:val="Paragraphedeliste"/>
        <w:widowControl w:val="0"/>
        <w:numPr>
          <w:ilvl w:val="0"/>
          <w:numId w:val="35"/>
        </w:numPr>
        <w:suppressAutoHyphens/>
        <w:spacing w:before="120" w:after="120" w:line="360" w:lineRule="auto"/>
        <w:jc w:val="both"/>
        <w:rPr>
          <w:rFonts w:ascii="Rockwell" w:eastAsia="Arial Narrow" w:hAnsi="Rockwell" w:cs="Times New Roman"/>
          <w:sz w:val="26"/>
          <w:szCs w:val="26"/>
        </w:rPr>
      </w:pPr>
      <w:proofErr w:type="gramStart"/>
      <w:r>
        <w:rPr>
          <w:rFonts w:ascii="Rockwell" w:eastAsia="Arial Narrow" w:hAnsi="Rockwell" w:cs="Times New Roman"/>
          <w:sz w:val="26"/>
          <w:szCs w:val="26"/>
        </w:rPr>
        <w:t>l’élaboration</w:t>
      </w:r>
      <w:proofErr w:type="gramEnd"/>
      <w:r>
        <w:rPr>
          <w:rFonts w:ascii="Rockwell" w:eastAsia="Arial Narrow" w:hAnsi="Rockwell" w:cs="Times New Roman"/>
          <w:sz w:val="26"/>
          <w:szCs w:val="26"/>
        </w:rPr>
        <w:t xml:space="preserve"> et l’adoption du plan stratégique 2024-2028 du CSC ;</w:t>
      </w:r>
    </w:p>
    <w:p w14:paraId="55ACBAE0" w14:textId="77777777" w:rsidR="00733207" w:rsidRDefault="00733207">
      <w:pPr>
        <w:pStyle w:val="Paragraphedeliste"/>
        <w:spacing w:before="120" w:after="120" w:line="360" w:lineRule="auto"/>
        <w:jc w:val="both"/>
        <w:rPr>
          <w:rFonts w:ascii="Rockwell" w:hAnsi="Rockwell"/>
          <w:sz w:val="26"/>
          <w:szCs w:val="26"/>
        </w:rPr>
      </w:pPr>
    </w:p>
    <w:p w14:paraId="5E89FFDF" w14:textId="77777777" w:rsidR="00733207" w:rsidRDefault="00912BAE">
      <w:pPr>
        <w:pStyle w:val="Paragraphedeliste"/>
        <w:numPr>
          <w:ilvl w:val="0"/>
          <w:numId w:val="35"/>
        </w:numPr>
        <w:spacing w:before="120" w:after="120" w:line="360" w:lineRule="auto"/>
        <w:jc w:val="both"/>
        <w:rPr>
          <w:rFonts w:ascii="Rockwell" w:hAnsi="Rockwell"/>
          <w:sz w:val="26"/>
          <w:szCs w:val="26"/>
        </w:rPr>
      </w:pPr>
      <w:proofErr w:type="gramStart"/>
      <w:r>
        <w:rPr>
          <w:rFonts w:ascii="Rockwell" w:hAnsi="Rockwell"/>
          <w:sz w:val="26"/>
          <w:szCs w:val="26"/>
        </w:rPr>
        <w:t>l’adoption</w:t>
      </w:r>
      <w:proofErr w:type="gramEnd"/>
      <w:r>
        <w:rPr>
          <w:rFonts w:ascii="Rockwell" w:hAnsi="Rockwell"/>
          <w:sz w:val="26"/>
          <w:szCs w:val="26"/>
        </w:rPr>
        <w:t xml:space="preserve"> de la nouvelle loi organique n°041-2023/ALT du 21 novembre  2023 portant attributions, composition, organisation et fonctionnement du Conseil supérieur de la communication. Cette nouvelle loi élargit le champ de compétences du CSC en prenant en compte les réseaux sociaux. Elle affirme plus clairement la compétence matérielle du CSC dans la résolution des litiges entre les acteurs du secteur de la communication. Elle renforce également les modalités de contrôle des acteurs médiatiques par le CSC. En outre, elle renforce les prérogatives de l’institution en matière d’enquêtes sur le terrain avec la possibilité de poser des actes relevant en principe de l’autorité judiciaire, sous le couvert de cette dernière. Elle élargit aussi les pouvoirs de sanctions du CSC aux journalistes et animateurs en cas de manquements à la loi, à l’éthique ou à la déontologie. Enfin, elle prévoit de nouvelles sanctions à l’encontre des médias contre toute violation de dispositions législatives et réglementaires du domaine de compétence du CSC ; </w:t>
      </w:r>
    </w:p>
    <w:p w14:paraId="6F2A0419" w14:textId="77777777" w:rsidR="00733207" w:rsidRDefault="00912BAE">
      <w:pPr>
        <w:pStyle w:val="Paragraphedeliste"/>
        <w:widowControl w:val="0"/>
        <w:numPr>
          <w:ilvl w:val="0"/>
          <w:numId w:val="35"/>
        </w:numPr>
        <w:suppressAutoHyphens/>
        <w:spacing w:before="120" w:after="120" w:line="360" w:lineRule="auto"/>
        <w:jc w:val="both"/>
        <w:rPr>
          <w:rFonts w:ascii="Rockwell" w:eastAsia="Arial Narrow" w:hAnsi="Rockwell" w:cs="Times New Roman"/>
          <w:sz w:val="26"/>
          <w:szCs w:val="26"/>
        </w:rPr>
      </w:pPr>
      <w:proofErr w:type="gramStart"/>
      <w:r>
        <w:rPr>
          <w:rFonts w:ascii="Rockwell" w:hAnsi="Rockwell"/>
          <w:sz w:val="26"/>
          <w:szCs w:val="26"/>
        </w:rPr>
        <w:t>l’élaboration</w:t>
      </w:r>
      <w:proofErr w:type="gramEnd"/>
      <w:r>
        <w:rPr>
          <w:rFonts w:ascii="Rockwell" w:hAnsi="Rockwell"/>
          <w:sz w:val="26"/>
          <w:szCs w:val="26"/>
        </w:rPr>
        <w:t xml:space="preserve"> et l’adoption d’instruments de sensibilisation à une bonne  </w:t>
      </w:r>
      <w:r>
        <w:rPr>
          <w:rFonts w:ascii="Rockwell" w:hAnsi="Rockwell"/>
          <w:sz w:val="26"/>
          <w:szCs w:val="26"/>
        </w:rPr>
        <w:lastRenderedPageBreak/>
        <w:t>utilisation des réseaux sociaux et des émissions d’expression directe</w:t>
      </w:r>
      <w:r>
        <w:rPr>
          <w:rStyle w:val="Appelnotedebasdep"/>
          <w:rFonts w:ascii="Rockwell" w:hAnsi="Rockwell"/>
          <w:sz w:val="26"/>
          <w:szCs w:val="26"/>
        </w:rPr>
        <w:footnoteReference w:id="10"/>
      </w:r>
      <w:r>
        <w:rPr>
          <w:rFonts w:ascii="Rockwell" w:hAnsi="Rockwell"/>
          <w:sz w:val="26"/>
          <w:szCs w:val="26"/>
        </w:rPr>
        <w:t> .</w:t>
      </w:r>
    </w:p>
    <w:p w14:paraId="39EC171D" w14:textId="77777777" w:rsidR="00733207" w:rsidRDefault="00733207">
      <w:pPr>
        <w:pStyle w:val="Paragraphedeliste"/>
        <w:widowControl w:val="0"/>
        <w:suppressAutoHyphens/>
        <w:spacing w:before="120" w:after="120" w:line="360" w:lineRule="auto"/>
        <w:ind w:left="435"/>
        <w:jc w:val="both"/>
        <w:rPr>
          <w:rFonts w:ascii="Rockwell" w:hAnsi="Rockwell"/>
          <w:sz w:val="26"/>
          <w:szCs w:val="26"/>
        </w:rPr>
      </w:pPr>
    </w:p>
    <w:p w14:paraId="313F79E5" w14:textId="77777777" w:rsidR="00733207" w:rsidRDefault="00733207">
      <w:pPr>
        <w:pStyle w:val="Paragraphedeliste"/>
        <w:widowControl w:val="0"/>
        <w:suppressAutoHyphens/>
        <w:spacing w:before="120" w:after="120" w:line="360" w:lineRule="auto"/>
        <w:ind w:left="435"/>
        <w:jc w:val="both"/>
        <w:rPr>
          <w:rFonts w:ascii="Rockwell" w:eastAsia="Arial Narrow" w:hAnsi="Rockwell" w:cs="Times New Roman"/>
          <w:sz w:val="26"/>
          <w:szCs w:val="26"/>
        </w:rPr>
      </w:pPr>
    </w:p>
    <w:p w14:paraId="6B340F2B" w14:textId="77777777" w:rsidR="00733207" w:rsidRPr="000841A2" w:rsidRDefault="00912BAE">
      <w:pPr>
        <w:pStyle w:val="Titre3"/>
        <w:spacing w:before="120" w:after="120" w:line="360" w:lineRule="auto"/>
        <w:jc w:val="center"/>
        <w:rPr>
          <w:rFonts w:ascii="Rockwell" w:eastAsia="Arial Narrow" w:hAnsi="Rockwell"/>
          <w:b/>
          <w:i/>
          <w:color w:val="auto"/>
          <w:sz w:val="28"/>
          <w:szCs w:val="28"/>
        </w:rPr>
      </w:pPr>
      <w:bookmarkStart w:id="591" w:name="_Toc169855249"/>
      <w:bookmarkStart w:id="592" w:name="_Toc175128605"/>
      <w:bookmarkStart w:id="593" w:name="_Toc169854401"/>
      <w:bookmarkStart w:id="594" w:name="_Toc170209362"/>
      <w:r w:rsidRPr="000841A2">
        <w:rPr>
          <w:rFonts w:ascii="Rockwell" w:eastAsia="Arial Narrow" w:hAnsi="Rockwell"/>
          <w:b/>
          <w:i/>
          <w:color w:val="auto"/>
          <w:sz w:val="28"/>
          <w:szCs w:val="28"/>
        </w:rPr>
        <w:t>SECTION 2 : ACQUIS D’ORDRE MATERIEL ET TECHNOLOGIQUE</w:t>
      </w:r>
      <w:bookmarkEnd w:id="591"/>
      <w:bookmarkEnd w:id="592"/>
      <w:bookmarkEnd w:id="593"/>
      <w:bookmarkEnd w:id="594"/>
    </w:p>
    <w:p w14:paraId="4736E1AD" w14:textId="77777777" w:rsidR="00733207" w:rsidRDefault="00733207">
      <w:pPr>
        <w:widowControl w:val="0"/>
        <w:suppressAutoHyphens/>
        <w:spacing w:before="120" w:after="120" w:line="360" w:lineRule="auto"/>
        <w:jc w:val="both"/>
        <w:rPr>
          <w:rFonts w:ascii="Rockwell" w:eastAsia="Arial Narrow" w:hAnsi="Rockwell" w:cs="Times New Roman"/>
          <w:b/>
          <w:sz w:val="10"/>
          <w:szCs w:val="10"/>
        </w:rPr>
      </w:pPr>
    </w:p>
    <w:p w14:paraId="1F7C89D5" w14:textId="589174A9" w:rsidR="00733207" w:rsidRDefault="00912BAE">
      <w:pPr>
        <w:widowControl w:val="0"/>
        <w:suppressAutoHyphens/>
        <w:spacing w:before="120" w:after="120" w:line="360" w:lineRule="auto"/>
        <w:jc w:val="both"/>
        <w:rPr>
          <w:rFonts w:ascii="Rockwell" w:eastAsia="Arial Narrow" w:hAnsi="Rockwell" w:cs="Times New Roman"/>
          <w:sz w:val="26"/>
          <w:szCs w:val="26"/>
        </w:rPr>
      </w:pPr>
      <w:r>
        <w:rPr>
          <w:rFonts w:ascii="Rockwell" w:eastAsia="Arial Narrow" w:hAnsi="Rockwell" w:cs="Times New Roman"/>
          <w:sz w:val="26"/>
          <w:szCs w:val="26"/>
        </w:rPr>
        <w:t xml:space="preserve">Outre les acquis ci-dessus, le CSC a engrangé des acquis matériels et technologiques. </w:t>
      </w:r>
      <w:r w:rsidR="000841A2">
        <w:rPr>
          <w:rFonts w:ascii="Rockwell" w:eastAsia="Arial Narrow" w:hAnsi="Rockwell" w:cs="Times New Roman"/>
          <w:sz w:val="26"/>
          <w:szCs w:val="26"/>
        </w:rPr>
        <w:t>Ce sont</w:t>
      </w:r>
      <w:r>
        <w:rPr>
          <w:rFonts w:ascii="Rockwell" w:eastAsia="Arial Narrow" w:hAnsi="Rockwell" w:cs="Times New Roman"/>
          <w:sz w:val="26"/>
          <w:szCs w:val="26"/>
        </w:rPr>
        <w:t xml:space="preserve"> notamment :</w:t>
      </w:r>
    </w:p>
    <w:p w14:paraId="07C07E02" w14:textId="77777777" w:rsidR="00733207" w:rsidRDefault="00733207">
      <w:pPr>
        <w:widowControl w:val="0"/>
        <w:suppressAutoHyphens/>
        <w:spacing w:before="120" w:after="120" w:line="360" w:lineRule="auto"/>
        <w:jc w:val="both"/>
        <w:rPr>
          <w:rFonts w:ascii="Rockwell" w:eastAsia="Arial Narrow" w:hAnsi="Rockwell" w:cs="Times New Roman"/>
          <w:b/>
          <w:sz w:val="10"/>
          <w:szCs w:val="10"/>
        </w:rPr>
      </w:pPr>
    </w:p>
    <w:p w14:paraId="7EAECD18" w14:textId="77777777" w:rsidR="00733207" w:rsidRDefault="00912BAE">
      <w:pPr>
        <w:pStyle w:val="Paragraphedeliste"/>
        <w:widowControl w:val="0"/>
        <w:numPr>
          <w:ilvl w:val="0"/>
          <w:numId w:val="48"/>
        </w:numPr>
        <w:suppressAutoHyphens/>
        <w:spacing w:before="120" w:after="120" w:line="360" w:lineRule="auto"/>
        <w:jc w:val="both"/>
        <w:rPr>
          <w:rFonts w:ascii="Rockwell" w:hAnsi="Rockwell"/>
          <w:sz w:val="26"/>
          <w:szCs w:val="26"/>
        </w:rPr>
      </w:pPr>
      <w:proofErr w:type="gramStart"/>
      <w:r>
        <w:rPr>
          <w:rFonts w:ascii="Rockwell" w:eastAsia="Arial Narrow" w:hAnsi="Rockwell" w:cs="Times New Roman"/>
          <w:sz w:val="26"/>
          <w:szCs w:val="26"/>
        </w:rPr>
        <w:t>le</w:t>
      </w:r>
      <w:proofErr w:type="gramEnd"/>
      <w:r>
        <w:rPr>
          <w:rFonts w:ascii="Rockwell" w:eastAsia="Arial Narrow" w:hAnsi="Rockwell" w:cs="Times New Roman"/>
          <w:sz w:val="26"/>
          <w:szCs w:val="26"/>
        </w:rPr>
        <w:t xml:space="preserve"> déploiement du système HACA Media Solution (HMS) dans les délégations régionales du CSC. En effet, après Ouagadougou en décembre 2019, ce système a été implémenté à la délégation régionale de l’Ouest, à Bobo Dioulasso et à celle de l’Est, à Fada N’Gourma ; </w:t>
      </w:r>
    </w:p>
    <w:p w14:paraId="12FEFEAB" w14:textId="77777777" w:rsidR="00733207" w:rsidRDefault="00733207">
      <w:pPr>
        <w:pStyle w:val="Paragraphedeliste"/>
        <w:widowControl w:val="0"/>
        <w:suppressAutoHyphens/>
        <w:spacing w:before="120" w:after="120" w:line="360" w:lineRule="auto"/>
        <w:jc w:val="both"/>
        <w:rPr>
          <w:rFonts w:ascii="Rockwell" w:hAnsi="Rockwell"/>
          <w:sz w:val="10"/>
          <w:szCs w:val="10"/>
        </w:rPr>
      </w:pPr>
    </w:p>
    <w:p w14:paraId="5B7C9DCB" w14:textId="77777777" w:rsidR="00733207" w:rsidRDefault="00912BAE">
      <w:pPr>
        <w:pStyle w:val="Paragraphedeliste"/>
        <w:widowControl w:val="0"/>
        <w:numPr>
          <w:ilvl w:val="0"/>
          <w:numId w:val="48"/>
        </w:numPr>
        <w:suppressAutoHyphens/>
        <w:spacing w:before="120" w:after="120" w:line="360" w:lineRule="auto"/>
        <w:jc w:val="both"/>
        <w:rPr>
          <w:rFonts w:ascii="Rockwell" w:hAnsi="Rockwell"/>
          <w:sz w:val="26"/>
          <w:szCs w:val="26"/>
        </w:rPr>
      </w:pPr>
      <w:proofErr w:type="gramStart"/>
      <w:r>
        <w:rPr>
          <w:rFonts w:ascii="Rockwell" w:hAnsi="Rockwell"/>
          <w:sz w:val="26"/>
          <w:szCs w:val="26"/>
        </w:rPr>
        <w:t>le</w:t>
      </w:r>
      <w:proofErr w:type="gramEnd"/>
      <w:r>
        <w:rPr>
          <w:rFonts w:ascii="Rockwell" w:hAnsi="Rockwell"/>
          <w:sz w:val="26"/>
          <w:szCs w:val="26"/>
        </w:rPr>
        <w:t xml:space="preserve"> lancement du nouveau site web du CSC. Ce site offre l’opportunité aux citoyens de saisir directement l’institution ou d’interagir sur des questions relatives à la régulation ;</w:t>
      </w:r>
    </w:p>
    <w:p w14:paraId="56BE4D03" w14:textId="77777777" w:rsidR="00733207" w:rsidRDefault="00733207">
      <w:pPr>
        <w:pStyle w:val="Paragraphedeliste"/>
        <w:widowControl w:val="0"/>
        <w:suppressAutoHyphens/>
        <w:spacing w:before="120" w:after="120" w:line="360" w:lineRule="auto"/>
        <w:jc w:val="both"/>
        <w:rPr>
          <w:rFonts w:ascii="Rockwell" w:hAnsi="Rockwell"/>
          <w:sz w:val="10"/>
          <w:szCs w:val="10"/>
        </w:rPr>
      </w:pPr>
    </w:p>
    <w:p w14:paraId="5D9D44E1" w14:textId="77777777" w:rsidR="00733207" w:rsidRDefault="00912BAE">
      <w:pPr>
        <w:pStyle w:val="Paragraphedeliste"/>
        <w:widowControl w:val="0"/>
        <w:numPr>
          <w:ilvl w:val="0"/>
          <w:numId w:val="48"/>
        </w:numPr>
        <w:suppressAutoHyphens/>
        <w:spacing w:before="120" w:after="120" w:line="360" w:lineRule="auto"/>
        <w:jc w:val="both"/>
        <w:rPr>
          <w:rFonts w:ascii="Rockwell" w:hAnsi="Rockwell"/>
          <w:sz w:val="26"/>
          <w:szCs w:val="26"/>
        </w:rPr>
      </w:pPr>
      <w:proofErr w:type="gramStart"/>
      <w:r>
        <w:rPr>
          <w:rFonts w:ascii="Rockwell" w:hAnsi="Rockwell"/>
          <w:sz w:val="26"/>
          <w:szCs w:val="26"/>
        </w:rPr>
        <w:t>la</w:t>
      </w:r>
      <w:proofErr w:type="gramEnd"/>
      <w:r>
        <w:rPr>
          <w:rFonts w:ascii="Rockwell" w:hAnsi="Rockwell"/>
          <w:sz w:val="26"/>
          <w:szCs w:val="26"/>
        </w:rPr>
        <w:t xml:space="preserve"> mise au point du système Bitrix24 qui </w:t>
      </w:r>
      <w:r>
        <w:rPr>
          <w:rFonts w:ascii="Rockwell" w:hAnsi="Rockwell" w:cs="Times New Roman"/>
          <w:sz w:val="26"/>
          <w:szCs w:val="26"/>
        </w:rPr>
        <w:t xml:space="preserve">est une plateforme de collaboration qui permet une meilleure organisation, individuelle ou collective, du travail et offre des espaces sécurisés sur un serveur dédié ; </w:t>
      </w:r>
    </w:p>
    <w:p w14:paraId="75684EF1" w14:textId="77777777" w:rsidR="00733207" w:rsidRDefault="00733207">
      <w:pPr>
        <w:pStyle w:val="Paragraphedeliste"/>
        <w:spacing w:before="120" w:after="120" w:line="360" w:lineRule="auto"/>
        <w:jc w:val="both"/>
        <w:rPr>
          <w:rFonts w:ascii="Rockwell" w:hAnsi="Rockwell"/>
          <w:sz w:val="10"/>
          <w:szCs w:val="10"/>
        </w:rPr>
      </w:pPr>
    </w:p>
    <w:p w14:paraId="3DA96046" w14:textId="77777777" w:rsidR="00733207" w:rsidRDefault="00912BAE">
      <w:pPr>
        <w:pStyle w:val="Paragraphedeliste"/>
        <w:widowControl w:val="0"/>
        <w:numPr>
          <w:ilvl w:val="0"/>
          <w:numId w:val="48"/>
        </w:numPr>
        <w:suppressAutoHyphens/>
        <w:spacing w:before="120" w:after="120" w:line="360" w:lineRule="auto"/>
        <w:jc w:val="both"/>
        <w:rPr>
          <w:rFonts w:ascii="Rockwell" w:hAnsi="Rockwell"/>
          <w:sz w:val="26"/>
          <w:szCs w:val="26"/>
        </w:rPr>
      </w:pPr>
      <w:proofErr w:type="gramStart"/>
      <w:r>
        <w:rPr>
          <w:rFonts w:ascii="Rockwell" w:hAnsi="Rockwell"/>
          <w:sz w:val="26"/>
          <w:szCs w:val="26"/>
        </w:rPr>
        <w:t>l’inauguration</w:t>
      </w:r>
      <w:proofErr w:type="gramEnd"/>
      <w:r>
        <w:rPr>
          <w:rFonts w:ascii="Rockwell" w:hAnsi="Rockwell"/>
          <w:sz w:val="26"/>
          <w:szCs w:val="26"/>
        </w:rPr>
        <w:t xml:space="preserve"> de la Délégation Régionale du Nord du CSC (DRN), le 20 juillet 2023. Cette nouvelle infrastructure acquise grâce à la coopération japonaise permettra de rapprocher davantage l’institution des acteurs de l’information et de la communication ainsi que des populations ;</w:t>
      </w:r>
    </w:p>
    <w:p w14:paraId="25DF267D" w14:textId="77777777" w:rsidR="00733207" w:rsidRDefault="00733207">
      <w:pPr>
        <w:pStyle w:val="Paragraphedeliste"/>
        <w:spacing w:before="120" w:after="120" w:line="360" w:lineRule="auto"/>
        <w:jc w:val="both"/>
        <w:rPr>
          <w:rFonts w:ascii="Rockwell" w:hAnsi="Rockwell"/>
          <w:sz w:val="10"/>
          <w:szCs w:val="10"/>
        </w:rPr>
      </w:pPr>
    </w:p>
    <w:p w14:paraId="7CD440B4" w14:textId="503B9CB9" w:rsidR="00733207" w:rsidRDefault="000841A2">
      <w:pPr>
        <w:pStyle w:val="Paragraphedeliste"/>
        <w:widowControl w:val="0"/>
        <w:numPr>
          <w:ilvl w:val="0"/>
          <w:numId w:val="48"/>
        </w:numPr>
        <w:suppressAutoHyphens/>
        <w:spacing w:before="120" w:after="120" w:line="360" w:lineRule="auto"/>
        <w:jc w:val="both"/>
        <w:rPr>
          <w:rFonts w:ascii="Rockwell" w:hAnsi="Rockwell"/>
          <w:sz w:val="26"/>
          <w:szCs w:val="26"/>
        </w:rPr>
      </w:pPr>
      <w:proofErr w:type="gramStart"/>
      <w:r>
        <w:rPr>
          <w:rFonts w:ascii="Rockwell" w:hAnsi="Rockwell" w:cs="Times New Roman"/>
          <w:sz w:val="26"/>
          <w:szCs w:val="26"/>
        </w:rPr>
        <w:t>l’</w:t>
      </w:r>
      <w:r w:rsidR="00912BAE">
        <w:rPr>
          <w:rFonts w:ascii="Rockwell" w:hAnsi="Rockwell" w:cs="Times New Roman"/>
          <w:sz w:val="26"/>
          <w:szCs w:val="26"/>
        </w:rPr>
        <w:t>acquisition</w:t>
      </w:r>
      <w:proofErr w:type="gramEnd"/>
      <w:r w:rsidR="00912BAE">
        <w:rPr>
          <w:rFonts w:ascii="Rockwell" w:hAnsi="Rockwell" w:cs="Times New Roman"/>
          <w:sz w:val="26"/>
          <w:szCs w:val="26"/>
        </w:rPr>
        <w:t xml:space="preserve"> d’un terrain en vue de la construction de la Délégation Régionale du Centre-Ouest du CSC à Koudougou. </w:t>
      </w:r>
    </w:p>
    <w:p w14:paraId="75C33B8A" w14:textId="77777777" w:rsidR="00733207" w:rsidRDefault="00733207">
      <w:pPr>
        <w:pStyle w:val="Paragraphedeliste"/>
        <w:spacing w:before="120" w:after="120" w:line="360" w:lineRule="auto"/>
        <w:jc w:val="both"/>
        <w:rPr>
          <w:rFonts w:ascii="Rockwell" w:hAnsi="Rockwell"/>
          <w:sz w:val="26"/>
          <w:szCs w:val="26"/>
        </w:rPr>
      </w:pPr>
    </w:p>
    <w:p w14:paraId="051D94BD" w14:textId="77777777" w:rsidR="00733207" w:rsidRDefault="00733207">
      <w:pPr>
        <w:pStyle w:val="Paragraphedeliste"/>
        <w:widowControl w:val="0"/>
        <w:suppressAutoHyphens/>
        <w:spacing w:before="120" w:after="120" w:line="360" w:lineRule="auto"/>
        <w:jc w:val="both"/>
        <w:rPr>
          <w:rFonts w:ascii="Rockwell" w:hAnsi="Rockwell"/>
          <w:sz w:val="26"/>
          <w:szCs w:val="26"/>
        </w:rPr>
        <w:sectPr w:rsidR="00733207">
          <w:footerReference w:type="default" r:id="rId66"/>
          <w:pgSz w:w="11906" w:h="16838"/>
          <w:pgMar w:top="1417" w:right="1417" w:bottom="1417" w:left="1417" w:header="708" w:footer="708" w:gutter="0"/>
          <w:cols w:space="708"/>
          <w:docGrid w:linePitch="360"/>
        </w:sectPr>
      </w:pPr>
    </w:p>
    <w:p w14:paraId="11339E53" w14:textId="77777777" w:rsidR="00733207" w:rsidRDefault="00912BAE">
      <w:pPr>
        <w:pStyle w:val="Titre2"/>
        <w:spacing w:before="240" w:after="240"/>
        <w:jc w:val="center"/>
        <w:rPr>
          <w:rFonts w:ascii="Rockwell" w:hAnsi="Rockwell"/>
          <w:b/>
          <w:color w:val="auto"/>
          <w:sz w:val="30"/>
          <w:szCs w:val="30"/>
        </w:rPr>
      </w:pPr>
      <w:bookmarkStart w:id="595" w:name="_Toc169854402"/>
      <w:bookmarkStart w:id="596" w:name="_Toc170209363"/>
      <w:bookmarkStart w:id="597" w:name="_Toc175128606"/>
      <w:bookmarkStart w:id="598" w:name="_Toc169855250"/>
      <w:r>
        <w:rPr>
          <w:rFonts w:ascii="Rockwell" w:hAnsi="Rockwell"/>
          <w:b/>
          <w:color w:val="auto"/>
          <w:sz w:val="30"/>
          <w:szCs w:val="30"/>
        </w:rPr>
        <w:lastRenderedPageBreak/>
        <w:t>CHAPITRE II : PERSPECTIVES ET RECOMMANDATIONS</w:t>
      </w:r>
      <w:bookmarkEnd w:id="595"/>
      <w:bookmarkEnd w:id="596"/>
      <w:bookmarkEnd w:id="597"/>
      <w:bookmarkEnd w:id="598"/>
    </w:p>
    <w:p w14:paraId="044D8A9B" w14:textId="77777777" w:rsidR="00733207" w:rsidRDefault="00733207">
      <w:pPr>
        <w:spacing w:before="240" w:after="240"/>
        <w:jc w:val="both"/>
        <w:rPr>
          <w:rFonts w:ascii="Rockwell" w:hAnsi="Rockwell"/>
        </w:rPr>
      </w:pPr>
    </w:p>
    <w:p w14:paraId="2DCB157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Il n’est pas toujours évident de réaliser dans les délais prévus, toutes les activités ou actions programmées ou souhaitées. C’est pourquoi, au bilan, la nécessité s’impose de les revisiter pour consolider certaines et poursuivre la réalisation des autres. Ainsi, un certain nombre de perspectives ont été relevées et des recommandations proposées.</w:t>
      </w:r>
    </w:p>
    <w:p w14:paraId="6303D9DC" w14:textId="77777777" w:rsidR="00733207" w:rsidRDefault="00733207">
      <w:pPr>
        <w:spacing w:before="120" w:after="120" w:line="360" w:lineRule="auto"/>
        <w:jc w:val="both"/>
        <w:rPr>
          <w:rFonts w:ascii="Rockwell" w:hAnsi="Rockwell" w:cs="Times New Roman"/>
          <w:sz w:val="26"/>
          <w:szCs w:val="26"/>
        </w:rPr>
      </w:pPr>
    </w:p>
    <w:p w14:paraId="25C9C662" w14:textId="77777777" w:rsidR="00733207" w:rsidRPr="000841A2" w:rsidRDefault="00912BAE">
      <w:pPr>
        <w:pStyle w:val="Titre3"/>
        <w:spacing w:before="120" w:after="120" w:line="360" w:lineRule="auto"/>
        <w:jc w:val="center"/>
        <w:rPr>
          <w:rFonts w:ascii="Rockwell" w:hAnsi="Rockwell"/>
          <w:b/>
          <w:i/>
          <w:color w:val="auto"/>
          <w:sz w:val="28"/>
          <w:szCs w:val="28"/>
        </w:rPr>
      </w:pPr>
      <w:bookmarkStart w:id="599" w:name="_Toc175128607"/>
      <w:bookmarkStart w:id="600" w:name="_Toc169854403"/>
      <w:bookmarkStart w:id="601" w:name="_Toc170209364"/>
      <w:bookmarkStart w:id="602" w:name="_Toc169855251"/>
      <w:r w:rsidRPr="000841A2">
        <w:rPr>
          <w:rFonts w:ascii="Rockwell" w:hAnsi="Rockwell"/>
          <w:b/>
          <w:i/>
          <w:color w:val="auto"/>
          <w:sz w:val="28"/>
          <w:szCs w:val="28"/>
        </w:rPr>
        <w:t>SECTION 1 : PERSPECTIVES</w:t>
      </w:r>
      <w:bookmarkEnd w:id="599"/>
      <w:bookmarkEnd w:id="600"/>
      <w:bookmarkEnd w:id="601"/>
      <w:bookmarkEnd w:id="602"/>
    </w:p>
    <w:p w14:paraId="48CC61F0" w14:textId="77777777" w:rsidR="00733207" w:rsidRDefault="00733207">
      <w:pPr>
        <w:spacing w:before="120" w:after="120" w:line="360" w:lineRule="auto"/>
        <w:jc w:val="both"/>
        <w:rPr>
          <w:rFonts w:ascii="Rockwell" w:hAnsi="Rockwell"/>
          <w:sz w:val="16"/>
          <w:szCs w:val="16"/>
        </w:rPr>
      </w:pPr>
    </w:p>
    <w:p w14:paraId="63D600D6"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En termes de perspectives, il s’agira de :</w:t>
      </w:r>
    </w:p>
    <w:p w14:paraId="23EB0AFA"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rendre</w:t>
      </w:r>
      <w:proofErr w:type="gramEnd"/>
      <w:r>
        <w:rPr>
          <w:rFonts w:ascii="Rockwell" w:hAnsi="Rockwell" w:cs="Times New Roman"/>
          <w:sz w:val="26"/>
          <w:szCs w:val="26"/>
        </w:rPr>
        <w:t xml:space="preserve"> opérationnelle la Délégation Régionale du Nord du CSC (érection d’une clôture, équipement des locaux, déploiement de personnel, etc. ) ;</w:t>
      </w:r>
    </w:p>
    <w:p w14:paraId="0B10EE9E"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réaliser</w:t>
      </w:r>
      <w:proofErr w:type="gramEnd"/>
      <w:r>
        <w:rPr>
          <w:rFonts w:ascii="Rockwell" w:hAnsi="Rockwell" w:cs="Times New Roman"/>
          <w:sz w:val="26"/>
          <w:szCs w:val="26"/>
        </w:rPr>
        <w:t xml:space="preserve"> la construction de la Délégation Régionale du Centre-Ouest du CSC à Koudougou  ;</w:t>
      </w:r>
    </w:p>
    <w:p w14:paraId="239ED60D"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acquérir</w:t>
      </w:r>
      <w:proofErr w:type="gramEnd"/>
      <w:r>
        <w:rPr>
          <w:rFonts w:ascii="Rockwell" w:hAnsi="Rockwell" w:cs="Times New Roman"/>
          <w:sz w:val="26"/>
          <w:szCs w:val="26"/>
        </w:rPr>
        <w:t xml:space="preserve"> de nouveaux équipements pour les bureaux du 3</w:t>
      </w:r>
      <w:r>
        <w:rPr>
          <w:rFonts w:ascii="Rockwell" w:hAnsi="Rockwell" w:cs="Times New Roman"/>
          <w:sz w:val="26"/>
          <w:szCs w:val="26"/>
          <w:vertAlign w:val="superscript"/>
        </w:rPr>
        <w:t xml:space="preserve">e </w:t>
      </w:r>
      <w:r>
        <w:rPr>
          <w:rFonts w:ascii="Rockwell" w:hAnsi="Rockwell" w:cs="Times New Roman"/>
          <w:sz w:val="26"/>
          <w:szCs w:val="26"/>
        </w:rPr>
        <w:t xml:space="preserve">niveau du siège et remplacer ceux vétustes ; </w:t>
      </w:r>
    </w:p>
    <w:p w14:paraId="1F868279"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organiser</w:t>
      </w:r>
      <w:proofErr w:type="gramEnd"/>
      <w:r>
        <w:rPr>
          <w:rFonts w:ascii="Rockwell" w:hAnsi="Rockwell" w:cs="Times New Roman"/>
          <w:sz w:val="26"/>
          <w:szCs w:val="26"/>
        </w:rPr>
        <w:t xml:space="preserve"> des assises nationales sur le rôle et la place des médias dans un contexte de crise sécuritaire, de tensions sociales et de transition politique ;</w:t>
      </w:r>
    </w:p>
    <w:p w14:paraId="064815F5"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r>
        <w:rPr>
          <w:rFonts w:ascii="Rockwell" w:hAnsi="Rockwell" w:cs="Times New Roman"/>
          <w:sz w:val="26"/>
          <w:szCs w:val="26"/>
        </w:rPr>
        <w:t xml:space="preserve"> </w:t>
      </w:r>
      <w:proofErr w:type="gramStart"/>
      <w:r>
        <w:rPr>
          <w:rFonts w:ascii="Rockwell" w:hAnsi="Rockwell" w:cs="Times New Roman"/>
          <w:sz w:val="26"/>
          <w:szCs w:val="26"/>
        </w:rPr>
        <w:t>poursuivre</w:t>
      </w:r>
      <w:proofErr w:type="gramEnd"/>
      <w:r>
        <w:rPr>
          <w:rFonts w:ascii="Rockwell" w:hAnsi="Rockwell" w:cs="Times New Roman"/>
          <w:sz w:val="26"/>
          <w:szCs w:val="26"/>
        </w:rPr>
        <w:t xml:space="preserve"> le renforcement des capacités des responsables des médias en matière de gestion des entreprises de presse ;</w:t>
      </w:r>
    </w:p>
    <w:p w14:paraId="167EFBBF"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développer</w:t>
      </w:r>
      <w:proofErr w:type="gramEnd"/>
      <w:r>
        <w:rPr>
          <w:rFonts w:ascii="Rockwell" w:hAnsi="Rockwell" w:cs="Times New Roman"/>
          <w:sz w:val="26"/>
          <w:szCs w:val="26"/>
        </w:rPr>
        <w:t xml:space="preserve"> des actions visant à accompagner les médias dans la lutte contre les </w:t>
      </w:r>
      <w:r>
        <w:rPr>
          <w:rFonts w:ascii="Rockwell" w:hAnsi="Rockwell" w:cs="Times New Roman"/>
          <w:i/>
          <w:sz w:val="26"/>
          <w:szCs w:val="26"/>
        </w:rPr>
        <w:t>fake news</w:t>
      </w:r>
      <w:r>
        <w:rPr>
          <w:rFonts w:ascii="Rockwell" w:hAnsi="Rockwell" w:cs="Times New Roman"/>
          <w:sz w:val="26"/>
          <w:szCs w:val="26"/>
        </w:rPr>
        <w:t xml:space="preserve"> et les discours de haine, notamment la mise en œuvre, en partenariat avec l’ISTIC du projet de certification de 100 journalistes en </w:t>
      </w:r>
      <w:proofErr w:type="spellStart"/>
      <w:r>
        <w:rPr>
          <w:rFonts w:ascii="Rockwell" w:hAnsi="Rockwell" w:cs="Times New Roman"/>
          <w:i/>
          <w:sz w:val="26"/>
          <w:szCs w:val="26"/>
        </w:rPr>
        <w:t>fact</w:t>
      </w:r>
      <w:proofErr w:type="spellEnd"/>
      <w:r>
        <w:rPr>
          <w:rFonts w:ascii="Rockwell" w:hAnsi="Rockwell" w:cs="Times New Roman"/>
          <w:i/>
          <w:sz w:val="26"/>
          <w:szCs w:val="26"/>
        </w:rPr>
        <w:t xml:space="preserve"> checking</w:t>
      </w:r>
      <w:r>
        <w:rPr>
          <w:rFonts w:ascii="Rockwell" w:hAnsi="Rockwell" w:cs="Times New Roman"/>
          <w:sz w:val="26"/>
          <w:szCs w:val="26"/>
        </w:rPr>
        <w:t> ;</w:t>
      </w:r>
    </w:p>
    <w:p w14:paraId="208C9A84"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poursuivre</w:t>
      </w:r>
      <w:proofErr w:type="gramEnd"/>
      <w:r>
        <w:rPr>
          <w:rFonts w:ascii="Rockwell" w:hAnsi="Rockwell" w:cs="Times New Roman"/>
          <w:sz w:val="26"/>
          <w:szCs w:val="26"/>
        </w:rPr>
        <w:t xml:space="preserve"> la réflexion sur la labellisation des sites et comptes d’information sur les réseaux sociaux ;</w:t>
      </w:r>
    </w:p>
    <w:p w14:paraId="4D108269"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lastRenderedPageBreak/>
        <w:t>s’impliquer</w:t>
      </w:r>
      <w:proofErr w:type="gramEnd"/>
      <w:r>
        <w:rPr>
          <w:rFonts w:ascii="Rockwell" w:hAnsi="Rockwell" w:cs="Times New Roman"/>
          <w:sz w:val="26"/>
          <w:szCs w:val="26"/>
        </w:rPr>
        <w:t xml:space="preserve"> davantage dans la réalisation des activités des réseaux de régulation de la communication ;</w:t>
      </w:r>
    </w:p>
    <w:p w14:paraId="0D67C26D" w14:textId="3E9F996F"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accompagner</w:t>
      </w:r>
      <w:proofErr w:type="gramEnd"/>
      <w:r>
        <w:rPr>
          <w:rFonts w:ascii="Rockwell" w:hAnsi="Rockwell" w:cs="Times New Roman"/>
          <w:sz w:val="26"/>
          <w:szCs w:val="26"/>
        </w:rPr>
        <w:t xml:space="preserve"> les associations de journalistes et communicateurs religieux dans la mise en œuvre de leur plan d’action pour la cohésion sociale, en collaboration avec l’ONAFAR ;</w:t>
      </w:r>
    </w:p>
    <w:p w14:paraId="609A7FA0"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consolider</w:t>
      </w:r>
      <w:proofErr w:type="gramEnd"/>
      <w:r>
        <w:rPr>
          <w:rFonts w:ascii="Rockwell" w:hAnsi="Rockwell" w:cs="Times New Roman"/>
          <w:sz w:val="26"/>
          <w:szCs w:val="26"/>
        </w:rPr>
        <w:t xml:space="preserve"> la collaboration avec les partenaires et acteurs privilégiés du CSC ;</w:t>
      </w:r>
    </w:p>
    <w:p w14:paraId="221F0786" w14:textId="77777777" w:rsidR="00733207" w:rsidRDefault="00912BAE">
      <w:pPr>
        <w:pStyle w:val="Paragraphedeliste"/>
        <w:numPr>
          <w:ilvl w:val="0"/>
          <w:numId w:val="49"/>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poursuivre</w:t>
      </w:r>
      <w:proofErr w:type="gramEnd"/>
      <w:r>
        <w:rPr>
          <w:rFonts w:ascii="Rockwell" w:hAnsi="Rockwell" w:cs="Times New Roman"/>
          <w:sz w:val="26"/>
          <w:szCs w:val="26"/>
        </w:rPr>
        <w:t xml:space="preserve"> la digitalisation au CSC.</w:t>
      </w:r>
    </w:p>
    <w:p w14:paraId="1B7076D3" w14:textId="77777777" w:rsidR="00733207" w:rsidRDefault="00733207">
      <w:pPr>
        <w:spacing w:before="120" w:after="120" w:line="360" w:lineRule="auto"/>
        <w:jc w:val="both"/>
        <w:rPr>
          <w:rFonts w:ascii="Rockwell" w:hAnsi="Rockwell"/>
          <w:b/>
          <w:sz w:val="26"/>
          <w:szCs w:val="26"/>
        </w:rPr>
      </w:pPr>
    </w:p>
    <w:p w14:paraId="448B39A5" w14:textId="77777777" w:rsidR="00733207" w:rsidRPr="000841A2" w:rsidRDefault="00912BAE">
      <w:pPr>
        <w:pStyle w:val="Titre3"/>
        <w:spacing w:before="120" w:after="120" w:line="360" w:lineRule="auto"/>
        <w:jc w:val="center"/>
        <w:rPr>
          <w:rFonts w:ascii="Rockwell" w:hAnsi="Rockwell"/>
          <w:b/>
          <w:i/>
          <w:color w:val="auto"/>
          <w:sz w:val="28"/>
          <w:szCs w:val="28"/>
        </w:rPr>
      </w:pPr>
      <w:bookmarkStart w:id="603" w:name="_Toc170209365"/>
      <w:bookmarkStart w:id="604" w:name="_Toc169855252"/>
      <w:bookmarkStart w:id="605" w:name="_Toc175128608"/>
      <w:bookmarkStart w:id="606" w:name="_Toc169854404"/>
      <w:r w:rsidRPr="000841A2">
        <w:rPr>
          <w:rFonts w:ascii="Rockwell" w:hAnsi="Rockwell"/>
          <w:b/>
          <w:i/>
          <w:color w:val="auto"/>
          <w:sz w:val="28"/>
          <w:szCs w:val="28"/>
        </w:rPr>
        <w:t>SECTION 2 : RECOMMANDATIONS</w:t>
      </w:r>
      <w:bookmarkEnd w:id="603"/>
      <w:bookmarkEnd w:id="604"/>
      <w:bookmarkEnd w:id="605"/>
      <w:bookmarkEnd w:id="606"/>
    </w:p>
    <w:p w14:paraId="2C2F433D" w14:textId="77777777" w:rsidR="00733207" w:rsidRDefault="00733207">
      <w:pPr>
        <w:spacing w:before="120" w:after="120" w:line="360" w:lineRule="auto"/>
        <w:jc w:val="both"/>
        <w:rPr>
          <w:rFonts w:ascii="Rockwell" w:hAnsi="Rockwell"/>
          <w:sz w:val="16"/>
          <w:szCs w:val="16"/>
        </w:rPr>
      </w:pPr>
    </w:p>
    <w:p w14:paraId="2C333BE6"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Pour un fonctionnement optimal de l’institution, deux principales recommandations ont été formulées. Il s’agit de :</w:t>
      </w:r>
    </w:p>
    <w:p w14:paraId="448DBDFF" w14:textId="77777777" w:rsidR="00733207" w:rsidRDefault="00912BAE">
      <w:pPr>
        <w:pStyle w:val="Paragraphedeliste"/>
        <w:numPr>
          <w:ilvl w:val="0"/>
          <w:numId w:val="50"/>
        </w:numPr>
        <w:spacing w:before="120" w:after="120" w:line="360" w:lineRule="auto"/>
        <w:jc w:val="both"/>
        <w:rPr>
          <w:rFonts w:ascii="Rockwell" w:hAnsi="Rockwell" w:cs="Times New Roman"/>
          <w:sz w:val="26"/>
          <w:szCs w:val="26"/>
        </w:rPr>
      </w:pPr>
      <w:proofErr w:type="gramStart"/>
      <w:r>
        <w:rPr>
          <w:rFonts w:ascii="Rockwell" w:hAnsi="Rockwell" w:cs="Times New Roman"/>
          <w:sz w:val="26"/>
          <w:szCs w:val="26"/>
        </w:rPr>
        <w:t>adopter</w:t>
      </w:r>
      <w:proofErr w:type="gramEnd"/>
      <w:r>
        <w:rPr>
          <w:rFonts w:ascii="Rockwell" w:hAnsi="Rockwell" w:cs="Times New Roman"/>
          <w:sz w:val="26"/>
          <w:szCs w:val="26"/>
        </w:rPr>
        <w:t xml:space="preserve"> les textes d’application de la nouvelle loi organique du CSC ;</w:t>
      </w:r>
    </w:p>
    <w:p w14:paraId="0CBEB881" w14:textId="77777777" w:rsidR="00733207" w:rsidRDefault="00912BAE">
      <w:pPr>
        <w:pStyle w:val="Paragraphedeliste"/>
        <w:numPr>
          <w:ilvl w:val="0"/>
          <w:numId w:val="50"/>
        </w:numPr>
        <w:spacing w:before="120" w:after="120" w:line="360" w:lineRule="auto"/>
        <w:ind w:right="-426"/>
        <w:jc w:val="both"/>
        <w:rPr>
          <w:rFonts w:ascii="Rockwell" w:hAnsi="Rockwell" w:cs="Times New Roman"/>
          <w:sz w:val="26"/>
          <w:szCs w:val="26"/>
        </w:rPr>
      </w:pPr>
      <w:proofErr w:type="gramStart"/>
      <w:r>
        <w:rPr>
          <w:rFonts w:ascii="Rockwell" w:hAnsi="Rockwell" w:cs="Times New Roman"/>
          <w:sz w:val="26"/>
          <w:szCs w:val="26"/>
        </w:rPr>
        <w:t>rendre</w:t>
      </w:r>
      <w:proofErr w:type="gramEnd"/>
      <w:r>
        <w:rPr>
          <w:rFonts w:ascii="Rockwell" w:hAnsi="Rockwell" w:cs="Times New Roman"/>
          <w:sz w:val="26"/>
          <w:szCs w:val="26"/>
        </w:rPr>
        <w:t xml:space="preserve"> effective l’autonomie financière du CSC consacrée par la nouvelle loi organique pour renforcer son indépendance et permettre la réalisation de ses attributions.</w:t>
      </w:r>
    </w:p>
    <w:p w14:paraId="0BB8F0AD" w14:textId="77777777" w:rsidR="00733207" w:rsidRDefault="00733207">
      <w:pPr>
        <w:spacing w:before="120" w:after="120" w:line="360" w:lineRule="auto"/>
        <w:ind w:left="360" w:right="-426"/>
        <w:jc w:val="both"/>
        <w:rPr>
          <w:rFonts w:ascii="Rockwell" w:hAnsi="Rockwell" w:cs="Times New Roman"/>
          <w:sz w:val="26"/>
          <w:szCs w:val="26"/>
        </w:rPr>
      </w:pPr>
    </w:p>
    <w:p w14:paraId="50F5DF15" w14:textId="77777777" w:rsidR="00733207" w:rsidRDefault="00733207">
      <w:pPr>
        <w:spacing w:before="120" w:after="120" w:line="360" w:lineRule="auto"/>
        <w:jc w:val="both"/>
        <w:rPr>
          <w:rFonts w:ascii="Rockwell" w:hAnsi="Rockwell" w:cs="Times New Roman"/>
          <w:sz w:val="26"/>
          <w:szCs w:val="26"/>
        </w:rPr>
      </w:pPr>
    </w:p>
    <w:p w14:paraId="037C185A" w14:textId="77777777" w:rsidR="00733207" w:rsidRDefault="00733207">
      <w:pPr>
        <w:pStyle w:val="Paragraphedeliste"/>
        <w:spacing w:before="120" w:after="120" w:line="360" w:lineRule="auto"/>
        <w:jc w:val="both"/>
        <w:rPr>
          <w:rFonts w:ascii="Rockwell" w:hAnsi="Rockwell" w:cs="Times New Roman"/>
          <w:color w:val="FF0000"/>
          <w:sz w:val="26"/>
          <w:szCs w:val="26"/>
        </w:rPr>
      </w:pPr>
    </w:p>
    <w:p w14:paraId="4ABEE181" w14:textId="77777777" w:rsidR="00733207" w:rsidRDefault="00733207">
      <w:pPr>
        <w:pStyle w:val="Paragraphedeliste"/>
        <w:spacing w:before="120" w:after="120" w:line="360" w:lineRule="auto"/>
        <w:jc w:val="both"/>
        <w:rPr>
          <w:rFonts w:ascii="Rockwell" w:hAnsi="Rockwell" w:cs="Times New Roman"/>
          <w:color w:val="FF0000"/>
          <w:sz w:val="26"/>
          <w:szCs w:val="26"/>
        </w:rPr>
      </w:pPr>
    </w:p>
    <w:p w14:paraId="17DDDD2B" w14:textId="77777777" w:rsidR="00733207" w:rsidRDefault="00733207">
      <w:pPr>
        <w:spacing w:before="120" w:after="120" w:line="360" w:lineRule="auto"/>
        <w:jc w:val="both"/>
        <w:rPr>
          <w:rFonts w:ascii="Rockwell" w:hAnsi="Rockwell" w:cs="Times New Roman"/>
          <w:sz w:val="26"/>
          <w:szCs w:val="26"/>
        </w:rPr>
      </w:pPr>
    </w:p>
    <w:p w14:paraId="357A8327" w14:textId="77777777" w:rsidR="00733207" w:rsidRDefault="00912BAE">
      <w:pPr>
        <w:spacing w:before="120" w:after="120" w:line="360" w:lineRule="auto"/>
        <w:jc w:val="both"/>
        <w:rPr>
          <w:rFonts w:ascii="Rockwell" w:hAnsi="Rockwell"/>
          <w:b/>
          <w:sz w:val="26"/>
          <w:szCs w:val="26"/>
          <w:u w:val="single"/>
        </w:rPr>
      </w:pPr>
      <w:r>
        <w:rPr>
          <w:rFonts w:ascii="Rockwell" w:hAnsi="Rockwell"/>
          <w:b/>
          <w:sz w:val="26"/>
          <w:szCs w:val="26"/>
          <w:u w:val="single"/>
        </w:rPr>
        <w:br w:type="page"/>
      </w:r>
    </w:p>
    <w:p w14:paraId="3806426A" w14:textId="77777777" w:rsidR="00733207" w:rsidRDefault="00912BAE">
      <w:pPr>
        <w:pStyle w:val="Titre1"/>
        <w:jc w:val="center"/>
        <w:rPr>
          <w:rFonts w:ascii="Rockwell" w:hAnsi="Rockwell"/>
          <w:b/>
          <w:color w:val="auto"/>
        </w:rPr>
      </w:pPr>
      <w:bookmarkStart w:id="607" w:name="_Toc170209366"/>
      <w:bookmarkStart w:id="608" w:name="_Toc169855253"/>
      <w:bookmarkStart w:id="609" w:name="_Toc169854405"/>
      <w:bookmarkStart w:id="610" w:name="_Toc175128609"/>
      <w:r>
        <w:rPr>
          <w:rFonts w:ascii="Rockwell" w:hAnsi="Rockwell"/>
          <w:b/>
          <w:color w:val="auto"/>
        </w:rPr>
        <w:lastRenderedPageBreak/>
        <w:t>CONCLUSION</w:t>
      </w:r>
      <w:bookmarkEnd w:id="607"/>
      <w:bookmarkEnd w:id="608"/>
      <w:bookmarkEnd w:id="609"/>
      <w:bookmarkEnd w:id="610"/>
    </w:p>
    <w:p w14:paraId="632EAEC7" w14:textId="77777777" w:rsidR="00733207" w:rsidRDefault="00733207">
      <w:pPr>
        <w:spacing w:before="120" w:after="120" w:line="360" w:lineRule="auto"/>
        <w:jc w:val="center"/>
        <w:rPr>
          <w:rFonts w:ascii="Rockwell" w:hAnsi="Rockwell"/>
          <w:sz w:val="26"/>
          <w:szCs w:val="26"/>
        </w:rPr>
      </w:pPr>
    </w:p>
    <w:p w14:paraId="10F3F312"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Le Conseil supérieur de la communication peut se féliciter d’avoir initié de nombreuses activités qui ont contribué à asseoir une communication au public apaisée, dans un contexte de crise sociopolitique. Ces actions, qui ont connu l’adhésion des professionnels des médias et des citoyens, devraient être consolidées pour un Burkina Faso de paix et de cohésion sociale. </w:t>
      </w:r>
    </w:p>
    <w:p w14:paraId="79C0A6C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Un autre motif de satisfaction est sans doute celui de l’adoption de la nouvelle loi organique qui confère désormais au CSC l’autonomie financière et de gestion, laquelle avait fait l’objet de plusieurs recommandations et plaidoyers. Ce statut consacre également l’importance du CSC dans le dispositif institutionnel national et élargit son champ de compétences.</w:t>
      </w:r>
    </w:p>
    <w:p w14:paraId="6ECBAED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Toutefois, la mise en œuvre de cette nouvelle loi nécessite l’adoption urgente de textes d’application et la mobilisation de ressources humaines, techniques, matérielles et financières en adéquation avec les attentes.    </w:t>
      </w:r>
    </w:p>
    <w:p w14:paraId="1700042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 Dans un environnement sociopolitique et sécuritaire préoccupant, où la priorité est sans conteste le financement des efforts pour la pacification du pays, il ne faut pas perdre de vue l'importance de la communication, un autre aspect essentiel du combat, pour lequel il est impératif de consacrer des efforts tout aussi particuliers.</w:t>
      </w:r>
    </w:p>
    <w:p w14:paraId="76AC9BCB"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t xml:space="preserve">Ce faisant, en plus de la convergence de vue avec l’Autorité et de son soutien sans faille en faveur d’une communication sociale apaisée, il est impérieux de prendre des initiatives hardies pour que le CSC remplisse au mieux sa mission et ses attributions. </w:t>
      </w:r>
    </w:p>
    <w:p w14:paraId="56E1A119" w14:textId="77777777" w:rsidR="00733207" w:rsidRDefault="00912BAE">
      <w:pPr>
        <w:tabs>
          <w:tab w:val="left" w:pos="1418"/>
        </w:tabs>
        <w:spacing w:before="120" w:after="120" w:line="360" w:lineRule="auto"/>
        <w:jc w:val="both"/>
        <w:rPr>
          <w:rFonts w:ascii="Rockwell" w:hAnsi="Rockwell" w:cs="Times New Roman"/>
          <w:sz w:val="26"/>
          <w:szCs w:val="26"/>
        </w:rPr>
      </w:pPr>
      <w:r>
        <w:rPr>
          <w:rFonts w:ascii="Rockwell" w:hAnsi="Rockwell" w:cs="Times New Roman"/>
          <w:sz w:val="26"/>
          <w:szCs w:val="26"/>
        </w:rPr>
        <w:t>Pour y parvenir, la mobilisation de partenaires stratégiques autour des activités traditionnelles, de celles entrant dans le cadre de la mise en œuvre de la nouvelle loi organique et du Plan stratégique 2024-2028 du CSC, ainsi que l’accompagnement du Gouvernement s’avèrent nécessaires.</w:t>
      </w:r>
    </w:p>
    <w:p w14:paraId="28EE1AB8" w14:textId="0BCE006C"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lastRenderedPageBreak/>
        <w:t>Nul doute que l’engagement de l’ensemble des travailleurs aux côtés de l’équipe dirigeante ainsi que les efforts qui seront consentis de part et d’autre permettront</w:t>
      </w:r>
      <w:r w:rsidR="00BE1787">
        <w:rPr>
          <w:rFonts w:ascii="Rockwell" w:hAnsi="Rockwell" w:cs="Times New Roman"/>
          <w:sz w:val="26"/>
          <w:szCs w:val="26"/>
        </w:rPr>
        <w:t>,</w:t>
      </w:r>
      <w:r>
        <w:rPr>
          <w:rFonts w:ascii="Rockwell" w:hAnsi="Rockwell" w:cs="Times New Roman"/>
          <w:sz w:val="26"/>
          <w:szCs w:val="26"/>
        </w:rPr>
        <w:t xml:space="preserve"> à terme leur bonne réalisation.</w:t>
      </w:r>
    </w:p>
    <w:p w14:paraId="14843029" w14:textId="77777777" w:rsidR="00733207" w:rsidRDefault="00733207">
      <w:pPr>
        <w:spacing w:before="120" w:after="120" w:line="360" w:lineRule="auto"/>
        <w:jc w:val="both"/>
        <w:rPr>
          <w:rFonts w:ascii="Rockwell" w:hAnsi="Rockwell" w:cs="Times New Roman"/>
          <w:sz w:val="26"/>
          <w:szCs w:val="26"/>
        </w:rPr>
        <w:sectPr w:rsidR="00733207">
          <w:pgSz w:w="11906" w:h="16838"/>
          <w:pgMar w:top="1417" w:right="1417" w:bottom="1417" w:left="1417" w:header="708" w:footer="708" w:gutter="0"/>
          <w:cols w:space="708"/>
          <w:docGrid w:linePitch="360"/>
        </w:sectPr>
      </w:pPr>
    </w:p>
    <w:p w14:paraId="47A1782C" w14:textId="77777777" w:rsidR="00733207" w:rsidRDefault="00912BAE">
      <w:pPr>
        <w:pStyle w:val="Titre1"/>
        <w:jc w:val="center"/>
        <w:rPr>
          <w:rFonts w:ascii="Rockwell" w:hAnsi="Rockwell"/>
          <w:b/>
          <w:color w:val="auto"/>
        </w:rPr>
      </w:pPr>
      <w:bookmarkStart w:id="611" w:name="_Toc175128610"/>
      <w:bookmarkStart w:id="612" w:name="_Toc170209367"/>
      <w:r>
        <w:rPr>
          <w:rFonts w:ascii="Rockwell" w:hAnsi="Rockwell"/>
          <w:b/>
          <w:color w:val="auto"/>
        </w:rPr>
        <w:lastRenderedPageBreak/>
        <w:t>TABLE DES MATIERES</w:t>
      </w:r>
      <w:bookmarkEnd w:id="611"/>
      <w:bookmarkEnd w:id="612"/>
    </w:p>
    <w:p w14:paraId="31EBB4DE" w14:textId="7ADB61F2" w:rsidR="00261767" w:rsidRDefault="00912BAE">
      <w:pPr>
        <w:pStyle w:val="TM1"/>
        <w:tabs>
          <w:tab w:val="right" w:leader="dot" w:pos="9630"/>
        </w:tabs>
        <w:rPr>
          <w:noProof/>
        </w:rPr>
      </w:pPr>
      <w:r>
        <w:rPr>
          <w:rFonts w:ascii="Rockwell" w:hAnsi="Rockwell"/>
          <w:sz w:val="26"/>
          <w:szCs w:val="26"/>
        </w:rPr>
        <w:fldChar w:fldCharType="begin"/>
      </w:r>
      <w:r>
        <w:rPr>
          <w:rFonts w:ascii="Rockwell" w:hAnsi="Rockwell"/>
          <w:sz w:val="26"/>
          <w:szCs w:val="26"/>
        </w:rPr>
        <w:instrText xml:space="preserve"> TOC \o "1-7" \h \z \u </w:instrText>
      </w:r>
      <w:r>
        <w:rPr>
          <w:rFonts w:ascii="Rockwell" w:hAnsi="Rockwell"/>
          <w:sz w:val="26"/>
          <w:szCs w:val="26"/>
        </w:rPr>
        <w:fldChar w:fldCharType="separate"/>
      </w:r>
    </w:p>
    <w:p w14:paraId="1F8189D2" w14:textId="5449E53A" w:rsidR="00733207" w:rsidRDefault="00E06378">
      <w:pPr>
        <w:pStyle w:val="TM1"/>
        <w:tabs>
          <w:tab w:val="right" w:leader="dot" w:pos="9630"/>
        </w:tabs>
        <w:rPr>
          <w:rFonts w:cstheme="minorBidi"/>
          <w:noProof/>
        </w:rPr>
      </w:pPr>
      <w:hyperlink w:anchor="_Toc175128421" w:history="1">
        <w:r w:rsidR="00912BAE">
          <w:rPr>
            <w:rStyle w:val="Lienhypertexte"/>
            <w:rFonts w:ascii="Rockwell" w:hAnsi="Rockwell"/>
            <w:b/>
            <w:noProof/>
          </w:rPr>
          <w:t>SIGLES ET ABREVIATIONS</w:t>
        </w:r>
        <w:r w:rsidR="00912BAE">
          <w:rPr>
            <w:noProof/>
          </w:rPr>
          <w:tab/>
        </w:r>
        <w:r w:rsidR="00912BAE">
          <w:rPr>
            <w:noProof/>
          </w:rPr>
          <w:fldChar w:fldCharType="begin"/>
        </w:r>
        <w:r w:rsidR="00912BAE">
          <w:rPr>
            <w:noProof/>
          </w:rPr>
          <w:instrText xml:space="preserve"> PAGEREF _Toc175128421 \h </w:instrText>
        </w:r>
        <w:r w:rsidR="00912BAE">
          <w:rPr>
            <w:noProof/>
          </w:rPr>
        </w:r>
        <w:r w:rsidR="00912BAE">
          <w:rPr>
            <w:noProof/>
          </w:rPr>
          <w:fldChar w:fldCharType="separate"/>
        </w:r>
        <w:r w:rsidR="00261767">
          <w:rPr>
            <w:noProof/>
          </w:rPr>
          <w:t>4</w:t>
        </w:r>
        <w:r w:rsidR="00912BAE">
          <w:rPr>
            <w:noProof/>
          </w:rPr>
          <w:fldChar w:fldCharType="end"/>
        </w:r>
      </w:hyperlink>
    </w:p>
    <w:p w14:paraId="4790FAE1" w14:textId="42F81734" w:rsidR="00733207" w:rsidRDefault="00E06378">
      <w:pPr>
        <w:pStyle w:val="TM1"/>
        <w:tabs>
          <w:tab w:val="right" w:leader="dot" w:pos="9630"/>
        </w:tabs>
        <w:rPr>
          <w:rFonts w:cstheme="minorBidi"/>
          <w:noProof/>
        </w:rPr>
      </w:pPr>
      <w:hyperlink w:anchor="_Toc175128422" w:history="1">
        <w:r w:rsidR="00912BAE">
          <w:rPr>
            <w:rStyle w:val="Lienhypertexte"/>
            <w:rFonts w:ascii="Rockwell" w:hAnsi="Rockwell"/>
            <w:b/>
            <w:noProof/>
          </w:rPr>
          <w:t>AVANT-PROPOS</w:t>
        </w:r>
        <w:r w:rsidR="00912BAE">
          <w:rPr>
            <w:noProof/>
          </w:rPr>
          <w:tab/>
        </w:r>
        <w:r w:rsidR="00912BAE">
          <w:rPr>
            <w:noProof/>
          </w:rPr>
          <w:fldChar w:fldCharType="begin"/>
        </w:r>
        <w:r w:rsidR="00912BAE">
          <w:rPr>
            <w:noProof/>
          </w:rPr>
          <w:instrText xml:space="preserve"> PAGEREF _Toc175128422 \h </w:instrText>
        </w:r>
        <w:r w:rsidR="00912BAE">
          <w:rPr>
            <w:noProof/>
          </w:rPr>
        </w:r>
        <w:r w:rsidR="00912BAE">
          <w:rPr>
            <w:noProof/>
          </w:rPr>
          <w:fldChar w:fldCharType="separate"/>
        </w:r>
        <w:r w:rsidR="00261767">
          <w:rPr>
            <w:noProof/>
          </w:rPr>
          <w:t>10</w:t>
        </w:r>
        <w:r w:rsidR="00912BAE">
          <w:rPr>
            <w:noProof/>
          </w:rPr>
          <w:fldChar w:fldCharType="end"/>
        </w:r>
      </w:hyperlink>
    </w:p>
    <w:p w14:paraId="1FF56F6B" w14:textId="497F4E64" w:rsidR="00733207" w:rsidRDefault="00E06378">
      <w:pPr>
        <w:pStyle w:val="TM1"/>
        <w:tabs>
          <w:tab w:val="right" w:leader="dot" w:pos="9630"/>
        </w:tabs>
        <w:rPr>
          <w:rFonts w:cstheme="minorBidi"/>
          <w:noProof/>
        </w:rPr>
      </w:pPr>
      <w:hyperlink w:anchor="_Toc175128423" w:history="1">
        <w:r w:rsidR="00912BAE">
          <w:rPr>
            <w:rStyle w:val="Lienhypertexte"/>
            <w:rFonts w:ascii="Rockwell" w:hAnsi="Rockwell"/>
            <w:b/>
            <w:noProof/>
          </w:rPr>
          <w:t>PRESENTATION DU CONSEIL SUPERIEUR DE LA COMMUNICATION</w:t>
        </w:r>
        <w:r w:rsidR="00912BAE">
          <w:rPr>
            <w:noProof/>
          </w:rPr>
          <w:tab/>
        </w:r>
        <w:r w:rsidR="00912BAE">
          <w:rPr>
            <w:noProof/>
          </w:rPr>
          <w:fldChar w:fldCharType="begin"/>
        </w:r>
        <w:r w:rsidR="00912BAE">
          <w:rPr>
            <w:noProof/>
          </w:rPr>
          <w:instrText xml:space="preserve"> PAGEREF _Toc175128423 \h </w:instrText>
        </w:r>
        <w:r w:rsidR="00912BAE">
          <w:rPr>
            <w:noProof/>
          </w:rPr>
        </w:r>
        <w:r w:rsidR="00912BAE">
          <w:rPr>
            <w:noProof/>
          </w:rPr>
          <w:fldChar w:fldCharType="separate"/>
        </w:r>
        <w:r w:rsidR="00261767">
          <w:rPr>
            <w:noProof/>
          </w:rPr>
          <w:t>12</w:t>
        </w:r>
        <w:r w:rsidR="00912BAE">
          <w:rPr>
            <w:noProof/>
          </w:rPr>
          <w:fldChar w:fldCharType="end"/>
        </w:r>
      </w:hyperlink>
    </w:p>
    <w:p w14:paraId="25C02202" w14:textId="3262A007" w:rsidR="00733207" w:rsidRDefault="00E06378">
      <w:pPr>
        <w:pStyle w:val="TM1"/>
        <w:tabs>
          <w:tab w:val="right" w:leader="dot" w:pos="9630"/>
        </w:tabs>
        <w:rPr>
          <w:rFonts w:cstheme="minorBidi"/>
          <w:noProof/>
        </w:rPr>
      </w:pPr>
      <w:hyperlink w:anchor="_Toc175128424" w:history="1">
        <w:r w:rsidR="00912BAE">
          <w:rPr>
            <w:rStyle w:val="Lienhypertexte"/>
            <w:rFonts w:ascii="Rockwell" w:hAnsi="Rockwell"/>
            <w:b/>
            <w:noProof/>
          </w:rPr>
          <w:t>COMPOSITION DU COLLEGE DES CONSEILLERS EN 2023</w:t>
        </w:r>
        <w:r w:rsidR="00912BAE">
          <w:rPr>
            <w:noProof/>
          </w:rPr>
          <w:tab/>
        </w:r>
        <w:r w:rsidR="00912BAE">
          <w:rPr>
            <w:noProof/>
          </w:rPr>
          <w:fldChar w:fldCharType="begin"/>
        </w:r>
        <w:r w:rsidR="00912BAE">
          <w:rPr>
            <w:noProof/>
          </w:rPr>
          <w:instrText xml:space="preserve"> PAGEREF _Toc175128424 \h </w:instrText>
        </w:r>
        <w:r w:rsidR="00912BAE">
          <w:rPr>
            <w:noProof/>
          </w:rPr>
        </w:r>
        <w:r w:rsidR="00912BAE">
          <w:rPr>
            <w:noProof/>
          </w:rPr>
          <w:fldChar w:fldCharType="separate"/>
        </w:r>
        <w:r w:rsidR="00261767">
          <w:rPr>
            <w:noProof/>
          </w:rPr>
          <w:t>16</w:t>
        </w:r>
        <w:r w:rsidR="00912BAE">
          <w:rPr>
            <w:noProof/>
          </w:rPr>
          <w:fldChar w:fldCharType="end"/>
        </w:r>
      </w:hyperlink>
    </w:p>
    <w:p w14:paraId="56E55ACD" w14:textId="382CE082" w:rsidR="00733207" w:rsidRDefault="00E06378">
      <w:pPr>
        <w:pStyle w:val="TM1"/>
        <w:tabs>
          <w:tab w:val="right" w:leader="dot" w:pos="9630"/>
        </w:tabs>
        <w:rPr>
          <w:rFonts w:cstheme="minorBidi"/>
          <w:noProof/>
        </w:rPr>
      </w:pPr>
      <w:hyperlink w:anchor="_Toc175128425" w:history="1">
        <w:r w:rsidR="00912BAE">
          <w:rPr>
            <w:rStyle w:val="Lienhypertexte"/>
            <w:rFonts w:ascii="Rockwell" w:hAnsi="Rockwell"/>
            <w:b/>
            <w:noProof/>
          </w:rPr>
          <w:t>INTRODUCTION</w:t>
        </w:r>
        <w:r w:rsidR="00912BAE">
          <w:rPr>
            <w:noProof/>
          </w:rPr>
          <w:tab/>
        </w:r>
        <w:r w:rsidR="00912BAE">
          <w:rPr>
            <w:noProof/>
          </w:rPr>
          <w:fldChar w:fldCharType="begin"/>
        </w:r>
        <w:r w:rsidR="00912BAE">
          <w:rPr>
            <w:noProof/>
          </w:rPr>
          <w:instrText xml:space="preserve"> PAGEREF _Toc175128425 \h </w:instrText>
        </w:r>
        <w:r w:rsidR="00912BAE">
          <w:rPr>
            <w:noProof/>
          </w:rPr>
        </w:r>
        <w:r w:rsidR="00912BAE">
          <w:rPr>
            <w:noProof/>
          </w:rPr>
          <w:fldChar w:fldCharType="separate"/>
        </w:r>
        <w:r w:rsidR="00261767">
          <w:rPr>
            <w:noProof/>
          </w:rPr>
          <w:t>18</w:t>
        </w:r>
        <w:r w:rsidR="00912BAE">
          <w:rPr>
            <w:noProof/>
          </w:rPr>
          <w:fldChar w:fldCharType="end"/>
        </w:r>
      </w:hyperlink>
    </w:p>
    <w:p w14:paraId="37D94D87" w14:textId="2972F89C" w:rsidR="00733207" w:rsidRDefault="00E06378">
      <w:pPr>
        <w:pStyle w:val="TM1"/>
        <w:tabs>
          <w:tab w:val="right" w:leader="dot" w:pos="9630"/>
        </w:tabs>
        <w:rPr>
          <w:rFonts w:cstheme="minorBidi"/>
          <w:noProof/>
        </w:rPr>
      </w:pPr>
      <w:hyperlink w:anchor="_Toc175128426" w:history="1">
        <w:r w:rsidR="00912BAE">
          <w:rPr>
            <w:rStyle w:val="Lienhypertexte"/>
            <w:rFonts w:ascii="Rockwell" w:hAnsi="Rockwell"/>
            <w:b/>
            <w:noProof/>
          </w:rPr>
          <w:t>PREMIERE PARTIE : LA REGULATION DE LA COMMUNICATION DANS UN CONTEXTE DE CRISE</w:t>
        </w:r>
        <w:r w:rsidR="00912BAE">
          <w:rPr>
            <w:noProof/>
          </w:rPr>
          <w:tab/>
        </w:r>
        <w:r w:rsidR="00912BAE">
          <w:rPr>
            <w:noProof/>
          </w:rPr>
          <w:fldChar w:fldCharType="begin"/>
        </w:r>
        <w:r w:rsidR="00912BAE">
          <w:rPr>
            <w:noProof/>
          </w:rPr>
          <w:instrText xml:space="preserve"> PAGEREF _Toc175128426 \h </w:instrText>
        </w:r>
        <w:r w:rsidR="00912BAE">
          <w:rPr>
            <w:noProof/>
          </w:rPr>
        </w:r>
        <w:r w:rsidR="00912BAE">
          <w:rPr>
            <w:noProof/>
          </w:rPr>
          <w:fldChar w:fldCharType="separate"/>
        </w:r>
        <w:r w:rsidR="00261767">
          <w:rPr>
            <w:noProof/>
          </w:rPr>
          <w:t>20</w:t>
        </w:r>
        <w:r w:rsidR="00912BAE">
          <w:rPr>
            <w:noProof/>
          </w:rPr>
          <w:fldChar w:fldCharType="end"/>
        </w:r>
      </w:hyperlink>
    </w:p>
    <w:p w14:paraId="268012D4" w14:textId="4FC03DA1" w:rsidR="00733207" w:rsidRDefault="00E06378">
      <w:pPr>
        <w:pStyle w:val="TM2"/>
        <w:rPr>
          <w:rFonts w:cstheme="minorBidi"/>
          <w:noProof/>
        </w:rPr>
      </w:pPr>
      <w:hyperlink w:anchor="_Toc175128427" w:history="1">
        <w:r w:rsidR="00912BAE">
          <w:rPr>
            <w:rStyle w:val="Lienhypertexte"/>
            <w:rFonts w:ascii="Rockwell" w:hAnsi="Rockwell"/>
            <w:b/>
            <w:noProof/>
          </w:rPr>
          <w:t>CHAPITRE I : RELANCE DES ACTIVITES DU CONSEIL SUPERIEUR DE LA COMMUNICATION</w:t>
        </w:r>
        <w:r w:rsidR="00912BAE">
          <w:rPr>
            <w:noProof/>
          </w:rPr>
          <w:tab/>
        </w:r>
        <w:r w:rsidR="00912BAE">
          <w:rPr>
            <w:noProof/>
          </w:rPr>
          <w:fldChar w:fldCharType="begin"/>
        </w:r>
        <w:r w:rsidR="00912BAE">
          <w:rPr>
            <w:noProof/>
          </w:rPr>
          <w:instrText xml:space="preserve"> PAGEREF _Toc175128427 \h </w:instrText>
        </w:r>
        <w:r w:rsidR="00912BAE">
          <w:rPr>
            <w:noProof/>
          </w:rPr>
        </w:r>
        <w:r w:rsidR="00912BAE">
          <w:rPr>
            <w:noProof/>
          </w:rPr>
          <w:fldChar w:fldCharType="separate"/>
        </w:r>
        <w:r w:rsidR="00261767">
          <w:rPr>
            <w:noProof/>
          </w:rPr>
          <w:t>21</w:t>
        </w:r>
        <w:r w:rsidR="00912BAE">
          <w:rPr>
            <w:noProof/>
          </w:rPr>
          <w:fldChar w:fldCharType="end"/>
        </w:r>
      </w:hyperlink>
    </w:p>
    <w:p w14:paraId="1A5F203E" w14:textId="0F7FB553" w:rsidR="00733207" w:rsidRDefault="00E06378">
      <w:pPr>
        <w:pStyle w:val="TM3"/>
        <w:tabs>
          <w:tab w:val="right" w:leader="dot" w:pos="9630"/>
        </w:tabs>
        <w:rPr>
          <w:rFonts w:cstheme="minorBidi"/>
          <w:noProof/>
        </w:rPr>
      </w:pPr>
      <w:hyperlink w:anchor="_Toc175128428" w:history="1">
        <w:r w:rsidR="00912BAE">
          <w:rPr>
            <w:rStyle w:val="Lienhypertexte"/>
            <w:rFonts w:ascii="Rockwell" w:hAnsi="Rockwell"/>
            <w:i/>
            <w:noProof/>
          </w:rPr>
          <w:t>SECTION 1 : ELECTION ET PRISE DE FONCTION DU PRESIDENT ABDOULAZIZE BAMOGO</w:t>
        </w:r>
        <w:r w:rsidR="00912BAE">
          <w:rPr>
            <w:noProof/>
          </w:rPr>
          <w:tab/>
        </w:r>
        <w:r w:rsidR="00912BAE">
          <w:rPr>
            <w:noProof/>
          </w:rPr>
          <w:fldChar w:fldCharType="begin"/>
        </w:r>
        <w:r w:rsidR="00912BAE">
          <w:rPr>
            <w:noProof/>
          </w:rPr>
          <w:instrText xml:space="preserve"> PAGEREF _Toc175128428 \h </w:instrText>
        </w:r>
        <w:r w:rsidR="00912BAE">
          <w:rPr>
            <w:noProof/>
          </w:rPr>
        </w:r>
        <w:r w:rsidR="00912BAE">
          <w:rPr>
            <w:noProof/>
          </w:rPr>
          <w:fldChar w:fldCharType="separate"/>
        </w:r>
        <w:r w:rsidR="00261767">
          <w:rPr>
            <w:noProof/>
          </w:rPr>
          <w:t>21</w:t>
        </w:r>
        <w:r w:rsidR="00912BAE">
          <w:rPr>
            <w:noProof/>
          </w:rPr>
          <w:fldChar w:fldCharType="end"/>
        </w:r>
      </w:hyperlink>
    </w:p>
    <w:p w14:paraId="4E649A1A" w14:textId="334E44AB" w:rsidR="00733207" w:rsidRDefault="00E06378">
      <w:pPr>
        <w:pStyle w:val="TM4"/>
        <w:tabs>
          <w:tab w:val="right" w:leader="dot" w:pos="9630"/>
        </w:tabs>
        <w:rPr>
          <w:rFonts w:eastAsiaTheme="minorEastAsia"/>
          <w:noProof/>
          <w:lang w:eastAsia="fr-FR"/>
        </w:rPr>
      </w:pPr>
      <w:hyperlink w:anchor="_Toc175128429" w:history="1">
        <w:r w:rsidR="00912BAE">
          <w:rPr>
            <w:rStyle w:val="Lienhypertexte"/>
            <w:rFonts w:ascii="Rockwell" w:hAnsi="Rockwell"/>
            <w:b/>
            <w:noProof/>
          </w:rPr>
          <w:t>Paragraphe 1 : une élection pour achever un mandat</w:t>
        </w:r>
        <w:r w:rsidR="00912BAE">
          <w:rPr>
            <w:noProof/>
          </w:rPr>
          <w:tab/>
        </w:r>
        <w:r w:rsidR="00912BAE">
          <w:rPr>
            <w:noProof/>
          </w:rPr>
          <w:fldChar w:fldCharType="begin"/>
        </w:r>
        <w:r w:rsidR="00912BAE">
          <w:rPr>
            <w:noProof/>
          </w:rPr>
          <w:instrText xml:space="preserve"> PAGEREF _Toc175128429 \h </w:instrText>
        </w:r>
        <w:r w:rsidR="00912BAE">
          <w:rPr>
            <w:noProof/>
          </w:rPr>
        </w:r>
        <w:r w:rsidR="00912BAE">
          <w:rPr>
            <w:noProof/>
          </w:rPr>
          <w:fldChar w:fldCharType="separate"/>
        </w:r>
        <w:r w:rsidR="00261767">
          <w:rPr>
            <w:noProof/>
          </w:rPr>
          <w:t>21</w:t>
        </w:r>
        <w:r w:rsidR="00912BAE">
          <w:rPr>
            <w:noProof/>
          </w:rPr>
          <w:fldChar w:fldCharType="end"/>
        </w:r>
      </w:hyperlink>
    </w:p>
    <w:p w14:paraId="0478BE67" w14:textId="680B4DD8" w:rsidR="00733207" w:rsidRDefault="00E06378">
      <w:pPr>
        <w:pStyle w:val="TM4"/>
        <w:tabs>
          <w:tab w:val="right" w:leader="dot" w:pos="9630"/>
        </w:tabs>
        <w:rPr>
          <w:rFonts w:eastAsiaTheme="minorEastAsia"/>
          <w:noProof/>
          <w:lang w:eastAsia="fr-FR"/>
        </w:rPr>
      </w:pPr>
      <w:hyperlink w:anchor="_Toc175128430" w:history="1">
        <w:r w:rsidR="00912BAE">
          <w:rPr>
            <w:rStyle w:val="Lienhypertexte"/>
            <w:rFonts w:ascii="Rockwell" w:hAnsi="Rockwell"/>
            <w:b/>
            <w:noProof/>
          </w:rPr>
          <w:t>Paragraphe 2 : prise de fonction</w:t>
        </w:r>
        <w:r w:rsidR="00912BAE">
          <w:rPr>
            <w:noProof/>
          </w:rPr>
          <w:tab/>
        </w:r>
        <w:r w:rsidR="00912BAE">
          <w:rPr>
            <w:noProof/>
          </w:rPr>
          <w:fldChar w:fldCharType="begin"/>
        </w:r>
        <w:r w:rsidR="00912BAE">
          <w:rPr>
            <w:noProof/>
          </w:rPr>
          <w:instrText xml:space="preserve"> PAGEREF _Toc175128430 \h </w:instrText>
        </w:r>
        <w:r w:rsidR="00912BAE">
          <w:rPr>
            <w:noProof/>
          </w:rPr>
        </w:r>
        <w:r w:rsidR="00912BAE">
          <w:rPr>
            <w:noProof/>
          </w:rPr>
          <w:fldChar w:fldCharType="separate"/>
        </w:r>
        <w:r w:rsidR="00261767">
          <w:rPr>
            <w:noProof/>
          </w:rPr>
          <w:t>22</w:t>
        </w:r>
        <w:r w:rsidR="00912BAE">
          <w:rPr>
            <w:noProof/>
          </w:rPr>
          <w:fldChar w:fldCharType="end"/>
        </w:r>
      </w:hyperlink>
    </w:p>
    <w:p w14:paraId="272D1890" w14:textId="67A51DCA" w:rsidR="00733207" w:rsidRDefault="00E06378">
      <w:pPr>
        <w:pStyle w:val="TM3"/>
        <w:tabs>
          <w:tab w:val="right" w:leader="dot" w:pos="9630"/>
        </w:tabs>
        <w:rPr>
          <w:rFonts w:cstheme="minorBidi"/>
          <w:noProof/>
        </w:rPr>
      </w:pPr>
      <w:hyperlink w:anchor="_Toc175128431" w:history="1">
        <w:r w:rsidR="00912BAE">
          <w:rPr>
            <w:rStyle w:val="Lienhypertexte"/>
            <w:rFonts w:ascii="Rockwell" w:hAnsi="Rockwell"/>
            <w:noProof/>
          </w:rPr>
          <w:t>SECTION 2 : UNE NOUVELLE VISION POUR REPONDRE AUX DEFIS</w:t>
        </w:r>
        <w:r w:rsidR="00912BAE">
          <w:rPr>
            <w:noProof/>
          </w:rPr>
          <w:tab/>
        </w:r>
        <w:r w:rsidR="00912BAE">
          <w:rPr>
            <w:noProof/>
          </w:rPr>
          <w:fldChar w:fldCharType="begin"/>
        </w:r>
        <w:r w:rsidR="00912BAE">
          <w:rPr>
            <w:noProof/>
          </w:rPr>
          <w:instrText xml:space="preserve"> PAGEREF _Toc175128431 \h </w:instrText>
        </w:r>
        <w:r w:rsidR="00912BAE">
          <w:rPr>
            <w:noProof/>
          </w:rPr>
        </w:r>
        <w:r w:rsidR="00912BAE">
          <w:rPr>
            <w:noProof/>
          </w:rPr>
          <w:fldChar w:fldCharType="separate"/>
        </w:r>
        <w:r w:rsidR="00261767">
          <w:rPr>
            <w:noProof/>
          </w:rPr>
          <w:t>23</w:t>
        </w:r>
        <w:r w:rsidR="00912BAE">
          <w:rPr>
            <w:noProof/>
          </w:rPr>
          <w:fldChar w:fldCharType="end"/>
        </w:r>
      </w:hyperlink>
    </w:p>
    <w:p w14:paraId="0814070F" w14:textId="3F21E3F7" w:rsidR="00733207" w:rsidRDefault="00E06378">
      <w:pPr>
        <w:pStyle w:val="TM4"/>
        <w:tabs>
          <w:tab w:val="right" w:leader="dot" w:pos="9630"/>
        </w:tabs>
        <w:rPr>
          <w:rFonts w:eastAsiaTheme="minorEastAsia"/>
          <w:noProof/>
          <w:lang w:eastAsia="fr-FR"/>
        </w:rPr>
      </w:pPr>
      <w:hyperlink w:anchor="_Toc175128432" w:history="1">
        <w:r w:rsidR="00912BAE">
          <w:rPr>
            <w:rStyle w:val="Lienhypertexte"/>
            <w:rFonts w:ascii="Rockwell" w:hAnsi="Rockwell"/>
            <w:b/>
            <w:noProof/>
          </w:rPr>
          <w:t>Paragraphe 1 : la vision</w:t>
        </w:r>
        <w:r w:rsidR="00912BAE">
          <w:rPr>
            <w:noProof/>
          </w:rPr>
          <w:tab/>
        </w:r>
        <w:r w:rsidR="00912BAE">
          <w:rPr>
            <w:noProof/>
          </w:rPr>
          <w:fldChar w:fldCharType="begin"/>
        </w:r>
        <w:r w:rsidR="00912BAE">
          <w:rPr>
            <w:noProof/>
          </w:rPr>
          <w:instrText xml:space="preserve"> PAGEREF _Toc175128432 \h </w:instrText>
        </w:r>
        <w:r w:rsidR="00912BAE">
          <w:rPr>
            <w:noProof/>
          </w:rPr>
        </w:r>
        <w:r w:rsidR="00912BAE">
          <w:rPr>
            <w:noProof/>
          </w:rPr>
          <w:fldChar w:fldCharType="separate"/>
        </w:r>
        <w:r w:rsidR="00261767">
          <w:rPr>
            <w:noProof/>
          </w:rPr>
          <w:t>23</w:t>
        </w:r>
        <w:r w:rsidR="00912BAE">
          <w:rPr>
            <w:noProof/>
          </w:rPr>
          <w:fldChar w:fldCharType="end"/>
        </w:r>
      </w:hyperlink>
    </w:p>
    <w:p w14:paraId="035F8D84" w14:textId="2C22F318" w:rsidR="00733207" w:rsidRDefault="00E06378">
      <w:pPr>
        <w:pStyle w:val="TM4"/>
        <w:tabs>
          <w:tab w:val="right" w:leader="dot" w:pos="9630"/>
        </w:tabs>
        <w:rPr>
          <w:rFonts w:eastAsiaTheme="minorEastAsia"/>
          <w:noProof/>
          <w:lang w:eastAsia="fr-FR"/>
        </w:rPr>
      </w:pPr>
      <w:hyperlink w:anchor="_Toc175128433" w:history="1">
        <w:r w:rsidR="00912BAE">
          <w:rPr>
            <w:rStyle w:val="Lienhypertexte"/>
            <w:rFonts w:ascii="Rockwell" w:hAnsi="Rockwell"/>
            <w:b/>
            <w:noProof/>
          </w:rPr>
          <w:t>Paragraphe 2 : partage de la vision</w:t>
        </w:r>
        <w:r w:rsidR="00912BAE">
          <w:rPr>
            <w:noProof/>
          </w:rPr>
          <w:tab/>
        </w:r>
        <w:r w:rsidR="00912BAE">
          <w:rPr>
            <w:noProof/>
          </w:rPr>
          <w:fldChar w:fldCharType="begin"/>
        </w:r>
        <w:r w:rsidR="00912BAE">
          <w:rPr>
            <w:noProof/>
          </w:rPr>
          <w:instrText xml:space="preserve"> PAGEREF _Toc175128433 \h </w:instrText>
        </w:r>
        <w:r w:rsidR="00912BAE">
          <w:rPr>
            <w:noProof/>
          </w:rPr>
        </w:r>
        <w:r w:rsidR="00912BAE">
          <w:rPr>
            <w:noProof/>
          </w:rPr>
          <w:fldChar w:fldCharType="separate"/>
        </w:r>
        <w:r w:rsidR="00261767">
          <w:rPr>
            <w:noProof/>
          </w:rPr>
          <w:t>24</w:t>
        </w:r>
        <w:r w:rsidR="00912BAE">
          <w:rPr>
            <w:noProof/>
          </w:rPr>
          <w:fldChar w:fldCharType="end"/>
        </w:r>
      </w:hyperlink>
    </w:p>
    <w:p w14:paraId="03C4A3E0" w14:textId="48BF5010" w:rsidR="00733207" w:rsidRDefault="00E06378">
      <w:pPr>
        <w:pStyle w:val="TM4"/>
        <w:tabs>
          <w:tab w:val="right" w:leader="dot" w:pos="9630"/>
        </w:tabs>
        <w:rPr>
          <w:rFonts w:eastAsiaTheme="minorEastAsia"/>
          <w:noProof/>
          <w:lang w:eastAsia="fr-FR"/>
        </w:rPr>
      </w:pPr>
      <w:hyperlink w:anchor="_Toc175128434" w:history="1">
        <w:r w:rsidR="00912BAE">
          <w:rPr>
            <w:rStyle w:val="Lienhypertexte"/>
            <w:rFonts w:ascii="Rockwell" w:hAnsi="Rockwell"/>
            <w:b/>
            <w:noProof/>
          </w:rPr>
          <w:t>Paragraphe 3 : mise en œuvre de la vision</w:t>
        </w:r>
        <w:r w:rsidR="00912BAE">
          <w:rPr>
            <w:noProof/>
          </w:rPr>
          <w:tab/>
        </w:r>
        <w:r w:rsidR="00912BAE">
          <w:rPr>
            <w:noProof/>
          </w:rPr>
          <w:fldChar w:fldCharType="begin"/>
        </w:r>
        <w:r w:rsidR="00912BAE">
          <w:rPr>
            <w:noProof/>
          </w:rPr>
          <w:instrText xml:space="preserve"> PAGEREF _Toc175128434 \h </w:instrText>
        </w:r>
        <w:r w:rsidR="00912BAE">
          <w:rPr>
            <w:noProof/>
          </w:rPr>
        </w:r>
        <w:r w:rsidR="00912BAE">
          <w:rPr>
            <w:noProof/>
          </w:rPr>
          <w:fldChar w:fldCharType="separate"/>
        </w:r>
        <w:r w:rsidR="00261767">
          <w:rPr>
            <w:noProof/>
          </w:rPr>
          <w:t>29</w:t>
        </w:r>
        <w:r w:rsidR="00912BAE">
          <w:rPr>
            <w:noProof/>
          </w:rPr>
          <w:fldChar w:fldCharType="end"/>
        </w:r>
      </w:hyperlink>
    </w:p>
    <w:p w14:paraId="29CF6E37" w14:textId="7F8617B3" w:rsidR="00733207" w:rsidRDefault="00E06378">
      <w:pPr>
        <w:pStyle w:val="TM5"/>
        <w:tabs>
          <w:tab w:val="right" w:leader="dot" w:pos="9630"/>
        </w:tabs>
        <w:rPr>
          <w:rFonts w:eastAsiaTheme="minorEastAsia"/>
          <w:noProof/>
          <w:lang w:eastAsia="fr-FR"/>
        </w:rPr>
      </w:pPr>
      <w:hyperlink w:anchor="_Toc175128435" w:history="1">
        <w:r w:rsidR="00912BAE">
          <w:rPr>
            <w:rStyle w:val="Lienhypertexte"/>
            <w:rFonts w:ascii="Rockwell" w:hAnsi="Rockwell"/>
            <w:noProof/>
          </w:rPr>
          <w:t>3.1. Conception et adoption des quatre instruments</w:t>
        </w:r>
        <w:r w:rsidR="00912BAE">
          <w:rPr>
            <w:noProof/>
          </w:rPr>
          <w:tab/>
        </w:r>
        <w:r w:rsidR="00912BAE">
          <w:rPr>
            <w:noProof/>
          </w:rPr>
          <w:fldChar w:fldCharType="begin"/>
        </w:r>
        <w:r w:rsidR="00912BAE">
          <w:rPr>
            <w:noProof/>
          </w:rPr>
          <w:instrText xml:space="preserve"> PAGEREF _Toc175128435 \h </w:instrText>
        </w:r>
        <w:r w:rsidR="00912BAE">
          <w:rPr>
            <w:noProof/>
          </w:rPr>
        </w:r>
        <w:r w:rsidR="00912BAE">
          <w:rPr>
            <w:noProof/>
          </w:rPr>
          <w:fldChar w:fldCharType="separate"/>
        </w:r>
        <w:r w:rsidR="00261767">
          <w:rPr>
            <w:noProof/>
          </w:rPr>
          <w:t>29</w:t>
        </w:r>
        <w:r w:rsidR="00912BAE">
          <w:rPr>
            <w:noProof/>
          </w:rPr>
          <w:fldChar w:fldCharType="end"/>
        </w:r>
      </w:hyperlink>
    </w:p>
    <w:p w14:paraId="15C40368" w14:textId="587F4E5B" w:rsidR="00733207" w:rsidRDefault="00E06378">
      <w:pPr>
        <w:pStyle w:val="TM6"/>
        <w:tabs>
          <w:tab w:val="right" w:leader="dot" w:pos="9630"/>
        </w:tabs>
        <w:rPr>
          <w:noProof/>
        </w:rPr>
      </w:pPr>
      <w:hyperlink w:anchor="_Toc175128436" w:history="1">
        <w:r w:rsidR="00912BAE">
          <w:rPr>
            <w:rStyle w:val="Lienhypertexte"/>
            <w:rFonts w:ascii="Rockwell" w:hAnsi="Rockwell"/>
            <w:b/>
            <w:i/>
            <w:noProof/>
          </w:rPr>
          <w:t>3.1.1</w:t>
        </w:r>
        <w:r w:rsidR="00912BAE">
          <w:rPr>
            <w:rStyle w:val="Lienhypertexte"/>
            <w:rFonts w:ascii="Rockwell" w:hAnsi="Rockwell"/>
            <w:b/>
            <w:noProof/>
          </w:rPr>
          <w:t xml:space="preserve">.  </w:t>
        </w:r>
        <w:r w:rsidR="00912BAE">
          <w:rPr>
            <w:rStyle w:val="Lienhypertexte"/>
            <w:rFonts w:ascii="Rockwell" w:hAnsi="Rockwell"/>
            <w:b/>
            <w:i/>
            <w:noProof/>
          </w:rPr>
          <w:t>Adoption des dix (10) conseils pour des comportements responsables sur les réseaux sociaux et dans les émissions d’expression directe dans le contexte de crise sécuritaire et de tension sociale</w:t>
        </w:r>
        <w:r w:rsidR="00912BAE">
          <w:rPr>
            <w:noProof/>
          </w:rPr>
          <w:tab/>
        </w:r>
        <w:r w:rsidR="00912BAE">
          <w:rPr>
            <w:noProof/>
          </w:rPr>
          <w:fldChar w:fldCharType="begin"/>
        </w:r>
        <w:r w:rsidR="00912BAE">
          <w:rPr>
            <w:noProof/>
          </w:rPr>
          <w:instrText xml:space="preserve"> PAGEREF _Toc175128436 \h </w:instrText>
        </w:r>
        <w:r w:rsidR="00912BAE">
          <w:rPr>
            <w:noProof/>
          </w:rPr>
        </w:r>
        <w:r w:rsidR="00912BAE">
          <w:rPr>
            <w:noProof/>
          </w:rPr>
          <w:fldChar w:fldCharType="separate"/>
        </w:r>
        <w:r w:rsidR="00261767">
          <w:rPr>
            <w:noProof/>
          </w:rPr>
          <w:t>29</w:t>
        </w:r>
        <w:r w:rsidR="00912BAE">
          <w:rPr>
            <w:noProof/>
          </w:rPr>
          <w:fldChar w:fldCharType="end"/>
        </w:r>
      </w:hyperlink>
    </w:p>
    <w:p w14:paraId="1BC374F1" w14:textId="6DBBA491" w:rsidR="00733207" w:rsidRDefault="00E06378">
      <w:pPr>
        <w:pStyle w:val="TM6"/>
        <w:tabs>
          <w:tab w:val="right" w:leader="dot" w:pos="9630"/>
        </w:tabs>
        <w:rPr>
          <w:noProof/>
        </w:rPr>
      </w:pPr>
      <w:hyperlink w:anchor="_Toc175128437" w:history="1">
        <w:r w:rsidR="00912BAE">
          <w:rPr>
            <w:rStyle w:val="Lienhypertexte"/>
            <w:rFonts w:ascii="Rockwell" w:hAnsi="Rockwell"/>
            <w:b/>
            <w:noProof/>
          </w:rPr>
          <w:t xml:space="preserve">3.1.2. </w:t>
        </w:r>
        <w:r w:rsidR="00912BAE">
          <w:rPr>
            <w:rStyle w:val="Lienhypertexte"/>
            <w:rFonts w:ascii="Rockwell" w:hAnsi="Rockwell"/>
            <w:b/>
            <w:i/>
            <w:noProof/>
          </w:rPr>
          <w:t>Adoption des sept (07) points de vigilance des médias et des journalistes, dans le contexte de crise sécuritaire, de tensions sociales et de transition politique</w:t>
        </w:r>
        <w:r w:rsidR="00912BAE">
          <w:rPr>
            <w:noProof/>
          </w:rPr>
          <w:tab/>
        </w:r>
        <w:r w:rsidR="00912BAE">
          <w:rPr>
            <w:noProof/>
          </w:rPr>
          <w:fldChar w:fldCharType="begin"/>
        </w:r>
        <w:r w:rsidR="00912BAE">
          <w:rPr>
            <w:noProof/>
          </w:rPr>
          <w:instrText xml:space="preserve"> PAGEREF _Toc175128437 \h </w:instrText>
        </w:r>
        <w:r w:rsidR="00912BAE">
          <w:rPr>
            <w:noProof/>
          </w:rPr>
        </w:r>
        <w:r w:rsidR="00912BAE">
          <w:rPr>
            <w:noProof/>
          </w:rPr>
          <w:fldChar w:fldCharType="separate"/>
        </w:r>
        <w:r w:rsidR="00261767">
          <w:rPr>
            <w:noProof/>
          </w:rPr>
          <w:t>31</w:t>
        </w:r>
        <w:r w:rsidR="00912BAE">
          <w:rPr>
            <w:noProof/>
          </w:rPr>
          <w:fldChar w:fldCharType="end"/>
        </w:r>
      </w:hyperlink>
    </w:p>
    <w:p w14:paraId="3469F1F5" w14:textId="12289AB0" w:rsidR="00733207" w:rsidRDefault="00E06378">
      <w:pPr>
        <w:pStyle w:val="TM6"/>
        <w:tabs>
          <w:tab w:val="right" w:leader="dot" w:pos="9630"/>
        </w:tabs>
        <w:rPr>
          <w:noProof/>
        </w:rPr>
      </w:pPr>
      <w:hyperlink w:anchor="_Toc175128438" w:history="1">
        <w:r w:rsidR="00912BAE">
          <w:rPr>
            <w:rStyle w:val="Lienhypertexte"/>
            <w:rFonts w:ascii="Rockwell" w:hAnsi="Rockwell"/>
            <w:b/>
            <w:i/>
            <w:noProof/>
          </w:rPr>
          <w:t>3.1.3.  Adoption du Guide et de la Charte de gestion des émissions à caractère confessionnel dans le contexte de crise sécuritaire, de tension sociale et de transition politique</w:t>
        </w:r>
        <w:r w:rsidR="00912BAE">
          <w:rPr>
            <w:noProof/>
          </w:rPr>
          <w:tab/>
        </w:r>
        <w:r w:rsidR="00912BAE">
          <w:rPr>
            <w:noProof/>
          </w:rPr>
          <w:fldChar w:fldCharType="begin"/>
        </w:r>
        <w:r w:rsidR="00912BAE">
          <w:rPr>
            <w:noProof/>
          </w:rPr>
          <w:instrText xml:space="preserve"> PAGEREF _Toc175128438 \h </w:instrText>
        </w:r>
        <w:r w:rsidR="00912BAE">
          <w:rPr>
            <w:noProof/>
          </w:rPr>
        </w:r>
        <w:r w:rsidR="00912BAE">
          <w:rPr>
            <w:noProof/>
          </w:rPr>
          <w:fldChar w:fldCharType="separate"/>
        </w:r>
        <w:r w:rsidR="00261767">
          <w:rPr>
            <w:noProof/>
          </w:rPr>
          <w:t>32</w:t>
        </w:r>
        <w:r w:rsidR="00912BAE">
          <w:rPr>
            <w:noProof/>
          </w:rPr>
          <w:fldChar w:fldCharType="end"/>
        </w:r>
      </w:hyperlink>
    </w:p>
    <w:p w14:paraId="5F740484" w14:textId="647DDE32" w:rsidR="00733207" w:rsidRDefault="00E06378">
      <w:pPr>
        <w:pStyle w:val="TM5"/>
        <w:tabs>
          <w:tab w:val="right" w:leader="dot" w:pos="9630"/>
        </w:tabs>
        <w:rPr>
          <w:rFonts w:eastAsiaTheme="minorEastAsia"/>
          <w:noProof/>
          <w:lang w:eastAsia="fr-FR"/>
        </w:rPr>
      </w:pPr>
      <w:hyperlink w:anchor="_Toc175128439" w:history="1">
        <w:r w:rsidR="00912BAE">
          <w:rPr>
            <w:rStyle w:val="Lienhypertexte"/>
            <w:rFonts w:ascii="Rockwell" w:hAnsi="Rockwell"/>
            <w:noProof/>
          </w:rPr>
          <w:t>3.2. Vulgarisation des quatre instruments pour une communication au service de la paix et de la cohésion sociale</w:t>
        </w:r>
        <w:r w:rsidR="00912BAE">
          <w:rPr>
            <w:noProof/>
          </w:rPr>
          <w:tab/>
        </w:r>
        <w:r w:rsidR="00912BAE">
          <w:rPr>
            <w:noProof/>
          </w:rPr>
          <w:fldChar w:fldCharType="begin"/>
        </w:r>
        <w:r w:rsidR="00912BAE">
          <w:rPr>
            <w:noProof/>
          </w:rPr>
          <w:instrText xml:space="preserve"> PAGEREF _Toc175128439 \h </w:instrText>
        </w:r>
        <w:r w:rsidR="00912BAE">
          <w:rPr>
            <w:noProof/>
          </w:rPr>
        </w:r>
        <w:r w:rsidR="00912BAE">
          <w:rPr>
            <w:noProof/>
          </w:rPr>
          <w:fldChar w:fldCharType="separate"/>
        </w:r>
        <w:r w:rsidR="00261767">
          <w:rPr>
            <w:noProof/>
          </w:rPr>
          <w:t>34</w:t>
        </w:r>
        <w:r w:rsidR="00912BAE">
          <w:rPr>
            <w:noProof/>
          </w:rPr>
          <w:fldChar w:fldCharType="end"/>
        </w:r>
      </w:hyperlink>
    </w:p>
    <w:p w14:paraId="00DE24DB" w14:textId="7310A718" w:rsidR="00733207" w:rsidRDefault="00E06378">
      <w:pPr>
        <w:pStyle w:val="TM6"/>
        <w:tabs>
          <w:tab w:val="right" w:leader="dot" w:pos="9630"/>
        </w:tabs>
        <w:rPr>
          <w:noProof/>
        </w:rPr>
      </w:pPr>
      <w:hyperlink w:anchor="_Toc175128440" w:history="1">
        <w:r w:rsidR="00912BAE">
          <w:rPr>
            <w:rStyle w:val="Lienhypertexte"/>
            <w:rFonts w:ascii="Rockwell" w:hAnsi="Rockwell"/>
            <w:b/>
            <w:i/>
            <w:noProof/>
          </w:rPr>
          <w:t>3.2.1. Tournées de remise des supports contenant les dix (10) conseils et  rencontres de vulgarisation</w:t>
        </w:r>
        <w:r w:rsidR="00912BAE">
          <w:rPr>
            <w:noProof/>
          </w:rPr>
          <w:tab/>
        </w:r>
        <w:r w:rsidR="00912BAE">
          <w:rPr>
            <w:noProof/>
          </w:rPr>
          <w:fldChar w:fldCharType="begin"/>
        </w:r>
        <w:r w:rsidR="00912BAE">
          <w:rPr>
            <w:noProof/>
          </w:rPr>
          <w:instrText xml:space="preserve"> PAGEREF _Toc175128440 \h </w:instrText>
        </w:r>
        <w:r w:rsidR="00912BAE">
          <w:rPr>
            <w:noProof/>
          </w:rPr>
        </w:r>
        <w:r w:rsidR="00912BAE">
          <w:rPr>
            <w:noProof/>
          </w:rPr>
          <w:fldChar w:fldCharType="separate"/>
        </w:r>
        <w:r w:rsidR="00261767">
          <w:rPr>
            <w:noProof/>
          </w:rPr>
          <w:t>34</w:t>
        </w:r>
        <w:r w:rsidR="00912BAE">
          <w:rPr>
            <w:noProof/>
          </w:rPr>
          <w:fldChar w:fldCharType="end"/>
        </w:r>
      </w:hyperlink>
    </w:p>
    <w:p w14:paraId="6538A46C" w14:textId="61F1681A" w:rsidR="00733207" w:rsidRDefault="00E06378">
      <w:pPr>
        <w:pStyle w:val="TM6"/>
        <w:tabs>
          <w:tab w:val="right" w:leader="dot" w:pos="9630"/>
        </w:tabs>
        <w:rPr>
          <w:noProof/>
        </w:rPr>
      </w:pPr>
      <w:hyperlink w:anchor="_Toc175128441" w:history="1">
        <w:r w:rsidR="00912BAE">
          <w:rPr>
            <w:rStyle w:val="Lienhypertexte"/>
            <w:rFonts w:ascii="Rockwell" w:hAnsi="Rockwell"/>
            <w:b/>
            <w:i/>
            <w:noProof/>
          </w:rPr>
          <w:t>3.2.2. Animation de conférences publiques</w:t>
        </w:r>
        <w:r w:rsidR="00912BAE">
          <w:rPr>
            <w:noProof/>
          </w:rPr>
          <w:tab/>
        </w:r>
        <w:r w:rsidR="00912BAE">
          <w:rPr>
            <w:noProof/>
          </w:rPr>
          <w:fldChar w:fldCharType="begin"/>
        </w:r>
        <w:r w:rsidR="00912BAE">
          <w:rPr>
            <w:noProof/>
          </w:rPr>
          <w:instrText xml:space="preserve"> PAGEREF _Toc175128441 \h </w:instrText>
        </w:r>
        <w:r w:rsidR="00912BAE">
          <w:rPr>
            <w:noProof/>
          </w:rPr>
        </w:r>
        <w:r w:rsidR="00912BAE">
          <w:rPr>
            <w:noProof/>
          </w:rPr>
          <w:fldChar w:fldCharType="separate"/>
        </w:r>
        <w:r w:rsidR="00261767">
          <w:rPr>
            <w:noProof/>
          </w:rPr>
          <w:t>35</w:t>
        </w:r>
        <w:r w:rsidR="00912BAE">
          <w:rPr>
            <w:noProof/>
          </w:rPr>
          <w:fldChar w:fldCharType="end"/>
        </w:r>
      </w:hyperlink>
    </w:p>
    <w:p w14:paraId="4908AC49" w14:textId="1B30AC7B" w:rsidR="00733207" w:rsidRDefault="00E06378">
      <w:pPr>
        <w:pStyle w:val="TM6"/>
        <w:tabs>
          <w:tab w:val="right" w:leader="dot" w:pos="9630"/>
        </w:tabs>
        <w:rPr>
          <w:noProof/>
        </w:rPr>
      </w:pPr>
      <w:hyperlink w:anchor="_Toc175128442" w:history="1">
        <w:r w:rsidR="00912BAE">
          <w:rPr>
            <w:rStyle w:val="Lienhypertexte"/>
            <w:rFonts w:ascii="Rockwell" w:hAnsi="Rockwell"/>
            <w:b/>
            <w:i/>
            <w:noProof/>
          </w:rPr>
          <w:t xml:space="preserve">3.2.3. Vulgarisation </w:t>
        </w:r>
        <w:r w:rsidR="00912BAE">
          <w:rPr>
            <w:rStyle w:val="Lienhypertexte"/>
            <w:rFonts w:ascii="Rockwell" w:hAnsi="Rockwell"/>
            <w:b/>
            <w:noProof/>
          </w:rPr>
          <w:t>des sept (07) points de vigilance des médias et des journalistes</w:t>
        </w:r>
        <w:r w:rsidR="00912BAE">
          <w:rPr>
            <w:noProof/>
          </w:rPr>
          <w:tab/>
        </w:r>
        <w:r w:rsidR="00912BAE">
          <w:rPr>
            <w:noProof/>
          </w:rPr>
          <w:fldChar w:fldCharType="begin"/>
        </w:r>
        <w:r w:rsidR="00912BAE">
          <w:rPr>
            <w:noProof/>
          </w:rPr>
          <w:instrText xml:space="preserve"> PAGEREF _Toc175128442 \h </w:instrText>
        </w:r>
        <w:r w:rsidR="00912BAE">
          <w:rPr>
            <w:noProof/>
          </w:rPr>
        </w:r>
        <w:r w:rsidR="00912BAE">
          <w:rPr>
            <w:noProof/>
          </w:rPr>
          <w:fldChar w:fldCharType="separate"/>
        </w:r>
        <w:r w:rsidR="00261767">
          <w:rPr>
            <w:noProof/>
          </w:rPr>
          <w:t>36</w:t>
        </w:r>
        <w:r w:rsidR="00912BAE">
          <w:rPr>
            <w:noProof/>
          </w:rPr>
          <w:fldChar w:fldCharType="end"/>
        </w:r>
      </w:hyperlink>
    </w:p>
    <w:p w14:paraId="6CC644C8" w14:textId="52BE266E" w:rsidR="00733207" w:rsidRDefault="00E06378">
      <w:pPr>
        <w:pStyle w:val="TM6"/>
        <w:tabs>
          <w:tab w:val="right" w:leader="dot" w:pos="9630"/>
        </w:tabs>
        <w:rPr>
          <w:noProof/>
        </w:rPr>
      </w:pPr>
      <w:hyperlink w:anchor="_Toc175128443" w:history="1">
        <w:r w:rsidR="00912BAE">
          <w:rPr>
            <w:rStyle w:val="Lienhypertexte"/>
            <w:rFonts w:ascii="Rockwell" w:hAnsi="Rockwell"/>
            <w:b/>
            <w:i/>
            <w:noProof/>
          </w:rPr>
          <w:t>3.2.4. Tournées de vulgarisation du Guide et de la Charte de gestion des émissions confessionnelles</w:t>
        </w:r>
        <w:r w:rsidR="00912BAE">
          <w:rPr>
            <w:noProof/>
          </w:rPr>
          <w:tab/>
        </w:r>
        <w:r w:rsidR="00912BAE">
          <w:rPr>
            <w:noProof/>
          </w:rPr>
          <w:fldChar w:fldCharType="begin"/>
        </w:r>
        <w:r w:rsidR="00912BAE">
          <w:rPr>
            <w:noProof/>
          </w:rPr>
          <w:instrText xml:space="preserve"> PAGEREF _Toc175128443 \h </w:instrText>
        </w:r>
        <w:r w:rsidR="00912BAE">
          <w:rPr>
            <w:noProof/>
          </w:rPr>
        </w:r>
        <w:r w:rsidR="00912BAE">
          <w:rPr>
            <w:noProof/>
          </w:rPr>
          <w:fldChar w:fldCharType="separate"/>
        </w:r>
        <w:r w:rsidR="00261767">
          <w:rPr>
            <w:noProof/>
          </w:rPr>
          <w:t>37</w:t>
        </w:r>
        <w:r w:rsidR="00912BAE">
          <w:rPr>
            <w:noProof/>
          </w:rPr>
          <w:fldChar w:fldCharType="end"/>
        </w:r>
      </w:hyperlink>
    </w:p>
    <w:p w14:paraId="0D49ABD0" w14:textId="77C2DC94" w:rsidR="00733207" w:rsidRDefault="00E06378">
      <w:pPr>
        <w:pStyle w:val="TM6"/>
        <w:tabs>
          <w:tab w:val="right" w:leader="dot" w:pos="9630"/>
        </w:tabs>
        <w:rPr>
          <w:noProof/>
        </w:rPr>
      </w:pPr>
      <w:hyperlink w:anchor="_Toc175128444" w:history="1">
        <w:r w:rsidR="00912BAE">
          <w:rPr>
            <w:rStyle w:val="Lienhypertexte"/>
            <w:rFonts w:ascii="Rockwell" w:hAnsi="Rockwell"/>
            <w:b/>
            <w:i/>
            <w:noProof/>
          </w:rPr>
          <w:t>3.2.5. Vulgarisation simultanée des quatre (04) instruments</w:t>
        </w:r>
        <w:r w:rsidR="00912BAE">
          <w:rPr>
            <w:noProof/>
          </w:rPr>
          <w:tab/>
        </w:r>
        <w:r w:rsidR="00912BAE">
          <w:rPr>
            <w:noProof/>
          </w:rPr>
          <w:fldChar w:fldCharType="begin"/>
        </w:r>
        <w:r w:rsidR="00912BAE">
          <w:rPr>
            <w:noProof/>
          </w:rPr>
          <w:instrText xml:space="preserve"> PAGEREF _Toc175128444 \h </w:instrText>
        </w:r>
        <w:r w:rsidR="00912BAE">
          <w:rPr>
            <w:noProof/>
          </w:rPr>
        </w:r>
        <w:r w:rsidR="00912BAE">
          <w:rPr>
            <w:noProof/>
          </w:rPr>
          <w:fldChar w:fldCharType="separate"/>
        </w:r>
        <w:r w:rsidR="00261767">
          <w:rPr>
            <w:noProof/>
          </w:rPr>
          <w:t>38</w:t>
        </w:r>
        <w:r w:rsidR="00912BAE">
          <w:rPr>
            <w:noProof/>
          </w:rPr>
          <w:fldChar w:fldCharType="end"/>
        </w:r>
      </w:hyperlink>
    </w:p>
    <w:p w14:paraId="5E51077A" w14:textId="48F08977" w:rsidR="00733207" w:rsidRDefault="00E06378">
      <w:pPr>
        <w:pStyle w:val="TM2"/>
        <w:rPr>
          <w:rFonts w:cstheme="minorBidi"/>
          <w:noProof/>
        </w:rPr>
      </w:pPr>
      <w:hyperlink w:anchor="_Toc175128445" w:history="1">
        <w:r w:rsidR="00912BAE">
          <w:rPr>
            <w:rStyle w:val="Lienhypertexte"/>
            <w:rFonts w:ascii="Rockwell" w:hAnsi="Rockwell"/>
            <w:b/>
            <w:noProof/>
          </w:rPr>
          <w:t>CHAPITRE II : AUTRES ACTIONS DE PROMOTION DE PAIX ET DE COHESION SOCIALE</w:t>
        </w:r>
        <w:r w:rsidR="00912BAE">
          <w:rPr>
            <w:noProof/>
          </w:rPr>
          <w:tab/>
        </w:r>
        <w:r w:rsidR="00912BAE">
          <w:rPr>
            <w:noProof/>
          </w:rPr>
          <w:fldChar w:fldCharType="begin"/>
        </w:r>
        <w:r w:rsidR="00912BAE">
          <w:rPr>
            <w:noProof/>
          </w:rPr>
          <w:instrText xml:space="preserve"> PAGEREF _Toc175128445 \h </w:instrText>
        </w:r>
        <w:r w:rsidR="00912BAE">
          <w:rPr>
            <w:noProof/>
          </w:rPr>
        </w:r>
        <w:r w:rsidR="00912BAE">
          <w:rPr>
            <w:noProof/>
          </w:rPr>
          <w:fldChar w:fldCharType="separate"/>
        </w:r>
        <w:r w:rsidR="00261767">
          <w:rPr>
            <w:noProof/>
          </w:rPr>
          <w:t>41</w:t>
        </w:r>
        <w:r w:rsidR="00912BAE">
          <w:rPr>
            <w:noProof/>
          </w:rPr>
          <w:fldChar w:fldCharType="end"/>
        </w:r>
      </w:hyperlink>
    </w:p>
    <w:p w14:paraId="6598C702" w14:textId="5D7E744C" w:rsidR="00733207" w:rsidRDefault="00E06378">
      <w:pPr>
        <w:pStyle w:val="TM3"/>
        <w:tabs>
          <w:tab w:val="right" w:leader="dot" w:pos="9630"/>
        </w:tabs>
        <w:rPr>
          <w:rFonts w:cstheme="minorBidi"/>
          <w:noProof/>
        </w:rPr>
      </w:pPr>
      <w:hyperlink w:anchor="_Toc175128446" w:history="1">
        <w:r w:rsidR="00912BAE">
          <w:rPr>
            <w:rStyle w:val="Lienhypertexte"/>
            <w:rFonts w:ascii="Rockwell" w:hAnsi="Rockwell"/>
            <w:i/>
            <w:noProof/>
          </w:rPr>
          <w:t>SECTION 1 : LUTTE CONTRE LES FAKE-NEWS ET LES DISCOURS DE HAINE</w:t>
        </w:r>
        <w:r w:rsidR="00912BAE">
          <w:rPr>
            <w:noProof/>
          </w:rPr>
          <w:tab/>
        </w:r>
        <w:r w:rsidR="00912BAE">
          <w:rPr>
            <w:noProof/>
          </w:rPr>
          <w:fldChar w:fldCharType="begin"/>
        </w:r>
        <w:r w:rsidR="00912BAE">
          <w:rPr>
            <w:noProof/>
          </w:rPr>
          <w:instrText xml:space="preserve"> PAGEREF _Toc175128446 \h </w:instrText>
        </w:r>
        <w:r w:rsidR="00912BAE">
          <w:rPr>
            <w:noProof/>
          </w:rPr>
        </w:r>
        <w:r w:rsidR="00912BAE">
          <w:rPr>
            <w:noProof/>
          </w:rPr>
          <w:fldChar w:fldCharType="separate"/>
        </w:r>
        <w:r w:rsidR="00261767">
          <w:rPr>
            <w:noProof/>
          </w:rPr>
          <w:t>41</w:t>
        </w:r>
        <w:r w:rsidR="00912BAE">
          <w:rPr>
            <w:noProof/>
          </w:rPr>
          <w:fldChar w:fldCharType="end"/>
        </w:r>
      </w:hyperlink>
    </w:p>
    <w:p w14:paraId="311782F3" w14:textId="37A5B286" w:rsidR="00733207" w:rsidRDefault="00E06378">
      <w:pPr>
        <w:pStyle w:val="TM3"/>
        <w:tabs>
          <w:tab w:val="right" w:leader="dot" w:pos="9630"/>
        </w:tabs>
        <w:rPr>
          <w:rFonts w:cstheme="minorBidi"/>
          <w:noProof/>
        </w:rPr>
      </w:pPr>
      <w:hyperlink w:anchor="_Toc175128447" w:history="1">
        <w:r w:rsidR="00912BAE">
          <w:rPr>
            <w:rStyle w:val="Lienhypertexte"/>
            <w:rFonts w:ascii="Rockwell" w:hAnsi="Rockwell"/>
            <w:i/>
            <w:noProof/>
          </w:rPr>
          <w:t>SECTION 2 : INSTAURATION D’UN MANDAT DE PREDICATEUR DANS LES MEDIAS</w:t>
        </w:r>
        <w:r w:rsidR="00912BAE">
          <w:rPr>
            <w:noProof/>
          </w:rPr>
          <w:tab/>
        </w:r>
        <w:r w:rsidR="00912BAE">
          <w:rPr>
            <w:noProof/>
          </w:rPr>
          <w:fldChar w:fldCharType="begin"/>
        </w:r>
        <w:r w:rsidR="00912BAE">
          <w:rPr>
            <w:noProof/>
          </w:rPr>
          <w:instrText xml:space="preserve"> PAGEREF _Toc175128447 \h </w:instrText>
        </w:r>
        <w:r w:rsidR="00912BAE">
          <w:rPr>
            <w:noProof/>
          </w:rPr>
        </w:r>
        <w:r w:rsidR="00912BAE">
          <w:rPr>
            <w:noProof/>
          </w:rPr>
          <w:fldChar w:fldCharType="separate"/>
        </w:r>
        <w:r w:rsidR="00261767">
          <w:rPr>
            <w:noProof/>
          </w:rPr>
          <w:t>41</w:t>
        </w:r>
        <w:r w:rsidR="00912BAE">
          <w:rPr>
            <w:noProof/>
          </w:rPr>
          <w:fldChar w:fldCharType="end"/>
        </w:r>
      </w:hyperlink>
    </w:p>
    <w:p w14:paraId="6E077B57" w14:textId="7F1DD20D" w:rsidR="00733207" w:rsidRDefault="00E06378">
      <w:pPr>
        <w:pStyle w:val="TM3"/>
        <w:tabs>
          <w:tab w:val="right" w:leader="dot" w:pos="9630"/>
        </w:tabs>
        <w:rPr>
          <w:rFonts w:cstheme="minorBidi"/>
          <w:noProof/>
        </w:rPr>
      </w:pPr>
      <w:hyperlink w:anchor="_Toc175128448" w:history="1">
        <w:r w:rsidR="00912BAE">
          <w:rPr>
            <w:rStyle w:val="Lienhypertexte"/>
            <w:rFonts w:ascii="Rockwell" w:hAnsi="Rockwell"/>
            <w:i/>
            <w:noProof/>
          </w:rPr>
          <w:t>SECTION 3 : MISE EN PLACE D’UN PLAN D’ACTIONS DES JOURNALISTES ET COMMUNICATEURS CONFESSIONNELS</w:t>
        </w:r>
        <w:r w:rsidR="00912BAE">
          <w:rPr>
            <w:noProof/>
          </w:rPr>
          <w:tab/>
        </w:r>
        <w:r w:rsidR="00912BAE">
          <w:rPr>
            <w:noProof/>
          </w:rPr>
          <w:fldChar w:fldCharType="begin"/>
        </w:r>
        <w:r w:rsidR="00912BAE">
          <w:rPr>
            <w:noProof/>
          </w:rPr>
          <w:instrText xml:space="preserve"> PAGEREF _Toc175128448 \h </w:instrText>
        </w:r>
        <w:r w:rsidR="00912BAE">
          <w:rPr>
            <w:noProof/>
          </w:rPr>
        </w:r>
        <w:r w:rsidR="00912BAE">
          <w:rPr>
            <w:noProof/>
          </w:rPr>
          <w:fldChar w:fldCharType="separate"/>
        </w:r>
        <w:r w:rsidR="00261767">
          <w:rPr>
            <w:noProof/>
          </w:rPr>
          <w:t>42</w:t>
        </w:r>
        <w:r w:rsidR="00912BAE">
          <w:rPr>
            <w:noProof/>
          </w:rPr>
          <w:fldChar w:fldCharType="end"/>
        </w:r>
      </w:hyperlink>
    </w:p>
    <w:p w14:paraId="3013BB5B" w14:textId="43F419A8" w:rsidR="00733207" w:rsidRDefault="00E06378">
      <w:pPr>
        <w:pStyle w:val="TM3"/>
        <w:tabs>
          <w:tab w:val="right" w:leader="dot" w:pos="9630"/>
        </w:tabs>
        <w:rPr>
          <w:rFonts w:cstheme="minorBidi"/>
          <w:noProof/>
        </w:rPr>
      </w:pPr>
      <w:hyperlink w:anchor="_Toc175128449" w:history="1">
        <w:r w:rsidR="00912BAE">
          <w:rPr>
            <w:rStyle w:val="Lienhypertexte"/>
            <w:rFonts w:ascii="Rockwell" w:hAnsi="Rockwell"/>
            <w:i/>
            <w:noProof/>
          </w:rPr>
          <w:t>SECTION 4 : PARRAINAGE DU 6</w:t>
        </w:r>
        <w:r w:rsidR="00912BAE">
          <w:rPr>
            <w:rStyle w:val="Lienhypertexte"/>
            <w:rFonts w:ascii="Rockwell" w:hAnsi="Rockwell"/>
            <w:i/>
            <w:noProof/>
            <w:vertAlign w:val="superscript"/>
          </w:rPr>
          <w:t>E</w:t>
        </w:r>
        <w:r w:rsidR="00912BAE">
          <w:rPr>
            <w:rStyle w:val="Lienhypertexte"/>
            <w:rFonts w:ascii="Rockwell" w:hAnsi="Rockwell"/>
            <w:i/>
            <w:noProof/>
          </w:rPr>
          <w:t xml:space="preserve"> FORUM DES MEDIAS CHRETIENS D’AFRIQUE FRANCOPHONE</w:t>
        </w:r>
        <w:r w:rsidR="00912BAE">
          <w:rPr>
            <w:noProof/>
          </w:rPr>
          <w:tab/>
        </w:r>
        <w:r w:rsidR="00912BAE">
          <w:rPr>
            <w:noProof/>
          </w:rPr>
          <w:fldChar w:fldCharType="begin"/>
        </w:r>
        <w:r w:rsidR="00912BAE">
          <w:rPr>
            <w:noProof/>
          </w:rPr>
          <w:instrText xml:space="preserve"> PAGEREF _Toc175128449 \h </w:instrText>
        </w:r>
        <w:r w:rsidR="00912BAE">
          <w:rPr>
            <w:noProof/>
          </w:rPr>
        </w:r>
        <w:r w:rsidR="00912BAE">
          <w:rPr>
            <w:noProof/>
          </w:rPr>
          <w:fldChar w:fldCharType="separate"/>
        </w:r>
        <w:r w:rsidR="00261767">
          <w:rPr>
            <w:noProof/>
          </w:rPr>
          <w:t>43</w:t>
        </w:r>
        <w:r w:rsidR="00912BAE">
          <w:rPr>
            <w:noProof/>
          </w:rPr>
          <w:fldChar w:fldCharType="end"/>
        </w:r>
      </w:hyperlink>
    </w:p>
    <w:p w14:paraId="00076A8E" w14:textId="2A7A716D" w:rsidR="00733207" w:rsidRDefault="00E06378">
      <w:pPr>
        <w:pStyle w:val="TM3"/>
        <w:tabs>
          <w:tab w:val="right" w:leader="dot" w:pos="9630"/>
        </w:tabs>
        <w:rPr>
          <w:rFonts w:cstheme="minorBidi"/>
          <w:noProof/>
        </w:rPr>
      </w:pPr>
      <w:hyperlink w:anchor="_Toc175128450" w:history="1">
        <w:r w:rsidR="00912BAE">
          <w:rPr>
            <w:rStyle w:val="Lienhypertexte"/>
            <w:rFonts w:ascii="Rockwell" w:eastAsia="Times New Roman" w:hAnsi="Rockwell"/>
            <w:i/>
            <w:noProof/>
          </w:rPr>
          <w:t>SECTION 5 : PARTICIPATION AU LANCEMENT DE LA</w:t>
        </w:r>
        <w:r w:rsidR="00912BAE">
          <w:rPr>
            <w:rStyle w:val="Lienhypertexte"/>
            <w:rFonts w:ascii="Rockwell" w:eastAsia="Times New Roman" w:hAnsi="Rockwell"/>
            <w:b/>
            <w:i/>
            <w:noProof/>
          </w:rPr>
          <w:t xml:space="preserve"> </w:t>
        </w:r>
        <w:r w:rsidR="00912BAE">
          <w:rPr>
            <w:rStyle w:val="Lienhypertexte"/>
            <w:rFonts w:ascii="Rockwell" w:eastAsia="Times New Roman" w:hAnsi="Rockwell"/>
            <w:i/>
            <w:noProof/>
          </w:rPr>
          <w:t>CAMPAGNE</w:t>
        </w:r>
        <w:r w:rsidR="00912BAE">
          <w:rPr>
            <w:rStyle w:val="Lienhypertexte"/>
            <w:rFonts w:ascii="Rockwell" w:eastAsia="Times New Roman" w:hAnsi="Rockwell"/>
            <w:b/>
            <w:i/>
            <w:noProof/>
          </w:rPr>
          <w:t xml:space="preserve"> </w:t>
        </w:r>
        <w:r w:rsidR="00912BAE">
          <w:rPr>
            <w:rStyle w:val="Lienhypertexte"/>
            <w:rFonts w:ascii="Rockwell" w:eastAsia="Times New Roman" w:hAnsi="Rockwell"/>
            <w:i/>
            <w:noProof/>
          </w:rPr>
          <w:t>DE PREVENTION INITIEE PAR LA BCLCC</w:t>
        </w:r>
        <w:r w:rsidR="00912BAE">
          <w:rPr>
            <w:noProof/>
          </w:rPr>
          <w:tab/>
        </w:r>
        <w:r w:rsidR="00912BAE">
          <w:rPr>
            <w:noProof/>
          </w:rPr>
          <w:fldChar w:fldCharType="begin"/>
        </w:r>
        <w:r w:rsidR="00912BAE">
          <w:rPr>
            <w:noProof/>
          </w:rPr>
          <w:instrText xml:space="preserve"> PAGEREF _Toc175128450 \h </w:instrText>
        </w:r>
        <w:r w:rsidR="00912BAE">
          <w:rPr>
            <w:noProof/>
          </w:rPr>
        </w:r>
        <w:r w:rsidR="00912BAE">
          <w:rPr>
            <w:noProof/>
          </w:rPr>
          <w:fldChar w:fldCharType="separate"/>
        </w:r>
        <w:r w:rsidR="00261767">
          <w:rPr>
            <w:noProof/>
          </w:rPr>
          <w:t>43</w:t>
        </w:r>
        <w:r w:rsidR="00912BAE">
          <w:rPr>
            <w:noProof/>
          </w:rPr>
          <w:fldChar w:fldCharType="end"/>
        </w:r>
      </w:hyperlink>
    </w:p>
    <w:p w14:paraId="378F6A8E" w14:textId="543A011B" w:rsidR="00733207" w:rsidRDefault="00E06378">
      <w:pPr>
        <w:pStyle w:val="TM1"/>
        <w:tabs>
          <w:tab w:val="right" w:leader="dot" w:pos="9630"/>
        </w:tabs>
        <w:rPr>
          <w:rFonts w:cstheme="minorBidi"/>
          <w:noProof/>
        </w:rPr>
      </w:pPr>
      <w:hyperlink w:anchor="_Toc175128451" w:history="1">
        <w:r w:rsidR="00912BAE">
          <w:rPr>
            <w:rStyle w:val="Lienhypertexte"/>
            <w:rFonts w:ascii="Rockwell" w:hAnsi="Rockwell"/>
            <w:b/>
            <w:noProof/>
          </w:rPr>
          <w:t>DEUXIEME PARTIE : ACTIVITES DE REGULATION COURANTE DES MEDIAS</w:t>
        </w:r>
        <w:r w:rsidR="00912BAE">
          <w:rPr>
            <w:noProof/>
          </w:rPr>
          <w:tab/>
        </w:r>
        <w:r w:rsidR="00912BAE">
          <w:rPr>
            <w:noProof/>
          </w:rPr>
          <w:fldChar w:fldCharType="begin"/>
        </w:r>
        <w:r w:rsidR="00912BAE">
          <w:rPr>
            <w:noProof/>
          </w:rPr>
          <w:instrText xml:space="preserve"> PAGEREF _Toc175128451 \h </w:instrText>
        </w:r>
        <w:r w:rsidR="00912BAE">
          <w:rPr>
            <w:noProof/>
          </w:rPr>
        </w:r>
        <w:r w:rsidR="00912BAE">
          <w:rPr>
            <w:noProof/>
          </w:rPr>
          <w:fldChar w:fldCharType="separate"/>
        </w:r>
        <w:r w:rsidR="00261767">
          <w:rPr>
            <w:noProof/>
          </w:rPr>
          <w:t>45</w:t>
        </w:r>
        <w:r w:rsidR="00912BAE">
          <w:rPr>
            <w:noProof/>
          </w:rPr>
          <w:fldChar w:fldCharType="end"/>
        </w:r>
      </w:hyperlink>
    </w:p>
    <w:p w14:paraId="13F7A06F" w14:textId="7AB8ABA7" w:rsidR="00733207" w:rsidRDefault="00E06378">
      <w:pPr>
        <w:pStyle w:val="TM2"/>
        <w:rPr>
          <w:rFonts w:cstheme="minorBidi"/>
          <w:noProof/>
        </w:rPr>
      </w:pPr>
      <w:hyperlink w:anchor="_Toc175128452" w:history="1">
        <w:r w:rsidR="00912BAE">
          <w:rPr>
            <w:rStyle w:val="Lienhypertexte"/>
            <w:rFonts w:ascii="Rockwell" w:hAnsi="Rockwell"/>
            <w:b/>
            <w:noProof/>
          </w:rPr>
          <w:t>CHAPITRE I : PRISE EN COMPTE DU NUMERIQUE DANS LA REGULATION DE LA COMMUNICATION</w:t>
        </w:r>
        <w:r w:rsidR="00912BAE">
          <w:rPr>
            <w:noProof/>
          </w:rPr>
          <w:tab/>
        </w:r>
        <w:r w:rsidR="00912BAE">
          <w:rPr>
            <w:noProof/>
          </w:rPr>
          <w:fldChar w:fldCharType="begin"/>
        </w:r>
        <w:r w:rsidR="00912BAE">
          <w:rPr>
            <w:noProof/>
          </w:rPr>
          <w:instrText xml:space="preserve"> PAGEREF _Toc175128452 \h </w:instrText>
        </w:r>
        <w:r w:rsidR="00912BAE">
          <w:rPr>
            <w:noProof/>
          </w:rPr>
        </w:r>
        <w:r w:rsidR="00912BAE">
          <w:rPr>
            <w:noProof/>
          </w:rPr>
          <w:fldChar w:fldCharType="separate"/>
        </w:r>
        <w:r w:rsidR="00261767">
          <w:rPr>
            <w:noProof/>
          </w:rPr>
          <w:t>46</w:t>
        </w:r>
        <w:r w:rsidR="00912BAE">
          <w:rPr>
            <w:noProof/>
          </w:rPr>
          <w:fldChar w:fldCharType="end"/>
        </w:r>
      </w:hyperlink>
    </w:p>
    <w:p w14:paraId="1DD27115" w14:textId="359E6D1C" w:rsidR="00733207" w:rsidRDefault="00E06378">
      <w:pPr>
        <w:pStyle w:val="TM3"/>
        <w:tabs>
          <w:tab w:val="right" w:leader="dot" w:pos="9630"/>
        </w:tabs>
        <w:rPr>
          <w:rFonts w:cstheme="minorBidi"/>
          <w:noProof/>
        </w:rPr>
      </w:pPr>
      <w:hyperlink w:anchor="_Toc175128453" w:history="1">
        <w:r w:rsidR="00912BAE">
          <w:rPr>
            <w:rStyle w:val="Lienhypertexte"/>
            <w:rFonts w:ascii="Rockwell" w:hAnsi="Rockwell"/>
            <w:i/>
            <w:noProof/>
          </w:rPr>
          <w:t>SECTION 1 : REFLEXIONS COLLECTIVES ET PARTAGE D’EXPERIENCES</w:t>
        </w:r>
        <w:r w:rsidR="00912BAE">
          <w:rPr>
            <w:noProof/>
          </w:rPr>
          <w:tab/>
        </w:r>
        <w:r w:rsidR="00912BAE">
          <w:rPr>
            <w:noProof/>
          </w:rPr>
          <w:fldChar w:fldCharType="begin"/>
        </w:r>
        <w:r w:rsidR="00912BAE">
          <w:rPr>
            <w:noProof/>
          </w:rPr>
          <w:instrText xml:space="preserve"> PAGEREF _Toc175128453 \h </w:instrText>
        </w:r>
        <w:r w:rsidR="00912BAE">
          <w:rPr>
            <w:noProof/>
          </w:rPr>
        </w:r>
        <w:r w:rsidR="00912BAE">
          <w:rPr>
            <w:noProof/>
          </w:rPr>
          <w:fldChar w:fldCharType="separate"/>
        </w:r>
        <w:r w:rsidR="00261767">
          <w:rPr>
            <w:noProof/>
          </w:rPr>
          <w:t>46</w:t>
        </w:r>
        <w:r w:rsidR="00912BAE">
          <w:rPr>
            <w:noProof/>
          </w:rPr>
          <w:fldChar w:fldCharType="end"/>
        </w:r>
      </w:hyperlink>
    </w:p>
    <w:p w14:paraId="2D48F34B" w14:textId="7D81F3DF" w:rsidR="00733207" w:rsidRDefault="00E06378">
      <w:pPr>
        <w:pStyle w:val="TM4"/>
        <w:tabs>
          <w:tab w:val="right" w:leader="dot" w:pos="9630"/>
        </w:tabs>
        <w:rPr>
          <w:rFonts w:eastAsiaTheme="minorEastAsia"/>
          <w:noProof/>
          <w:lang w:eastAsia="fr-FR"/>
        </w:rPr>
      </w:pPr>
      <w:hyperlink w:anchor="_Toc175128454" w:history="1">
        <w:r w:rsidR="00912BAE">
          <w:rPr>
            <w:rStyle w:val="Lienhypertexte"/>
            <w:rFonts w:ascii="Rockwell" w:hAnsi="Rockwell"/>
            <w:b/>
            <w:noProof/>
          </w:rPr>
          <w:t>Paragraphe 1 : Participation aux travaux de réflexion des réseaux de régulateurs de la communication</w:t>
        </w:r>
        <w:r w:rsidR="00912BAE">
          <w:rPr>
            <w:noProof/>
          </w:rPr>
          <w:tab/>
        </w:r>
        <w:r w:rsidR="00912BAE">
          <w:rPr>
            <w:noProof/>
          </w:rPr>
          <w:fldChar w:fldCharType="begin"/>
        </w:r>
        <w:r w:rsidR="00912BAE">
          <w:rPr>
            <w:noProof/>
          </w:rPr>
          <w:instrText xml:space="preserve"> PAGEREF _Toc175128454 \h </w:instrText>
        </w:r>
        <w:r w:rsidR="00912BAE">
          <w:rPr>
            <w:noProof/>
          </w:rPr>
        </w:r>
        <w:r w:rsidR="00912BAE">
          <w:rPr>
            <w:noProof/>
          </w:rPr>
          <w:fldChar w:fldCharType="separate"/>
        </w:r>
        <w:r w:rsidR="00261767">
          <w:rPr>
            <w:noProof/>
          </w:rPr>
          <w:t>46</w:t>
        </w:r>
        <w:r w:rsidR="00912BAE">
          <w:rPr>
            <w:noProof/>
          </w:rPr>
          <w:fldChar w:fldCharType="end"/>
        </w:r>
      </w:hyperlink>
    </w:p>
    <w:p w14:paraId="62AA54B8" w14:textId="5B66331C" w:rsidR="00733207" w:rsidRDefault="00E06378">
      <w:pPr>
        <w:pStyle w:val="TM4"/>
        <w:tabs>
          <w:tab w:val="right" w:leader="dot" w:pos="9630"/>
        </w:tabs>
        <w:rPr>
          <w:rFonts w:eastAsiaTheme="minorEastAsia"/>
          <w:noProof/>
          <w:lang w:eastAsia="fr-FR"/>
        </w:rPr>
      </w:pPr>
      <w:hyperlink w:anchor="_Toc175128455" w:history="1">
        <w:r w:rsidR="00912BAE">
          <w:rPr>
            <w:rStyle w:val="Lienhypertexte"/>
            <w:rFonts w:ascii="Rockwell" w:hAnsi="Rockwell"/>
            <w:b/>
            <w:noProof/>
          </w:rPr>
          <w:t>Paragraphe 2 : Les réformes normatives</w:t>
        </w:r>
        <w:r w:rsidR="00912BAE">
          <w:rPr>
            <w:noProof/>
          </w:rPr>
          <w:tab/>
        </w:r>
        <w:r w:rsidR="00912BAE">
          <w:rPr>
            <w:noProof/>
          </w:rPr>
          <w:fldChar w:fldCharType="begin"/>
        </w:r>
        <w:r w:rsidR="00912BAE">
          <w:rPr>
            <w:noProof/>
          </w:rPr>
          <w:instrText xml:space="preserve"> PAGEREF _Toc175128455 \h </w:instrText>
        </w:r>
        <w:r w:rsidR="00912BAE">
          <w:rPr>
            <w:noProof/>
          </w:rPr>
        </w:r>
        <w:r w:rsidR="00912BAE">
          <w:rPr>
            <w:noProof/>
          </w:rPr>
          <w:fldChar w:fldCharType="separate"/>
        </w:r>
        <w:r w:rsidR="00261767">
          <w:rPr>
            <w:noProof/>
          </w:rPr>
          <w:t>47</w:t>
        </w:r>
        <w:r w:rsidR="00912BAE">
          <w:rPr>
            <w:noProof/>
          </w:rPr>
          <w:fldChar w:fldCharType="end"/>
        </w:r>
      </w:hyperlink>
    </w:p>
    <w:p w14:paraId="3B80F3D5" w14:textId="2F7EE34C" w:rsidR="00733207" w:rsidRDefault="00E06378">
      <w:pPr>
        <w:pStyle w:val="TM4"/>
        <w:tabs>
          <w:tab w:val="right" w:leader="dot" w:pos="9630"/>
        </w:tabs>
        <w:rPr>
          <w:rFonts w:eastAsiaTheme="minorEastAsia"/>
          <w:noProof/>
          <w:lang w:eastAsia="fr-FR"/>
        </w:rPr>
      </w:pPr>
      <w:hyperlink w:anchor="_Toc175128456" w:history="1">
        <w:r w:rsidR="00912BAE">
          <w:rPr>
            <w:rStyle w:val="Lienhypertexte"/>
            <w:rFonts w:ascii="Rockwell" w:hAnsi="Rockwell"/>
            <w:b/>
            <w:noProof/>
          </w:rPr>
          <w:t>Paragraphe 3 : sensibilisation à des comportements responsables sur les réseaux sociaux</w:t>
        </w:r>
        <w:r w:rsidR="00912BAE">
          <w:rPr>
            <w:noProof/>
          </w:rPr>
          <w:tab/>
        </w:r>
        <w:r w:rsidR="00912BAE">
          <w:rPr>
            <w:noProof/>
          </w:rPr>
          <w:fldChar w:fldCharType="begin"/>
        </w:r>
        <w:r w:rsidR="00912BAE">
          <w:rPr>
            <w:noProof/>
          </w:rPr>
          <w:instrText xml:space="preserve"> PAGEREF _Toc175128456 \h </w:instrText>
        </w:r>
        <w:r w:rsidR="00912BAE">
          <w:rPr>
            <w:noProof/>
          </w:rPr>
        </w:r>
        <w:r w:rsidR="00912BAE">
          <w:rPr>
            <w:noProof/>
          </w:rPr>
          <w:fldChar w:fldCharType="separate"/>
        </w:r>
        <w:r w:rsidR="00261767">
          <w:rPr>
            <w:noProof/>
          </w:rPr>
          <w:t>47</w:t>
        </w:r>
        <w:r w:rsidR="00912BAE">
          <w:rPr>
            <w:noProof/>
          </w:rPr>
          <w:fldChar w:fldCharType="end"/>
        </w:r>
      </w:hyperlink>
    </w:p>
    <w:p w14:paraId="5D16F5D0" w14:textId="17D166DE" w:rsidR="00733207" w:rsidRDefault="00E06378">
      <w:pPr>
        <w:pStyle w:val="TM3"/>
        <w:tabs>
          <w:tab w:val="right" w:leader="dot" w:pos="9630"/>
        </w:tabs>
        <w:rPr>
          <w:rFonts w:cstheme="minorBidi"/>
          <w:noProof/>
        </w:rPr>
      </w:pPr>
      <w:hyperlink w:anchor="_Toc175128457" w:history="1">
        <w:r w:rsidR="00912BAE">
          <w:rPr>
            <w:rStyle w:val="Lienhypertexte"/>
            <w:rFonts w:ascii="Rockwell" w:hAnsi="Rockwell"/>
            <w:i/>
            <w:noProof/>
          </w:rPr>
          <w:t>SECTION 2 : MODERNISATION DES PROCEDURES</w:t>
        </w:r>
        <w:r w:rsidR="00912BAE">
          <w:rPr>
            <w:noProof/>
          </w:rPr>
          <w:tab/>
        </w:r>
        <w:r w:rsidR="00912BAE">
          <w:rPr>
            <w:noProof/>
          </w:rPr>
          <w:fldChar w:fldCharType="begin"/>
        </w:r>
        <w:r w:rsidR="00912BAE">
          <w:rPr>
            <w:noProof/>
          </w:rPr>
          <w:instrText xml:space="preserve"> PAGEREF _Toc175128457 \h </w:instrText>
        </w:r>
        <w:r w:rsidR="00912BAE">
          <w:rPr>
            <w:noProof/>
          </w:rPr>
        </w:r>
        <w:r w:rsidR="00912BAE">
          <w:rPr>
            <w:noProof/>
          </w:rPr>
          <w:fldChar w:fldCharType="separate"/>
        </w:r>
        <w:r w:rsidR="00261767">
          <w:rPr>
            <w:noProof/>
          </w:rPr>
          <w:t>48</w:t>
        </w:r>
        <w:r w:rsidR="00912BAE">
          <w:rPr>
            <w:noProof/>
          </w:rPr>
          <w:fldChar w:fldCharType="end"/>
        </w:r>
      </w:hyperlink>
    </w:p>
    <w:p w14:paraId="54E118AF" w14:textId="059CC679" w:rsidR="00733207" w:rsidRDefault="00E06378">
      <w:pPr>
        <w:pStyle w:val="TM2"/>
        <w:rPr>
          <w:rFonts w:cstheme="minorBidi"/>
          <w:noProof/>
        </w:rPr>
      </w:pPr>
      <w:hyperlink w:anchor="_Toc175128458" w:history="1">
        <w:r w:rsidR="00912BAE">
          <w:rPr>
            <w:rStyle w:val="Lienhypertexte"/>
            <w:rFonts w:ascii="Rockwell" w:hAnsi="Rockwell"/>
            <w:b/>
            <w:noProof/>
          </w:rPr>
          <w:t>CHAPITRE II : ACTIONS COURANTES DE REGULATION ET DE RENFORCEMENT DES COMPETENCES DES ACTEURS DES MEDIAS</w:t>
        </w:r>
        <w:r w:rsidR="00912BAE">
          <w:rPr>
            <w:noProof/>
          </w:rPr>
          <w:tab/>
        </w:r>
        <w:r w:rsidR="00912BAE">
          <w:rPr>
            <w:noProof/>
          </w:rPr>
          <w:fldChar w:fldCharType="begin"/>
        </w:r>
        <w:r w:rsidR="00912BAE">
          <w:rPr>
            <w:noProof/>
          </w:rPr>
          <w:instrText xml:space="preserve"> PAGEREF _Toc175128458 \h </w:instrText>
        </w:r>
        <w:r w:rsidR="00912BAE">
          <w:rPr>
            <w:noProof/>
          </w:rPr>
        </w:r>
        <w:r w:rsidR="00912BAE">
          <w:rPr>
            <w:noProof/>
          </w:rPr>
          <w:fldChar w:fldCharType="separate"/>
        </w:r>
        <w:r w:rsidR="00261767">
          <w:rPr>
            <w:noProof/>
          </w:rPr>
          <w:t>50</w:t>
        </w:r>
        <w:r w:rsidR="00912BAE">
          <w:rPr>
            <w:noProof/>
          </w:rPr>
          <w:fldChar w:fldCharType="end"/>
        </w:r>
      </w:hyperlink>
    </w:p>
    <w:p w14:paraId="5A7CCF88" w14:textId="78CCC951" w:rsidR="00733207" w:rsidRDefault="00E06378">
      <w:pPr>
        <w:pStyle w:val="TM3"/>
        <w:tabs>
          <w:tab w:val="right" w:leader="dot" w:pos="9630"/>
        </w:tabs>
        <w:rPr>
          <w:rFonts w:cstheme="minorBidi"/>
          <w:noProof/>
        </w:rPr>
      </w:pPr>
      <w:hyperlink w:anchor="_Toc175128459" w:history="1">
        <w:r w:rsidR="00912BAE">
          <w:rPr>
            <w:rStyle w:val="Lienhypertexte"/>
            <w:rFonts w:ascii="Rockwell" w:hAnsi="Rockwell"/>
            <w:i/>
            <w:noProof/>
          </w:rPr>
          <w:t>SECTION 1 : AMELIORATION DU DISPOSITIF TECHNIQUE D’OBSERVATION</w:t>
        </w:r>
        <w:r w:rsidR="00912BAE">
          <w:rPr>
            <w:noProof/>
          </w:rPr>
          <w:tab/>
        </w:r>
        <w:r w:rsidR="00912BAE">
          <w:rPr>
            <w:noProof/>
          </w:rPr>
          <w:fldChar w:fldCharType="begin"/>
        </w:r>
        <w:r w:rsidR="00912BAE">
          <w:rPr>
            <w:noProof/>
          </w:rPr>
          <w:instrText xml:space="preserve"> PAGEREF _Toc175128459 \h </w:instrText>
        </w:r>
        <w:r w:rsidR="00912BAE">
          <w:rPr>
            <w:noProof/>
          </w:rPr>
        </w:r>
        <w:r w:rsidR="00912BAE">
          <w:rPr>
            <w:noProof/>
          </w:rPr>
          <w:fldChar w:fldCharType="separate"/>
        </w:r>
        <w:r w:rsidR="00261767">
          <w:rPr>
            <w:noProof/>
          </w:rPr>
          <w:t>50</w:t>
        </w:r>
        <w:r w:rsidR="00912BAE">
          <w:rPr>
            <w:noProof/>
          </w:rPr>
          <w:fldChar w:fldCharType="end"/>
        </w:r>
      </w:hyperlink>
    </w:p>
    <w:p w14:paraId="01328C12" w14:textId="1F550F98" w:rsidR="00733207" w:rsidRDefault="00E06378">
      <w:pPr>
        <w:pStyle w:val="TM4"/>
        <w:tabs>
          <w:tab w:val="right" w:leader="dot" w:pos="9630"/>
        </w:tabs>
        <w:rPr>
          <w:rFonts w:eastAsiaTheme="minorEastAsia"/>
          <w:noProof/>
          <w:lang w:eastAsia="fr-FR"/>
        </w:rPr>
      </w:pPr>
      <w:hyperlink w:anchor="_Toc175128460" w:history="1">
        <w:r w:rsidR="00912BAE">
          <w:rPr>
            <w:rStyle w:val="Lienhypertexte"/>
            <w:rFonts w:ascii="Rockwell" w:hAnsi="Rockwell"/>
            <w:b/>
            <w:noProof/>
          </w:rPr>
          <w:t>Paragraphe 1 : Déploiement du système HACA Media Solution dans les délégations régionales</w:t>
        </w:r>
        <w:r w:rsidR="00912BAE">
          <w:rPr>
            <w:noProof/>
          </w:rPr>
          <w:tab/>
        </w:r>
        <w:r w:rsidR="00912BAE">
          <w:rPr>
            <w:noProof/>
          </w:rPr>
          <w:fldChar w:fldCharType="begin"/>
        </w:r>
        <w:r w:rsidR="00912BAE">
          <w:rPr>
            <w:noProof/>
          </w:rPr>
          <w:instrText xml:space="preserve"> PAGEREF _Toc175128460 \h </w:instrText>
        </w:r>
        <w:r w:rsidR="00912BAE">
          <w:rPr>
            <w:noProof/>
          </w:rPr>
        </w:r>
        <w:r w:rsidR="00912BAE">
          <w:rPr>
            <w:noProof/>
          </w:rPr>
          <w:fldChar w:fldCharType="separate"/>
        </w:r>
        <w:r w:rsidR="00261767">
          <w:rPr>
            <w:noProof/>
          </w:rPr>
          <w:t>50</w:t>
        </w:r>
        <w:r w:rsidR="00912BAE">
          <w:rPr>
            <w:noProof/>
          </w:rPr>
          <w:fldChar w:fldCharType="end"/>
        </w:r>
      </w:hyperlink>
    </w:p>
    <w:p w14:paraId="0B344517" w14:textId="6A00DFC9" w:rsidR="00733207" w:rsidRDefault="00E06378">
      <w:pPr>
        <w:pStyle w:val="TM4"/>
        <w:tabs>
          <w:tab w:val="right" w:leader="dot" w:pos="9630"/>
        </w:tabs>
        <w:rPr>
          <w:rFonts w:eastAsiaTheme="minorEastAsia"/>
          <w:noProof/>
          <w:lang w:eastAsia="fr-FR"/>
        </w:rPr>
      </w:pPr>
      <w:hyperlink w:anchor="_Toc175128461" w:history="1">
        <w:r w:rsidR="00912BAE">
          <w:rPr>
            <w:rStyle w:val="Lienhypertexte"/>
            <w:rFonts w:ascii="Rockwell" w:hAnsi="Rockwell"/>
            <w:b/>
            <w:noProof/>
          </w:rPr>
          <w:t>Paragraphe 2 : réflexion pour la dynamisation du mécanisme de monitoring des médias</w:t>
        </w:r>
        <w:r w:rsidR="00912BAE">
          <w:rPr>
            <w:noProof/>
          </w:rPr>
          <w:tab/>
        </w:r>
        <w:r w:rsidR="00912BAE">
          <w:rPr>
            <w:noProof/>
          </w:rPr>
          <w:fldChar w:fldCharType="begin"/>
        </w:r>
        <w:r w:rsidR="00912BAE">
          <w:rPr>
            <w:noProof/>
          </w:rPr>
          <w:instrText xml:space="preserve"> PAGEREF _Toc175128461 \h </w:instrText>
        </w:r>
        <w:r w:rsidR="00912BAE">
          <w:rPr>
            <w:noProof/>
          </w:rPr>
        </w:r>
        <w:r w:rsidR="00912BAE">
          <w:rPr>
            <w:noProof/>
          </w:rPr>
          <w:fldChar w:fldCharType="separate"/>
        </w:r>
        <w:r w:rsidR="00261767">
          <w:rPr>
            <w:noProof/>
          </w:rPr>
          <w:t>51</w:t>
        </w:r>
        <w:r w:rsidR="00912BAE">
          <w:rPr>
            <w:noProof/>
          </w:rPr>
          <w:fldChar w:fldCharType="end"/>
        </w:r>
      </w:hyperlink>
    </w:p>
    <w:p w14:paraId="6F4B3FD2" w14:textId="599BCC59" w:rsidR="00733207" w:rsidRDefault="00E06378">
      <w:pPr>
        <w:pStyle w:val="TM3"/>
        <w:tabs>
          <w:tab w:val="right" w:leader="dot" w:pos="9630"/>
        </w:tabs>
        <w:rPr>
          <w:rFonts w:cstheme="minorBidi"/>
          <w:noProof/>
        </w:rPr>
      </w:pPr>
      <w:hyperlink w:anchor="_Toc175128462" w:history="1">
        <w:r w:rsidR="00912BAE">
          <w:rPr>
            <w:rStyle w:val="Lienhypertexte"/>
            <w:rFonts w:ascii="Rockwell" w:hAnsi="Rockwell"/>
            <w:i/>
            <w:noProof/>
          </w:rPr>
          <w:t>SECTION 2 : FORMATION DES ACTEURS DES MEDIAS ET DES AGENCES DE PUBLICITE</w:t>
        </w:r>
        <w:r w:rsidR="00912BAE">
          <w:rPr>
            <w:noProof/>
          </w:rPr>
          <w:tab/>
        </w:r>
        <w:r w:rsidR="00912BAE">
          <w:rPr>
            <w:noProof/>
          </w:rPr>
          <w:fldChar w:fldCharType="begin"/>
        </w:r>
        <w:r w:rsidR="00912BAE">
          <w:rPr>
            <w:noProof/>
          </w:rPr>
          <w:instrText xml:space="preserve"> PAGEREF _Toc175128462 \h </w:instrText>
        </w:r>
        <w:r w:rsidR="00912BAE">
          <w:rPr>
            <w:noProof/>
          </w:rPr>
        </w:r>
        <w:r w:rsidR="00912BAE">
          <w:rPr>
            <w:noProof/>
          </w:rPr>
          <w:fldChar w:fldCharType="separate"/>
        </w:r>
        <w:r w:rsidR="00261767">
          <w:rPr>
            <w:noProof/>
          </w:rPr>
          <w:t>51</w:t>
        </w:r>
        <w:r w:rsidR="00912BAE">
          <w:rPr>
            <w:noProof/>
          </w:rPr>
          <w:fldChar w:fldCharType="end"/>
        </w:r>
      </w:hyperlink>
    </w:p>
    <w:p w14:paraId="34DC5709" w14:textId="3969550E" w:rsidR="00733207" w:rsidRDefault="00E06378">
      <w:pPr>
        <w:pStyle w:val="TM4"/>
        <w:tabs>
          <w:tab w:val="right" w:leader="dot" w:pos="9630"/>
        </w:tabs>
        <w:rPr>
          <w:rFonts w:eastAsiaTheme="minorEastAsia"/>
          <w:noProof/>
          <w:lang w:eastAsia="fr-FR"/>
        </w:rPr>
      </w:pPr>
      <w:hyperlink w:anchor="_Toc175128463" w:history="1">
        <w:r w:rsidR="00912BAE">
          <w:rPr>
            <w:rStyle w:val="Lienhypertexte"/>
            <w:rFonts w:ascii="Rockwell" w:hAnsi="Rockwell" w:cs="Times New Roman"/>
            <w:b/>
            <w:noProof/>
          </w:rPr>
          <w:t>Paragraphe 1 : Formation à la Responsabilité Sociale de l’Entreprise (RSE)</w:t>
        </w:r>
        <w:r w:rsidR="00912BAE">
          <w:rPr>
            <w:noProof/>
          </w:rPr>
          <w:tab/>
        </w:r>
        <w:r w:rsidR="00912BAE">
          <w:rPr>
            <w:noProof/>
          </w:rPr>
          <w:fldChar w:fldCharType="begin"/>
        </w:r>
        <w:r w:rsidR="00912BAE">
          <w:rPr>
            <w:noProof/>
          </w:rPr>
          <w:instrText xml:space="preserve"> PAGEREF _Toc175128463 \h </w:instrText>
        </w:r>
        <w:r w:rsidR="00912BAE">
          <w:rPr>
            <w:noProof/>
          </w:rPr>
        </w:r>
        <w:r w:rsidR="00912BAE">
          <w:rPr>
            <w:noProof/>
          </w:rPr>
          <w:fldChar w:fldCharType="separate"/>
        </w:r>
        <w:r w:rsidR="00261767">
          <w:rPr>
            <w:noProof/>
          </w:rPr>
          <w:t>51</w:t>
        </w:r>
        <w:r w:rsidR="00912BAE">
          <w:rPr>
            <w:noProof/>
          </w:rPr>
          <w:fldChar w:fldCharType="end"/>
        </w:r>
      </w:hyperlink>
    </w:p>
    <w:p w14:paraId="0403BA2E" w14:textId="5D3C1BE9" w:rsidR="00733207" w:rsidRDefault="00E06378">
      <w:pPr>
        <w:pStyle w:val="TM4"/>
        <w:tabs>
          <w:tab w:val="right" w:leader="dot" w:pos="9630"/>
        </w:tabs>
        <w:rPr>
          <w:rFonts w:eastAsiaTheme="minorEastAsia"/>
          <w:noProof/>
          <w:lang w:eastAsia="fr-FR"/>
        </w:rPr>
      </w:pPr>
      <w:hyperlink w:anchor="_Toc175128464" w:history="1">
        <w:r w:rsidR="00912BAE">
          <w:rPr>
            <w:rStyle w:val="Lienhypertexte"/>
            <w:rFonts w:ascii="Rockwell" w:hAnsi="Rockwell"/>
            <w:b/>
            <w:noProof/>
          </w:rPr>
          <w:t>Paragraphe 2 : formation à l’économie des médias et la gestion d’entreprise</w:t>
        </w:r>
        <w:r w:rsidR="00912BAE">
          <w:rPr>
            <w:noProof/>
          </w:rPr>
          <w:tab/>
        </w:r>
        <w:r w:rsidR="00912BAE">
          <w:rPr>
            <w:noProof/>
          </w:rPr>
          <w:fldChar w:fldCharType="begin"/>
        </w:r>
        <w:r w:rsidR="00912BAE">
          <w:rPr>
            <w:noProof/>
          </w:rPr>
          <w:instrText xml:space="preserve"> PAGEREF _Toc175128464 \h </w:instrText>
        </w:r>
        <w:r w:rsidR="00912BAE">
          <w:rPr>
            <w:noProof/>
          </w:rPr>
        </w:r>
        <w:r w:rsidR="00912BAE">
          <w:rPr>
            <w:noProof/>
          </w:rPr>
          <w:fldChar w:fldCharType="separate"/>
        </w:r>
        <w:r w:rsidR="00261767">
          <w:rPr>
            <w:noProof/>
          </w:rPr>
          <w:t>52</w:t>
        </w:r>
        <w:r w:rsidR="00912BAE">
          <w:rPr>
            <w:noProof/>
          </w:rPr>
          <w:fldChar w:fldCharType="end"/>
        </w:r>
      </w:hyperlink>
    </w:p>
    <w:p w14:paraId="1E0A3C3F" w14:textId="7103DD09" w:rsidR="00733207" w:rsidRDefault="00E06378">
      <w:pPr>
        <w:pStyle w:val="TM3"/>
        <w:tabs>
          <w:tab w:val="right" w:leader="dot" w:pos="9630"/>
        </w:tabs>
        <w:rPr>
          <w:rFonts w:cstheme="minorBidi"/>
          <w:noProof/>
        </w:rPr>
      </w:pPr>
      <w:hyperlink w:anchor="_Toc175128465" w:history="1">
        <w:r w:rsidR="00912BAE">
          <w:rPr>
            <w:rStyle w:val="Lienhypertexte"/>
            <w:rFonts w:ascii="Rockwell" w:hAnsi="Rockwell"/>
            <w:i/>
            <w:noProof/>
          </w:rPr>
          <w:t>SECTION 3 : NUMEROTATION DES CHAINES TV ET ACCOMPAGNEMENT DE LA REFLEXION SUR L’AUTOREGULATION DE LA PUBLICITE AU BURKINA FASO</w:t>
        </w:r>
        <w:r w:rsidR="00912BAE">
          <w:rPr>
            <w:noProof/>
          </w:rPr>
          <w:tab/>
        </w:r>
        <w:r w:rsidR="00912BAE">
          <w:rPr>
            <w:noProof/>
          </w:rPr>
          <w:fldChar w:fldCharType="begin"/>
        </w:r>
        <w:r w:rsidR="00912BAE">
          <w:rPr>
            <w:noProof/>
          </w:rPr>
          <w:instrText xml:space="preserve"> PAGEREF _Toc175128465 \h </w:instrText>
        </w:r>
        <w:r w:rsidR="00912BAE">
          <w:rPr>
            <w:noProof/>
          </w:rPr>
        </w:r>
        <w:r w:rsidR="00912BAE">
          <w:rPr>
            <w:noProof/>
          </w:rPr>
          <w:fldChar w:fldCharType="separate"/>
        </w:r>
        <w:r w:rsidR="00261767">
          <w:rPr>
            <w:noProof/>
          </w:rPr>
          <w:t>53</w:t>
        </w:r>
        <w:r w:rsidR="00912BAE">
          <w:rPr>
            <w:noProof/>
          </w:rPr>
          <w:fldChar w:fldCharType="end"/>
        </w:r>
      </w:hyperlink>
    </w:p>
    <w:p w14:paraId="09B605F2" w14:textId="06107CAF" w:rsidR="00733207" w:rsidRDefault="00E06378">
      <w:pPr>
        <w:pStyle w:val="TM4"/>
        <w:tabs>
          <w:tab w:val="right" w:leader="dot" w:pos="9630"/>
        </w:tabs>
        <w:rPr>
          <w:rFonts w:eastAsiaTheme="minorEastAsia"/>
          <w:noProof/>
          <w:lang w:eastAsia="fr-FR"/>
        </w:rPr>
      </w:pPr>
      <w:hyperlink w:anchor="_Toc175128466" w:history="1">
        <w:r w:rsidR="00912BAE">
          <w:rPr>
            <w:rStyle w:val="Lienhypertexte"/>
            <w:rFonts w:ascii="Rockwell" w:hAnsi="Rockwell" w:cs="Times New Roman"/>
            <w:b/>
            <w:noProof/>
          </w:rPr>
          <w:t>Paragraphe 1 : lancement du processus de numérotation des chaînes TV dans le premier multiplex de la TNT</w:t>
        </w:r>
        <w:r w:rsidR="00912BAE">
          <w:rPr>
            <w:noProof/>
          </w:rPr>
          <w:tab/>
        </w:r>
        <w:r w:rsidR="00912BAE">
          <w:rPr>
            <w:noProof/>
          </w:rPr>
          <w:fldChar w:fldCharType="begin"/>
        </w:r>
        <w:r w:rsidR="00912BAE">
          <w:rPr>
            <w:noProof/>
          </w:rPr>
          <w:instrText xml:space="preserve"> PAGEREF _Toc175128466 \h </w:instrText>
        </w:r>
        <w:r w:rsidR="00912BAE">
          <w:rPr>
            <w:noProof/>
          </w:rPr>
        </w:r>
        <w:r w:rsidR="00912BAE">
          <w:rPr>
            <w:noProof/>
          </w:rPr>
          <w:fldChar w:fldCharType="separate"/>
        </w:r>
        <w:r w:rsidR="00261767">
          <w:rPr>
            <w:noProof/>
          </w:rPr>
          <w:t>53</w:t>
        </w:r>
        <w:r w:rsidR="00912BAE">
          <w:rPr>
            <w:noProof/>
          </w:rPr>
          <w:fldChar w:fldCharType="end"/>
        </w:r>
      </w:hyperlink>
    </w:p>
    <w:p w14:paraId="270ECC37" w14:textId="1FA635BD" w:rsidR="00733207" w:rsidRDefault="00E06378">
      <w:pPr>
        <w:pStyle w:val="TM4"/>
        <w:tabs>
          <w:tab w:val="right" w:leader="dot" w:pos="9630"/>
        </w:tabs>
        <w:rPr>
          <w:rFonts w:eastAsiaTheme="minorEastAsia"/>
          <w:noProof/>
          <w:lang w:eastAsia="fr-FR"/>
        </w:rPr>
      </w:pPr>
      <w:hyperlink w:anchor="_Toc175128467" w:history="1">
        <w:r w:rsidR="00912BAE">
          <w:rPr>
            <w:rStyle w:val="Lienhypertexte"/>
            <w:rFonts w:ascii="Rockwell" w:hAnsi="Rockwell" w:cs="Times New Roman"/>
            <w:b/>
            <w:noProof/>
          </w:rPr>
          <w:t>Paragraphe 2 : accompagnement des acteurs dans la réflexion sur l’autorégulation de la publicité au Burkina Faso</w:t>
        </w:r>
        <w:r w:rsidR="00912BAE">
          <w:rPr>
            <w:noProof/>
          </w:rPr>
          <w:tab/>
        </w:r>
        <w:r w:rsidR="00912BAE">
          <w:rPr>
            <w:noProof/>
          </w:rPr>
          <w:fldChar w:fldCharType="begin"/>
        </w:r>
        <w:r w:rsidR="00912BAE">
          <w:rPr>
            <w:noProof/>
          </w:rPr>
          <w:instrText xml:space="preserve"> PAGEREF _Toc175128467 \h </w:instrText>
        </w:r>
        <w:r w:rsidR="00912BAE">
          <w:rPr>
            <w:noProof/>
          </w:rPr>
        </w:r>
        <w:r w:rsidR="00912BAE">
          <w:rPr>
            <w:noProof/>
          </w:rPr>
          <w:fldChar w:fldCharType="separate"/>
        </w:r>
        <w:r w:rsidR="00261767">
          <w:rPr>
            <w:noProof/>
          </w:rPr>
          <w:t>54</w:t>
        </w:r>
        <w:r w:rsidR="00912BAE">
          <w:rPr>
            <w:noProof/>
          </w:rPr>
          <w:fldChar w:fldCharType="end"/>
        </w:r>
      </w:hyperlink>
    </w:p>
    <w:p w14:paraId="7DBD0F67" w14:textId="3847809A" w:rsidR="00733207" w:rsidRDefault="00E06378">
      <w:pPr>
        <w:pStyle w:val="TM2"/>
        <w:rPr>
          <w:rFonts w:cstheme="minorBidi"/>
          <w:noProof/>
        </w:rPr>
      </w:pPr>
      <w:hyperlink w:anchor="_Toc175128468" w:history="1">
        <w:r w:rsidR="00912BAE">
          <w:rPr>
            <w:rStyle w:val="Lienhypertexte"/>
            <w:rFonts w:ascii="Rockwell" w:hAnsi="Rockwell"/>
            <w:b/>
            <w:noProof/>
          </w:rPr>
          <w:t>CHAPITRE III : REGULATION DE L’OFFRE MEDIATIQUE ET GESTION DU CONTENTIEUX</w:t>
        </w:r>
        <w:r w:rsidR="00912BAE">
          <w:rPr>
            <w:noProof/>
          </w:rPr>
          <w:tab/>
        </w:r>
        <w:r w:rsidR="00912BAE">
          <w:rPr>
            <w:noProof/>
          </w:rPr>
          <w:fldChar w:fldCharType="begin"/>
        </w:r>
        <w:r w:rsidR="00912BAE">
          <w:rPr>
            <w:noProof/>
          </w:rPr>
          <w:instrText xml:space="preserve"> PAGEREF _Toc175128468 \h </w:instrText>
        </w:r>
        <w:r w:rsidR="00912BAE">
          <w:rPr>
            <w:noProof/>
          </w:rPr>
        </w:r>
        <w:r w:rsidR="00912BAE">
          <w:rPr>
            <w:noProof/>
          </w:rPr>
          <w:fldChar w:fldCharType="separate"/>
        </w:r>
        <w:r w:rsidR="00261767">
          <w:rPr>
            <w:noProof/>
          </w:rPr>
          <w:t>56</w:t>
        </w:r>
        <w:r w:rsidR="00912BAE">
          <w:rPr>
            <w:noProof/>
          </w:rPr>
          <w:fldChar w:fldCharType="end"/>
        </w:r>
      </w:hyperlink>
    </w:p>
    <w:p w14:paraId="5904CFD0" w14:textId="578CFAD0" w:rsidR="00733207" w:rsidRDefault="00E06378">
      <w:pPr>
        <w:pStyle w:val="TM3"/>
        <w:tabs>
          <w:tab w:val="right" w:leader="dot" w:pos="9630"/>
        </w:tabs>
        <w:rPr>
          <w:rFonts w:cstheme="minorBidi"/>
          <w:noProof/>
        </w:rPr>
      </w:pPr>
      <w:hyperlink w:anchor="_Toc175128469" w:history="1">
        <w:r w:rsidR="00912BAE">
          <w:rPr>
            <w:rStyle w:val="Lienhypertexte"/>
            <w:rFonts w:ascii="Rockwell" w:hAnsi="Rockwell"/>
            <w:i/>
            <w:noProof/>
          </w:rPr>
          <w:t>SECTION 1 : ACTIVITES D’AUTORISATION ET DE RENOUVELLEMENT DE CONVENTIONS</w:t>
        </w:r>
        <w:r w:rsidR="00912BAE">
          <w:rPr>
            <w:noProof/>
          </w:rPr>
          <w:tab/>
        </w:r>
        <w:r w:rsidR="00912BAE">
          <w:rPr>
            <w:noProof/>
          </w:rPr>
          <w:fldChar w:fldCharType="begin"/>
        </w:r>
        <w:r w:rsidR="00912BAE">
          <w:rPr>
            <w:noProof/>
          </w:rPr>
          <w:instrText xml:space="preserve"> PAGEREF _Toc175128469 \h </w:instrText>
        </w:r>
        <w:r w:rsidR="00912BAE">
          <w:rPr>
            <w:noProof/>
          </w:rPr>
        </w:r>
        <w:r w:rsidR="00912BAE">
          <w:rPr>
            <w:noProof/>
          </w:rPr>
          <w:fldChar w:fldCharType="separate"/>
        </w:r>
        <w:r w:rsidR="00261767">
          <w:rPr>
            <w:noProof/>
          </w:rPr>
          <w:t>56</w:t>
        </w:r>
        <w:r w:rsidR="00912BAE">
          <w:rPr>
            <w:noProof/>
          </w:rPr>
          <w:fldChar w:fldCharType="end"/>
        </w:r>
      </w:hyperlink>
    </w:p>
    <w:p w14:paraId="28A53FE5" w14:textId="48799153" w:rsidR="00733207" w:rsidRDefault="00E06378">
      <w:pPr>
        <w:pStyle w:val="TM4"/>
        <w:tabs>
          <w:tab w:val="right" w:leader="dot" w:pos="9630"/>
        </w:tabs>
        <w:rPr>
          <w:rFonts w:eastAsiaTheme="minorEastAsia"/>
          <w:noProof/>
          <w:lang w:eastAsia="fr-FR"/>
        </w:rPr>
      </w:pPr>
      <w:hyperlink w:anchor="_Toc175128470" w:history="1">
        <w:r w:rsidR="00912BAE">
          <w:rPr>
            <w:rStyle w:val="Lienhypertexte"/>
            <w:rFonts w:ascii="Rockwell" w:hAnsi="Rockwell"/>
            <w:b/>
            <w:noProof/>
          </w:rPr>
          <w:t>Paragraphe 1 : Activités d’autorisation</w:t>
        </w:r>
        <w:r w:rsidR="00912BAE">
          <w:rPr>
            <w:noProof/>
          </w:rPr>
          <w:tab/>
        </w:r>
        <w:r w:rsidR="00912BAE">
          <w:rPr>
            <w:noProof/>
          </w:rPr>
          <w:fldChar w:fldCharType="begin"/>
        </w:r>
        <w:r w:rsidR="00912BAE">
          <w:rPr>
            <w:noProof/>
          </w:rPr>
          <w:instrText xml:space="preserve"> PAGEREF _Toc175128470 \h </w:instrText>
        </w:r>
        <w:r w:rsidR="00912BAE">
          <w:rPr>
            <w:noProof/>
          </w:rPr>
        </w:r>
        <w:r w:rsidR="00912BAE">
          <w:rPr>
            <w:noProof/>
          </w:rPr>
          <w:fldChar w:fldCharType="separate"/>
        </w:r>
        <w:r w:rsidR="00261767">
          <w:rPr>
            <w:noProof/>
          </w:rPr>
          <w:t>56</w:t>
        </w:r>
        <w:r w:rsidR="00912BAE">
          <w:rPr>
            <w:noProof/>
          </w:rPr>
          <w:fldChar w:fldCharType="end"/>
        </w:r>
      </w:hyperlink>
    </w:p>
    <w:p w14:paraId="66910C28" w14:textId="6CBD2327" w:rsidR="00733207" w:rsidRDefault="00E06378">
      <w:pPr>
        <w:pStyle w:val="TM4"/>
        <w:tabs>
          <w:tab w:val="right" w:leader="dot" w:pos="9630"/>
        </w:tabs>
        <w:rPr>
          <w:rFonts w:eastAsiaTheme="minorEastAsia"/>
          <w:noProof/>
          <w:lang w:eastAsia="fr-FR"/>
        </w:rPr>
      </w:pPr>
      <w:hyperlink w:anchor="_Toc175128471" w:history="1">
        <w:r w:rsidR="00912BAE">
          <w:rPr>
            <w:rStyle w:val="Lienhypertexte"/>
            <w:rFonts w:ascii="Rockwell" w:hAnsi="Rockwell"/>
            <w:b/>
            <w:noProof/>
          </w:rPr>
          <w:t>Paragraphe 2 : Renouvellement de conventions</w:t>
        </w:r>
        <w:r w:rsidR="00912BAE">
          <w:rPr>
            <w:noProof/>
          </w:rPr>
          <w:tab/>
        </w:r>
        <w:r w:rsidR="00912BAE">
          <w:rPr>
            <w:noProof/>
          </w:rPr>
          <w:fldChar w:fldCharType="begin"/>
        </w:r>
        <w:r w:rsidR="00912BAE">
          <w:rPr>
            <w:noProof/>
          </w:rPr>
          <w:instrText xml:space="preserve"> PAGEREF _Toc175128471 \h </w:instrText>
        </w:r>
        <w:r w:rsidR="00912BAE">
          <w:rPr>
            <w:noProof/>
          </w:rPr>
        </w:r>
        <w:r w:rsidR="00912BAE">
          <w:rPr>
            <w:noProof/>
          </w:rPr>
          <w:fldChar w:fldCharType="separate"/>
        </w:r>
        <w:r w:rsidR="00261767">
          <w:rPr>
            <w:noProof/>
          </w:rPr>
          <w:t>57</w:t>
        </w:r>
        <w:r w:rsidR="00912BAE">
          <w:rPr>
            <w:noProof/>
          </w:rPr>
          <w:fldChar w:fldCharType="end"/>
        </w:r>
      </w:hyperlink>
    </w:p>
    <w:p w14:paraId="658C3DCF" w14:textId="09550261" w:rsidR="00733207" w:rsidRDefault="00E06378">
      <w:pPr>
        <w:pStyle w:val="TM4"/>
        <w:tabs>
          <w:tab w:val="right" w:leader="dot" w:pos="9630"/>
        </w:tabs>
        <w:rPr>
          <w:rFonts w:eastAsiaTheme="minorEastAsia"/>
          <w:noProof/>
          <w:lang w:eastAsia="fr-FR"/>
        </w:rPr>
      </w:pPr>
      <w:hyperlink w:anchor="_Toc175128472" w:history="1">
        <w:r w:rsidR="00912BAE">
          <w:rPr>
            <w:rStyle w:val="Lienhypertexte"/>
            <w:rFonts w:ascii="Rockwell" w:hAnsi="Rockwell"/>
            <w:b/>
            <w:noProof/>
          </w:rPr>
          <w:t>Paragraphe 3 : Déclarations d’existence</w:t>
        </w:r>
        <w:r w:rsidR="00912BAE">
          <w:rPr>
            <w:noProof/>
          </w:rPr>
          <w:tab/>
        </w:r>
        <w:r w:rsidR="00912BAE">
          <w:rPr>
            <w:noProof/>
          </w:rPr>
          <w:fldChar w:fldCharType="begin"/>
        </w:r>
        <w:r w:rsidR="00912BAE">
          <w:rPr>
            <w:noProof/>
          </w:rPr>
          <w:instrText xml:space="preserve"> PAGEREF _Toc175128472 \h </w:instrText>
        </w:r>
        <w:r w:rsidR="00912BAE">
          <w:rPr>
            <w:noProof/>
          </w:rPr>
        </w:r>
        <w:r w:rsidR="00912BAE">
          <w:rPr>
            <w:noProof/>
          </w:rPr>
          <w:fldChar w:fldCharType="separate"/>
        </w:r>
        <w:r w:rsidR="00261767">
          <w:rPr>
            <w:noProof/>
          </w:rPr>
          <w:t>57</w:t>
        </w:r>
        <w:r w:rsidR="00912BAE">
          <w:rPr>
            <w:noProof/>
          </w:rPr>
          <w:fldChar w:fldCharType="end"/>
        </w:r>
      </w:hyperlink>
    </w:p>
    <w:p w14:paraId="502C21E3" w14:textId="47DA8E68" w:rsidR="00733207" w:rsidRDefault="00E06378">
      <w:pPr>
        <w:pStyle w:val="TM5"/>
        <w:tabs>
          <w:tab w:val="right" w:leader="dot" w:pos="9630"/>
        </w:tabs>
        <w:rPr>
          <w:rFonts w:eastAsiaTheme="minorEastAsia"/>
          <w:noProof/>
          <w:lang w:eastAsia="fr-FR"/>
        </w:rPr>
      </w:pPr>
      <w:hyperlink w:anchor="_Toc175128473" w:history="1">
        <w:r w:rsidR="00912BAE">
          <w:rPr>
            <w:rStyle w:val="Lienhypertexte"/>
            <w:rFonts w:ascii="Rockwell" w:hAnsi="Rockwell"/>
            <w:noProof/>
          </w:rPr>
          <w:t>3.1. Presse écrite et presse en ligne</w:t>
        </w:r>
        <w:r w:rsidR="00912BAE">
          <w:rPr>
            <w:noProof/>
          </w:rPr>
          <w:tab/>
        </w:r>
        <w:r w:rsidR="00912BAE">
          <w:rPr>
            <w:noProof/>
          </w:rPr>
          <w:fldChar w:fldCharType="begin"/>
        </w:r>
        <w:r w:rsidR="00912BAE">
          <w:rPr>
            <w:noProof/>
          </w:rPr>
          <w:instrText xml:space="preserve"> PAGEREF _Toc175128473 \h </w:instrText>
        </w:r>
        <w:r w:rsidR="00912BAE">
          <w:rPr>
            <w:noProof/>
          </w:rPr>
        </w:r>
        <w:r w:rsidR="00912BAE">
          <w:rPr>
            <w:noProof/>
          </w:rPr>
          <w:fldChar w:fldCharType="separate"/>
        </w:r>
        <w:r w:rsidR="00261767">
          <w:rPr>
            <w:noProof/>
          </w:rPr>
          <w:t>57</w:t>
        </w:r>
        <w:r w:rsidR="00912BAE">
          <w:rPr>
            <w:noProof/>
          </w:rPr>
          <w:fldChar w:fldCharType="end"/>
        </w:r>
      </w:hyperlink>
    </w:p>
    <w:p w14:paraId="481CECB0" w14:textId="0F3768E2" w:rsidR="00733207" w:rsidRDefault="00E06378">
      <w:pPr>
        <w:pStyle w:val="TM5"/>
        <w:tabs>
          <w:tab w:val="right" w:leader="dot" w:pos="9630"/>
        </w:tabs>
        <w:rPr>
          <w:rFonts w:eastAsiaTheme="minorEastAsia"/>
          <w:noProof/>
          <w:lang w:eastAsia="fr-FR"/>
        </w:rPr>
      </w:pPr>
      <w:hyperlink w:anchor="_Toc175128474" w:history="1">
        <w:r w:rsidR="00912BAE">
          <w:rPr>
            <w:rStyle w:val="Lienhypertexte"/>
            <w:rFonts w:ascii="Rockwell" w:hAnsi="Rockwell"/>
            <w:noProof/>
          </w:rPr>
          <w:t>3.2. Entreprises de publicité</w:t>
        </w:r>
        <w:r w:rsidR="00912BAE">
          <w:rPr>
            <w:noProof/>
          </w:rPr>
          <w:tab/>
        </w:r>
        <w:r w:rsidR="00912BAE">
          <w:rPr>
            <w:noProof/>
          </w:rPr>
          <w:fldChar w:fldCharType="begin"/>
        </w:r>
        <w:r w:rsidR="00912BAE">
          <w:rPr>
            <w:noProof/>
          </w:rPr>
          <w:instrText xml:space="preserve"> PAGEREF _Toc175128474 \h </w:instrText>
        </w:r>
        <w:r w:rsidR="00912BAE">
          <w:rPr>
            <w:noProof/>
          </w:rPr>
        </w:r>
        <w:r w:rsidR="00912BAE">
          <w:rPr>
            <w:noProof/>
          </w:rPr>
          <w:fldChar w:fldCharType="separate"/>
        </w:r>
        <w:r w:rsidR="00261767">
          <w:rPr>
            <w:noProof/>
          </w:rPr>
          <w:t>57</w:t>
        </w:r>
        <w:r w:rsidR="00912BAE">
          <w:rPr>
            <w:noProof/>
          </w:rPr>
          <w:fldChar w:fldCharType="end"/>
        </w:r>
      </w:hyperlink>
    </w:p>
    <w:p w14:paraId="18B0F302" w14:textId="0CBAE4E5" w:rsidR="00733207" w:rsidRDefault="00E06378">
      <w:pPr>
        <w:pStyle w:val="TM3"/>
        <w:tabs>
          <w:tab w:val="right" w:leader="dot" w:pos="9630"/>
        </w:tabs>
        <w:rPr>
          <w:rFonts w:cstheme="minorBidi"/>
          <w:noProof/>
        </w:rPr>
      </w:pPr>
      <w:hyperlink w:anchor="_Toc175128475" w:history="1">
        <w:r w:rsidR="00912BAE">
          <w:rPr>
            <w:rStyle w:val="Lienhypertexte"/>
            <w:rFonts w:ascii="Rockwell" w:hAnsi="Rockwell"/>
            <w:i/>
            <w:noProof/>
          </w:rPr>
          <w:t>SECTION 2 : SUIVI DU FONCTIONNEMENT DES MEDIAS</w:t>
        </w:r>
        <w:r w:rsidR="00912BAE">
          <w:rPr>
            <w:noProof/>
          </w:rPr>
          <w:tab/>
        </w:r>
        <w:r w:rsidR="00912BAE">
          <w:rPr>
            <w:noProof/>
          </w:rPr>
          <w:fldChar w:fldCharType="begin"/>
        </w:r>
        <w:r w:rsidR="00912BAE">
          <w:rPr>
            <w:noProof/>
          </w:rPr>
          <w:instrText xml:space="preserve"> PAGEREF _Toc175128475 \h </w:instrText>
        </w:r>
        <w:r w:rsidR="00912BAE">
          <w:rPr>
            <w:noProof/>
          </w:rPr>
        </w:r>
        <w:r w:rsidR="00912BAE">
          <w:rPr>
            <w:noProof/>
          </w:rPr>
          <w:fldChar w:fldCharType="separate"/>
        </w:r>
        <w:r w:rsidR="00261767">
          <w:rPr>
            <w:noProof/>
          </w:rPr>
          <w:t>58</w:t>
        </w:r>
        <w:r w:rsidR="00912BAE">
          <w:rPr>
            <w:noProof/>
          </w:rPr>
          <w:fldChar w:fldCharType="end"/>
        </w:r>
      </w:hyperlink>
    </w:p>
    <w:p w14:paraId="576749C0" w14:textId="0B70873D" w:rsidR="00733207" w:rsidRDefault="00E06378">
      <w:pPr>
        <w:pStyle w:val="TM4"/>
        <w:tabs>
          <w:tab w:val="right" w:leader="dot" w:pos="9630"/>
        </w:tabs>
        <w:rPr>
          <w:rFonts w:eastAsiaTheme="minorEastAsia"/>
          <w:noProof/>
          <w:lang w:eastAsia="fr-FR"/>
        </w:rPr>
      </w:pPr>
      <w:hyperlink w:anchor="_Toc175128476" w:history="1">
        <w:r w:rsidR="00912BAE">
          <w:rPr>
            <w:rStyle w:val="Lienhypertexte"/>
            <w:rFonts w:ascii="Rockwell" w:hAnsi="Rockwell"/>
            <w:b/>
            <w:noProof/>
          </w:rPr>
          <w:t>Paragraphe 1 : Elaboration des cahiers de charges de la RTB</w:t>
        </w:r>
        <w:r w:rsidR="00912BAE">
          <w:rPr>
            <w:noProof/>
          </w:rPr>
          <w:tab/>
        </w:r>
        <w:r w:rsidR="00912BAE">
          <w:rPr>
            <w:noProof/>
          </w:rPr>
          <w:fldChar w:fldCharType="begin"/>
        </w:r>
        <w:r w:rsidR="00912BAE">
          <w:rPr>
            <w:noProof/>
          </w:rPr>
          <w:instrText xml:space="preserve"> PAGEREF _Toc175128476 \h </w:instrText>
        </w:r>
        <w:r w:rsidR="00912BAE">
          <w:rPr>
            <w:noProof/>
          </w:rPr>
        </w:r>
        <w:r w:rsidR="00912BAE">
          <w:rPr>
            <w:noProof/>
          </w:rPr>
          <w:fldChar w:fldCharType="separate"/>
        </w:r>
        <w:r w:rsidR="00261767">
          <w:rPr>
            <w:noProof/>
          </w:rPr>
          <w:t>58</w:t>
        </w:r>
        <w:r w:rsidR="00912BAE">
          <w:rPr>
            <w:noProof/>
          </w:rPr>
          <w:fldChar w:fldCharType="end"/>
        </w:r>
      </w:hyperlink>
    </w:p>
    <w:p w14:paraId="3085232B" w14:textId="2732B1CD" w:rsidR="00733207" w:rsidRDefault="00E06378">
      <w:pPr>
        <w:pStyle w:val="TM4"/>
        <w:tabs>
          <w:tab w:val="right" w:leader="dot" w:pos="9630"/>
        </w:tabs>
        <w:rPr>
          <w:rFonts w:eastAsiaTheme="minorEastAsia"/>
          <w:noProof/>
          <w:lang w:eastAsia="fr-FR"/>
        </w:rPr>
      </w:pPr>
      <w:hyperlink w:anchor="_Toc175128477" w:history="1">
        <w:r w:rsidR="00912BAE">
          <w:rPr>
            <w:rStyle w:val="Lienhypertexte"/>
            <w:rFonts w:ascii="Rockwell" w:hAnsi="Rockwell"/>
            <w:b/>
            <w:noProof/>
          </w:rPr>
          <w:t>Paragraphe 2 : Répartition de la subvention de l’Etat à la presse privée</w:t>
        </w:r>
        <w:r w:rsidR="00912BAE">
          <w:rPr>
            <w:noProof/>
          </w:rPr>
          <w:tab/>
        </w:r>
        <w:r w:rsidR="00912BAE">
          <w:rPr>
            <w:noProof/>
          </w:rPr>
          <w:fldChar w:fldCharType="begin"/>
        </w:r>
        <w:r w:rsidR="00912BAE">
          <w:rPr>
            <w:noProof/>
          </w:rPr>
          <w:instrText xml:space="preserve"> PAGEREF _Toc175128477 \h </w:instrText>
        </w:r>
        <w:r w:rsidR="00912BAE">
          <w:rPr>
            <w:noProof/>
          </w:rPr>
        </w:r>
        <w:r w:rsidR="00912BAE">
          <w:rPr>
            <w:noProof/>
          </w:rPr>
          <w:fldChar w:fldCharType="separate"/>
        </w:r>
        <w:r w:rsidR="00261767">
          <w:rPr>
            <w:noProof/>
          </w:rPr>
          <w:t>58</w:t>
        </w:r>
        <w:r w:rsidR="00912BAE">
          <w:rPr>
            <w:noProof/>
          </w:rPr>
          <w:fldChar w:fldCharType="end"/>
        </w:r>
      </w:hyperlink>
    </w:p>
    <w:p w14:paraId="7EA2E8FB" w14:textId="2672AAA4" w:rsidR="00733207" w:rsidRDefault="00E06378">
      <w:pPr>
        <w:pStyle w:val="TM4"/>
        <w:tabs>
          <w:tab w:val="right" w:leader="dot" w:pos="9630"/>
        </w:tabs>
        <w:rPr>
          <w:rFonts w:eastAsiaTheme="minorEastAsia"/>
          <w:noProof/>
          <w:lang w:eastAsia="fr-FR"/>
        </w:rPr>
      </w:pPr>
      <w:hyperlink w:anchor="_Toc175128478" w:history="1">
        <w:r w:rsidR="00912BAE">
          <w:rPr>
            <w:rStyle w:val="Lienhypertexte"/>
            <w:rFonts w:ascii="Rockwell" w:hAnsi="Rockwell"/>
            <w:b/>
            <w:noProof/>
          </w:rPr>
          <w:t>Paragraphe 3 : Analyse des bilans moraux et financiers des médias audiovisuels privés</w:t>
        </w:r>
        <w:r w:rsidR="00912BAE">
          <w:rPr>
            <w:noProof/>
          </w:rPr>
          <w:tab/>
        </w:r>
        <w:r w:rsidR="00912BAE">
          <w:rPr>
            <w:noProof/>
          </w:rPr>
          <w:fldChar w:fldCharType="begin"/>
        </w:r>
        <w:r w:rsidR="00912BAE">
          <w:rPr>
            <w:noProof/>
          </w:rPr>
          <w:instrText xml:space="preserve"> PAGEREF _Toc175128478 \h </w:instrText>
        </w:r>
        <w:r w:rsidR="00912BAE">
          <w:rPr>
            <w:noProof/>
          </w:rPr>
        </w:r>
        <w:r w:rsidR="00912BAE">
          <w:rPr>
            <w:noProof/>
          </w:rPr>
          <w:fldChar w:fldCharType="separate"/>
        </w:r>
        <w:r w:rsidR="00261767">
          <w:rPr>
            <w:noProof/>
          </w:rPr>
          <w:t>59</w:t>
        </w:r>
        <w:r w:rsidR="00912BAE">
          <w:rPr>
            <w:noProof/>
          </w:rPr>
          <w:fldChar w:fldCharType="end"/>
        </w:r>
      </w:hyperlink>
    </w:p>
    <w:p w14:paraId="4AD0E682" w14:textId="0EB361AE" w:rsidR="00733207" w:rsidRDefault="00E06378">
      <w:pPr>
        <w:pStyle w:val="TM4"/>
        <w:tabs>
          <w:tab w:val="right" w:leader="dot" w:pos="9630"/>
        </w:tabs>
        <w:rPr>
          <w:rFonts w:eastAsiaTheme="minorEastAsia"/>
          <w:noProof/>
          <w:lang w:eastAsia="fr-FR"/>
        </w:rPr>
      </w:pPr>
      <w:hyperlink w:anchor="_Toc175128479" w:history="1">
        <w:r w:rsidR="00912BAE">
          <w:rPr>
            <w:rStyle w:val="Lienhypertexte"/>
            <w:rFonts w:ascii="Rockwell" w:hAnsi="Rockwell"/>
            <w:b/>
            <w:noProof/>
          </w:rPr>
          <w:t>Paragraphe 4 : Analyse et délivrance des attestations de parution ou de diffusion régulière</w:t>
        </w:r>
        <w:r w:rsidR="00912BAE">
          <w:rPr>
            <w:noProof/>
          </w:rPr>
          <w:tab/>
        </w:r>
        <w:r w:rsidR="00912BAE">
          <w:rPr>
            <w:noProof/>
          </w:rPr>
          <w:fldChar w:fldCharType="begin"/>
        </w:r>
        <w:r w:rsidR="00912BAE">
          <w:rPr>
            <w:noProof/>
          </w:rPr>
          <w:instrText xml:space="preserve"> PAGEREF _Toc175128479 \h </w:instrText>
        </w:r>
        <w:r w:rsidR="00912BAE">
          <w:rPr>
            <w:noProof/>
          </w:rPr>
        </w:r>
        <w:r w:rsidR="00912BAE">
          <w:rPr>
            <w:noProof/>
          </w:rPr>
          <w:fldChar w:fldCharType="separate"/>
        </w:r>
        <w:r w:rsidR="00261767">
          <w:rPr>
            <w:noProof/>
          </w:rPr>
          <w:t>59</w:t>
        </w:r>
        <w:r w:rsidR="00912BAE">
          <w:rPr>
            <w:noProof/>
          </w:rPr>
          <w:fldChar w:fldCharType="end"/>
        </w:r>
      </w:hyperlink>
    </w:p>
    <w:p w14:paraId="4B27F6D9" w14:textId="2BACDB03" w:rsidR="00733207" w:rsidRDefault="00E06378">
      <w:pPr>
        <w:pStyle w:val="TM4"/>
        <w:tabs>
          <w:tab w:val="right" w:leader="dot" w:pos="9630"/>
        </w:tabs>
        <w:rPr>
          <w:rFonts w:eastAsiaTheme="minorEastAsia"/>
          <w:noProof/>
          <w:lang w:eastAsia="fr-FR"/>
        </w:rPr>
      </w:pPr>
      <w:hyperlink w:anchor="_Toc175128480" w:history="1">
        <w:r w:rsidR="00912BAE">
          <w:rPr>
            <w:rStyle w:val="Lienhypertexte"/>
            <w:rFonts w:ascii="Rockwell" w:eastAsia="Calibri" w:hAnsi="Rockwell"/>
            <w:b/>
            <w:noProof/>
          </w:rPr>
          <w:t>Paragraphe 5 : A</w:t>
        </w:r>
        <w:r w:rsidR="00912BAE">
          <w:rPr>
            <w:rStyle w:val="Lienhypertexte"/>
            <w:rFonts w:ascii="Rockwell" w:hAnsi="Rockwell"/>
            <w:b/>
            <w:noProof/>
          </w:rPr>
          <w:t>ppel du CSC à plus de tolérance, de responsabilité sociale et de protection des acteurs des médias</w:t>
        </w:r>
        <w:r w:rsidR="00912BAE">
          <w:rPr>
            <w:noProof/>
          </w:rPr>
          <w:tab/>
        </w:r>
        <w:r w:rsidR="00912BAE">
          <w:rPr>
            <w:noProof/>
          </w:rPr>
          <w:fldChar w:fldCharType="begin"/>
        </w:r>
        <w:r w:rsidR="00912BAE">
          <w:rPr>
            <w:noProof/>
          </w:rPr>
          <w:instrText xml:space="preserve"> PAGEREF _Toc175128480 \h </w:instrText>
        </w:r>
        <w:r w:rsidR="00912BAE">
          <w:rPr>
            <w:noProof/>
          </w:rPr>
        </w:r>
        <w:r w:rsidR="00912BAE">
          <w:rPr>
            <w:noProof/>
          </w:rPr>
          <w:fldChar w:fldCharType="separate"/>
        </w:r>
        <w:r w:rsidR="00261767">
          <w:rPr>
            <w:noProof/>
          </w:rPr>
          <w:t>60</w:t>
        </w:r>
        <w:r w:rsidR="00912BAE">
          <w:rPr>
            <w:noProof/>
          </w:rPr>
          <w:fldChar w:fldCharType="end"/>
        </w:r>
      </w:hyperlink>
    </w:p>
    <w:p w14:paraId="5735B2B4" w14:textId="1A91D860" w:rsidR="00733207" w:rsidRDefault="00E06378">
      <w:pPr>
        <w:pStyle w:val="TM3"/>
        <w:tabs>
          <w:tab w:val="right" w:leader="dot" w:pos="9630"/>
        </w:tabs>
        <w:rPr>
          <w:rFonts w:cstheme="minorBidi"/>
          <w:noProof/>
        </w:rPr>
      </w:pPr>
      <w:hyperlink w:anchor="_Toc175128481" w:history="1">
        <w:r w:rsidR="00912BAE">
          <w:rPr>
            <w:rStyle w:val="Lienhypertexte"/>
            <w:rFonts w:ascii="Rockwell" w:hAnsi="Rockwell"/>
            <w:i/>
            <w:noProof/>
          </w:rPr>
          <w:t>SECTION 3 : SUIVI ET GESTION DU CONTENTIEUX</w:t>
        </w:r>
        <w:r w:rsidR="00912BAE">
          <w:rPr>
            <w:noProof/>
          </w:rPr>
          <w:tab/>
        </w:r>
        <w:r w:rsidR="00912BAE">
          <w:rPr>
            <w:noProof/>
          </w:rPr>
          <w:fldChar w:fldCharType="begin"/>
        </w:r>
        <w:r w:rsidR="00912BAE">
          <w:rPr>
            <w:noProof/>
          </w:rPr>
          <w:instrText xml:space="preserve"> PAGEREF _Toc175128481 \h </w:instrText>
        </w:r>
        <w:r w:rsidR="00912BAE">
          <w:rPr>
            <w:noProof/>
          </w:rPr>
        </w:r>
        <w:r w:rsidR="00912BAE">
          <w:rPr>
            <w:noProof/>
          </w:rPr>
          <w:fldChar w:fldCharType="separate"/>
        </w:r>
        <w:r w:rsidR="00261767">
          <w:rPr>
            <w:noProof/>
          </w:rPr>
          <w:t>61</w:t>
        </w:r>
        <w:r w:rsidR="00912BAE">
          <w:rPr>
            <w:noProof/>
          </w:rPr>
          <w:fldChar w:fldCharType="end"/>
        </w:r>
      </w:hyperlink>
    </w:p>
    <w:p w14:paraId="4215955B" w14:textId="3D7F84B2" w:rsidR="00733207" w:rsidRDefault="00E06378">
      <w:pPr>
        <w:pStyle w:val="TM4"/>
        <w:tabs>
          <w:tab w:val="right" w:leader="dot" w:pos="9630"/>
        </w:tabs>
        <w:rPr>
          <w:rFonts w:eastAsiaTheme="minorEastAsia"/>
          <w:noProof/>
          <w:lang w:eastAsia="fr-FR"/>
        </w:rPr>
      </w:pPr>
      <w:hyperlink w:anchor="_Toc175128482" w:history="1">
        <w:r w:rsidR="00912BAE">
          <w:rPr>
            <w:rStyle w:val="Lienhypertexte"/>
            <w:rFonts w:ascii="Rockwell" w:hAnsi="Rockwell"/>
            <w:b/>
            <w:noProof/>
          </w:rPr>
          <w:t>Paragraphe 1 : affaire SOME/HIEN Nathalie Edwige contre le CSC</w:t>
        </w:r>
        <w:r w:rsidR="00912BAE">
          <w:rPr>
            <w:noProof/>
          </w:rPr>
          <w:tab/>
        </w:r>
        <w:r w:rsidR="00912BAE">
          <w:rPr>
            <w:noProof/>
          </w:rPr>
          <w:fldChar w:fldCharType="begin"/>
        </w:r>
        <w:r w:rsidR="00912BAE">
          <w:rPr>
            <w:noProof/>
          </w:rPr>
          <w:instrText xml:space="preserve"> PAGEREF _Toc175128482 \h </w:instrText>
        </w:r>
        <w:r w:rsidR="00912BAE">
          <w:rPr>
            <w:noProof/>
          </w:rPr>
        </w:r>
        <w:r w:rsidR="00912BAE">
          <w:rPr>
            <w:noProof/>
          </w:rPr>
          <w:fldChar w:fldCharType="separate"/>
        </w:r>
        <w:r w:rsidR="00261767">
          <w:rPr>
            <w:noProof/>
          </w:rPr>
          <w:t>61</w:t>
        </w:r>
        <w:r w:rsidR="00912BAE">
          <w:rPr>
            <w:noProof/>
          </w:rPr>
          <w:fldChar w:fldCharType="end"/>
        </w:r>
      </w:hyperlink>
    </w:p>
    <w:p w14:paraId="510FA876" w14:textId="0F26A1E5" w:rsidR="00733207" w:rsidRDefault="00E06378">
      <w:pPr>
        <w:pStyle w:val="TM4"/>
        <w:tabs>
          <w:tab w:val="right" w:leader="dot" w:pos="9630"/>
        </w:tabs>
        <w:rPr>
          <w:rFonts w:eastAsiaTheme="minorEastAsia"/>
          <w:noProof/>
          <w:lang w:eastAsia="fr-FR"/>
        </w:rPr>
      </w:pPr>
      <w:hyperlink w:anchor="_Toc175128483" w:history="1">
        <w:r w:rsidR="00912BAE">
          <w:rPr>
            <w:rStyle w:val="Lienhypertexte"/>
            <w:rFonts w:ascii="Rockwell" w:hAnsi="Rockwell"/>
            <w:b/>
            <w:noProof/>
          </w:rPr>
          <w:t>Paragraphe 2 : affaire Bank of Africa et ayants-droit de feu Charles KABORE contre CSC</w:t>
        </w:r>
        <w:r w:rsidR="00912BAE">
          <w:rPr>
            <w:noProof/>
          </w:rPr>
          <w:tab/>
        </w:r>
        <w:r w:rsidR="00912BAE">
          <w:rPr>
            <w:noProof/>
          </w:rPr>
          <w:fldChar w:fldCharType="begin"/>
        </w:r>
        <w:r w:rsidR="00912BAE">
          <w:rPr>
            <w:noProof/>
          </w:rPr>
          <w:instrText xml:space="preserve"> PAGEREF _Toc175128483 \h </w:instrText>
        </w:r>
        <w:r w:rsidR="00912BAE">
          <w:rPr>
            <w:noProof/>
          </w:rPr>
        </w:r>
        <w:r w:rsidR="00912BAE">
          <w:rPr>
            <w:noProof/>
          </w:rPr>
          <w:fldChar w:fldCharType="separate"/>
        </w:r>
        <w:r w:rsidR="00261767">
          <w:rPr>
            <w:noProof/>
          </w:rPr>
          <w:t>62</w:t>
        </w:r>
        <w:r w:rsidR="00912BAE">
          <w:rPr>
            <w:noProof/>
          </w:rPr>
          <w:fldChar w:fldCharType="end"/>
        </w:r>
      </w:hyperlink>
    </w:p>
    <w:p w14:paraId="60BE9FFD" w14:textId="531F91C5" w:rsidR="00733207" w:rsidRDefault="00E06378">
      <w:pPr>
        <w:pStyle w:val="TM4"/>
        <w:tabs>
          <w:tab w:val="right" w:leader="dot" w:pos="9630"/>
        </w:tabs>
        <w:rPr>
          <w:rFonts w:eastAsiaTheme="minorEastAsia"/>
          <w:noProof/>
          <w:lang w:eastAsia="fr-FR"/>
        </w:rPr>
      </w:pPr>
      <w:hyperlink w:anchor="_Toc175128484" w:history="1">
        <w:r w:rsidR="00912BAE">
          <w:rPr>
            <w:rStyle w:val="Lienhypertexte"/>
            <w:rFonts w:ascii="Rockwell" w:hAnsi="Rockwell"/>
            <w:b/>
            <w:noProof/>
          </w:rPr>
          <w:t>Paragraphe 3 : Affaire Ministère Public contre le sieur Issa Mermoz SANFO</w:t>
        </w:r>
        <w:r w:rsidR="00912BAE">
          <w:rPr>
            <w:noProof/>
          </w:rPr>
          <w:tab/>
        </w:r>
        <w:r w:rsidR="00912BAE">
          <w:rPr>
            <w:noProof/>
          </w:rPr>
          <w:fldChar w:fldCharType="begin"/>
        </w:r>
        <w:r w:rsidR="00912BAE">
          <w:rPr>
            <w:noProof/>
          </w:rPr>
          <w:instrText xml:space="preserve"> PAGEREF _Toc175128484 \h </w:instrText>
        </w:r>
        <w:r w:rsidR="00912BAE">
          <w:rPr>
            <w:noProof/>
          </w:rPr>
        </w:r>
        <w:r w:rsidR="00912BAE">
          <w:rPr>
            <w:noProof/>
          </w:rPr>
          <w:fldChar w:fldCharType="separate"/>
        </w:r>
        <w:r w:rsidR="00261767">
          <w:rPr>
            <w:noProof/>
          </w:rPr>
          <w:t>63</w:t>
        </w:r>
        <w:r w:rsidR="00912BAE">
          <w:rPr>
            <w:noProof/>
          </w:rPr>
          <w:fldChar w:fldCharType="end"/>
        </w:r>
      </w:hyperlink>
    </w:p>
    <w:p w14:paraId="0C0CA70C" w14:textId="478502D2" w:rsidR="00733207" w:rsidRDefault="00E06378">
      <w:pPr>
        <w:pStyle w:val="TM4"/>
        <w:tabs>
          <w:tab w:val="right" w:leader="dot" w:pos="9630"/>
        </w:tabs>
        <w:rPr>
          <w:rFonts w:eastAsiaTheme="minorEastAsia"/>
          <w:noProof/>
          <w:lang w:eastAsia="fr-FR"/>
        </w:rPr>
      </w:pPr>
      <w:hyperlink w:anchor="_Toc175128485" w:history="1">
        <w:r w:rsidR="00912BAE">
          <w:rPr>
            <w:rStyle w:val="Lienhypertexte"/>
            <w:rFonts w:ascii="Rockwell" w:hAnsi="Rockwell"/>
            <w:b/>
            <w:noProof/>
          </w:rPr>
          <w:t>Paragraphe 4 : affaire El Hadj Adama TRAORE &amp; Ousmane OUEDRAOGO contre l’Association du Succès Islamique pour l’Appel (ASIA) &amp; CSC</w:t>
        </w:r>
        <w:r w:rsidR="00912BAE">
          <w:rPr>
            <w:noProof/>
          </w:rPr>
          <w:tab/>
        </w:r>
        <w:r w:rsidR="00912BAE">
          <w:rPr>
            <w:noProof/>
          </w:rPr>
          <w:fldChar w:fldCharType="begin"/>
        </w:r>
        <w:r w:rsidR="00912BAE">
          <w:rPr>
            <w:noProof/>
          </w:rPr>
          <w:instrText xml:space="preserve"> PAGEREF _Toc175128485 \h </w:instrText>
        </w:r>
        <w:r w:rsidR="00912BAE">
          <w:rPr>
            <w:noProof/>
          </w:rPr>
        </w:r>
        <w:r w:rsidR="00912BAE">
          <w:rPr>
            <w:noProof/>
          </w:rPr>
          <w:fldChar w:fldCharType="separate"/>
        </w:r>
        <w:r w:rsidR="00261767">
          <w:rPr>
            <w:noProof/>
          </w:rPr>
          <w:t>64</w:t>
        </w:r>
        <w:r w:rsidR="00912BAE">
          <w:rPr>
            <w:noProof/>
          </w:rPr>
          <w:fldChar w:fldCharType="end"/>
        </w:r>
      </w:hyperlink>
    </w:p>
    <w:p w14:paraId="5C712DAE" w14:textId="11C59186" w:rsidR="00733207" w:rsidRDefault="00E06378">
      <w:pPr>
        <w:pStyle w:val="TM2"/>
        <w:rPr>
          <w:rFonts w:cstheme="minorBidi"/>
          <w:noProof/>
        </w:rPr>
      </w:pPr>
      <w:hyperlink w:anchor="_Toc175128486" w:history="1">
        <w:r w:rsidR="00912BAE">
          <w:rPr>
            <w:rStyle w:val="Lienhypertexte"/>
            <w:rFonts w:ascii="Rockwell" w:hAnsi="Rockwell"/>
            <w:b/>
            <w:noProof/>
          </w:rPr>
          <w:t>CHAPITRE V : MONITORING DES MEDIAS AUDIOVISUELS, DE LA PRESSE ECRITE ET DE LA PRESSE EN LIGNE</w:t>
        </w:r>
        <w:r w:rsidR="00912BAE">
          <w:rPr>
            <w:noProof/>
          </w:rPr>
          <w:tab/>
        </w:r>
        <w:r w:rsidR="00912BAE">
          <w:rPr>
            <w:noProof/>
          </w:rPr>
          <w:fldChar w:fldCharType="begin"/>
        </w:r>
        <w:r w:rsidR="00912BAE">
          <w:rPr>
            <w:noProof/>
          </w:rPr>
          <w:instrText xml:space="preserve"> PAGEREF _Toc175128486 \h </w:instrText>
        </w:r>
        <w:r w:rsidR="00912BAE">
          <w:rPr>
            <w:noProof/>
          </w:rPr>
        </w:r>
        <w:r w:rsidR="00912BAE">
          <w:rPr>
            <w:noProof/>
          </w:rPr>
          <w:fldChar w:fldCharType="separate"/>
        </w:r>
        <w:r w:rsidR="00261767">
          <w:rPr>
            <w:noProof/>
          </w:rPr>
          <w:t>66</w:t>
        </w:r>
        <w:r w:rsidR="00912BAE">
          <w:rPr>
            <w:noProof/>
          </w:rPr>
          <w:fldChar w:fldCharType="end"/>
        </w:r>
      </w:hyperlink>
    </w:p>
    <w:p w14:paraId="7CF2607F" w14:textId="64539CE8" w:rsidR="00733207" w:rsidRDefault="00E06378">
      <w:pPr>
        <w:pStyle w:val="TM3"/>
        <w:tabs>
          <w:tab w:val="right" w:leader="dot" w:pos="9630"/>
        </w:tabs>
        <w:rPr>
          <w:rFonts w:cstheme="minorBidi"/>
          <w:noProof/>
        </w:rPr>
      </w:pPr>
      <w:hyperlink w:anchor="_Toc175128487" w:history="1">
        <w:r w:rsidR="00912BAE">
          <w:rPr>
            <w:rStyle w:val="Lienhypertexte"/>
            <w:rFonts w:ascii="Rockwell" w:hAnsi="Rockwell"/>
            <w:i/>
            <w:noProof/>
          </w:rPr>
          <w:t>SECTION 1 : MONITORING DE LA PRESSE ECRITE ET DE LA PRESSE EN LIGNE</w:t>
        </w:r>
        <w:r w:rsidR="00912BAE">
          <w:rPr>
            <w:noProof/>
          </w:rPr>
          <w:tab/>
        </w:r>
        <w:r w:rsidR="00912BAE">
          <w:rPr>
            <w:noProof/>
          </w:rPr>
          <w:fldChar w:fldCharType="begin"/>
        </w:r>
        <w:r w:rsidR="00912BAE">
          <w:rPr>
            <w:noProof/>
          </w:rPr>
          <w:instrText xml:space="preserve"> PAGEREF _Toc175128487 \h </w:instrText>
        </w:r>
        <w:r w:rsidR="00912BAE">
          <w:rPr>
            <w:noProof/>
          </w:rPr>
        </w:r>
        <w:r w:rsidR="00912BAE">
          <w:rPr>
            <w:noProof/>
          </w:rPr>
          <w:fldChar w:fldCharType="separate"/>
        </w:r>
        <w:r w:rsidR="00261767">
          <w:rPr>
            <w:noProof/>
          </w:rPr>
          <w:t>67</w:t>
        </w:r>
        <w:r w:rsidR="00912BAE">
          <w:rPr>
            <w:noProof/>
          </w:rPr>
          <w:fldChar w:fldCharType="end"/>
        </w:r>
      </w:hyperlink>
    </w:p>
    <w:p w14:paraId="796CE4BD" w14:textId="27F83F5F" w:rsidR="00733207" w:rsidRDefault="00E06378">
      <w:pPr>
        <w:pStyle w:val="TM4"/>
        <w:tabs>
          <w:tab w:val="right" w:leader="dot" w:pos="9630"/>
        </w:tabs>
        <w:rPr>
          <w:rFonts w:eastAsiaTheme="minorEastAsia"/>
          <w:noProof/>
          <w:lang w:eastAsia="fr-FR"/>
        </w:rPr>
      </w:pPr>
      <w:hyperlink w:anchor="_Toc175128488" w:history="1">
        <w:r w:rsidR="00912BAE">
          <w:rPr>
            <w:rStyle w:val="Lienhypertexte"/>
            <w:rFonts w:ascii="Rockwell" w:hAnsi="Rockwell"/>
            <w:b/>
            <w:noProof/>
          </w:rPr>
          <w:t>Paragraphe 1 : Presse écrite</w:t>
        </w:r>
        <w:r w:rsidR="00912BAE">
          <w:rPr>
            <w:noProof/>
          </w:rPr>
          <w:tab/>
        </w:r>
        <w:r w:rsidR="00912BAE">
          <w:rPr>
            <w:noProof/>
          </w:rPr>
          <w:fldChar w:fldCharType="begin"/>
        </w:r>
        <w:r w:rsidR="00912BAE">
          <w:rPr>
            <w:noProof/>
          </w:rPr>
          <w:instrText xml:space="preserve"> PAGEREF _Toc175128488 \h </w:instrText>
        </w:r>
        <w:r w:rsidR="00912BAE">
          <w:rPr>
            <w:noProof/>
          </w:rPr>
        </w:r>
        <w:r w:rsidR="00912BAE">
          <w:rPr>
            <w:noProof/>
          </w:rPr>
          <w:fldChar w:fldCharType="separate"/>
        </w:r>
        <w:r w:rsidR="00261767">
          <w:rPr>
            <w:noProof/>
          </w:rPr>
          <w:t>67</w:t>
        </w:r>
        <w:r w:rsidR="00912BAE">
          <w:rPr>
            <w:noProof/>
          </w:rPr>
          <w:fldChar w:fldCharType="end"/>
        </w:r>
      </w:hyperlink>
    </w:p>
    <w:p w14:paraId="6190298F" w14:textId="4B18D4BD" w:rsidR="00733207" w:rsidRDefault="00E06378">
      <w:pPr>
        <w:pStyle w:val="TM5"/>
        <w:tabs>
          <w:tab w:val="left" w:pos="1540"/>
          <w:tab w:val="right" w:leader="dot" w:pos="9630"/>
        </w:tabs>
        <w:rPr>
          <w:rFonts w:eastAsiaTheme="minorEastAsia"/>
          <w:noProof/>
          <w:lang w:eastAsia="fr-FR"/>
        </w:rPr>
      </w:pPr>
      <w:hyperlink w:anchor="_Toc175128489" w:history="1">
        <w:r w:rsidR="00912BAE">
          <w:rPr>
            <w:rStyle w:val="Lienhypertexte"/>
            <w:rFonts w:ascii="Rockwell" w:hAnsi="Rockwell"/>
            <w:noProof/>
          </w:rPr>
          <w:t>1.1.</w:t>
        </w:r>
        <w:r w:rsidR="00912BAE">
          <w:rPr>
            <w:rFonts w:eastAsiaTheme="minorEastAsia"/>
            <w:noProof/>
            <w:lang w:eastAsia="fr-FR"/>
          </w:rPr>
          <w:tab/>
        </w:r>
        <w:r w:rsidR="00912BAE">
          <w:rPr>
            <w:rStyle w:val="Lienhypertexte"/>
            <w:rFonts w:ascii="Rockwell" w:hAnsi="Rockwell"/>
            <w:noProof/>
          </w:rPr>
          <w:t>Observation de la presse écrite</w:t>
        </w:r>
        <w:r w:rsidR="00912BAE">
          <w:rPr>
            <w:noProof/>
          </w:rPr>
          <w:tab/>
        </w:r>
        <w:r w:rsidR="00912BAE">
          <w:rPr>
            <w:noProof/>
          </w:rPr>
          <w:fldChar w:fldCharType="begin"/>
        </w:r>
        <w:r w:rsidR="00912BAE">
          <w:rPr>
            <w:noProof/>
          </w:rPr>
          <w:instrText xml:space="preserve"> PAGEREF _Toc175128489 \h </w:instrText>
        </w:r>
        <w:r w:rsidR="00912BAE">
          <w:rPr>
            <w:noProof/>
          </w:rPr>
        </w:r>
        <w:r w:rsidR="00912BAE">
          <w:rPr>
            <w:noProof/>
          </w:rPr>
          <w:fldChar w:fldCharType="separate"/>
        </w:r>
        <w:r w:rsidR="00261767">
          <w:rPr>
            <w:noProof/>
          </w:rPr>
          <w:t>67</w:t>
        </w:r>
        <w:r w:rsidR="00912BAE">
          <w:rPr>
            <w:noProof/>
          </w:rPr>
          <w:fldChar w:fldCharType="end"/>
        </w:r>
      </w:hyperlink>
    </w:p>
    <w:p w14:paraId="72973960" w14:textId="5609924A" w:rsidR="00733207" w:rsidRDefault="00E06378">
      <w:pPr>
        <w:pStyle w:val="TM5"/>
        <w:tabs>
          <w:tab w:val="left" w:pos="1540"/>
          <w:tab w:val="right" w:leader="dot" w:pos="9630"/>
        </w:tabs>
        <w:rPr>
          <w:rFonts w:eastAsiaTheme="minorEastAsia"/>
          <w:noProof/>
          <w:lang w:eastAsia="fr-FR"/>
        </w:rPr>
      </w:pPr>
      <w:hyperlink w:anchor="_Toc175128490" w:history="1">
        <w:r w:rsidR="00912BAE">
          <w:rPr>
            <w:rStyle w:val="Lienhypertexte"/>
            <w:rFonts w:ascii="Rockwell" w:hAnsi="Rockwell"/>
            <w:noProof/>
          </w:rPr>
          <w:t>1.2.</w:t>
        </w:r>
        <w:r w:rsidR="00912BAE">
          <w:rPr>
            <w:rFonts w:eastAsiaTheme="minorEastAsia"/>
            <w:noProof/>
            <w:lang w:eastAsia="fr-FR"/>
          </w:rPr>
          <w:tab/>
        </w:r>
        <w:r w:rsidR="00912BAE">
          <w:rPr>
            <w:rStyle w:val="Lienhypertexte"/>
            <w:rFonts w:ascii="Rockwell" w:hAnsi="Rockwell"/>
            <w:noProof/>
          </w:rPr>
          <w:t>Présentation des données récoltées dans les Quotidiens</w:t>
        </w:r>
        <w:r w:rsidR="00912BAE">
          <w:rPr>
            <w:noProof/>
          </w:rPr>
          <w:tab/>
        </w:r>
        <w:r w:rsidR="00912BAE">
          <w:rPr>
            <w:noProof/>
          </w:rPr>
          <w:fldChar w:fldCharType="begin"/>
        </w:r>
        <w:r w:rsidR="00912BAE">
          <w:rPr>
            <w:noProof/>
          </w:rPr>
          <w:instrText xml:space="preserve"> PAGEREF _Toc175128490 \h </w:instrText>
        </w:r>
        <w:r w:rsidR="00912BAE">
          <w:rPr>
            <w:noProof/>
          </w:rPr>
        </w:r>
        <w:r w:rsidR="00912BAE">
          <w:rPr>
            <w:noProof/>
          </w:rPr>
          <w:fldChar w:fldCharType="separate"/>
        </w:r>
        <w:r w:rsidR="00261767">
          <w:rPr>
            <w:noProof/>
          </w:rPr>
          <w:t>67</w:t>
        </w:r>
        <w:r w:rsidR="00912BAE">
          <w:rPr>
            <w:noProof/>
          </w:rPr>
          <w:fldChar w:fldCharType="end"/>
        </w:r>
      </w:hyperlink>
    </w:p>
    <w:p w14:paraId="2E80FD54" w14:textId="36B9A4B1" w:rsidR="00733207" w:rsidRDefault="00E06378">
      <w:pPr>
        <w:pStyle w:val="TM7"/>
        <w:tabs>
          <w:tab w:val="left" w:pos="1760"/>
          <w:tab w:val="right" w:leader="dot" w:pos="9630"/>
        </w:tabs>
        <w:rPr>
          <w:noProof/>
        </w:rPr>
      </w:pPr>
      <w:hyperlink w:anchor="_Toc175128491" w:history="1">
        <w:r w:rsidR="00912BAE">
          <w:rPr>
            <w:rStyle w:val="Lienhypertexte"/>
            <w:rFonts w:ascii="Rockwell" w:hAnsi="Rockwell"/>
            <w:b/>
            <w:noProof/>
          </w:rPr>
          <w:t>a.</w:t>
        </w:r>
        <w:r w:rsidR="00912BAE">
          <w:rPr>
            <w:noProof/>
          </w:rPr>
          <w:tab/>
        </w:r>
        <w:r w:rsidR="00912BAE">
          <w:rPr>
            <w:rStyle w:val="Lienhypertexte"/>
            <w:rFonts w:ascii="Rockwell" w:hAnsi="Rockwell"/>
            <w:b/>
            <w:noProof/>
          </w:rPr>
          <w:t>Classement des partis politiques selon les NP et NI obtenus dans les quotidiens</w:t>
        </w:r>
        <w:r w:rsidR="00912BAE">
          <w:rPr>
            <w:noProof/>
          </w:rPr>
          <w:tab/>
        </w:r>
        <w:r w:rsidR="00912BAE">
          <w:rPr>
            <w:noProof/>
          </w:rPr>
          <w:fldChar w:fldCharType="begin"/>
        </w:r>
        <w:r w:rsidR="00912BAE">
          <w:rPr>
            <w:noProof/>
          </w:rPr>
          <w:instrText xml:space="preserve"> PAGEREF _Toc175128491 \h </w:instrText>
        </w:r>
        <w:r w:rsidR="00912BAE">
          <w:rPr>
            <w:noProof/>
          </w:rPr>
        </w:r>
        <w:r w:rsidR="00912BAE">
          <w:rPr>
            <w:noProof/>
          </w:rPr>
          <w:fldChar w:fldCharType="separate"/>
        </w:r>
        <w:r w:rsidR="00261767">
          <w:rPr>
            <w:noProof/>
          </w:rPr>
          <w:t>68</w:t>
        </w:r>
        <w:r w:rsidR="00912BAE">
          <w:rPr>
            <w:noProof/>
          </w:rPr>
          <w:fldChar w:fldCharType="end"/>
        </w:r>
      </w:hyperlink>
    </w:p>
    <w:p w14:paraId="25835742" w14:textId="4733F9E6" w:rsidR="00733207" w:rsidRDefault="00E06378">
      <w:pPr>
        <w:pStyle w:val="TM6"/>
        <w:tabs>
          <w:tab w:val="left" w:pos="1540"/>
          <w:tab w:val="right" w:leader="dot" w:pos="9630"/>
        </w:tabs>
        <w:rPr>
          <w:noProof/>
        </w:rPr>
      </w:pPr>
      <w:hyperlink w:anchor="_Toc175128492" w:history="1">
        <w:r w:rsidR="00912BAE">
          <w:rPr>
            <w:rStyle w:val="Lienhypertexte"/>
            <w:rFonts w:ascii="Rockwell" w:hAnsi="Rockwell"/>
            <w:b/>
            <w:i/>
            <w:noProof/>
          </w:rPr>
          <w:t>b.</w:t>
        </w:r>
        <w:r w:rsidR="00912BAE">
          <w:rPr>
            <w:noProof/>
          </w:rPr>
          <w:tab/>
        </w:r>
        <w:r w:rsidR="00912BAE">
          <w:rPr>
            <w:rStyle w:val="Lienhypertexte"/>
            <w:rFonts w:ascii="Rockwell" w:hAnsi="Rockwell"/>
            <w:b/>
            <w:i/>
            <w:noProof/>
          </w:rPr>
          <w:t>Classement des acteurs sociopolitiques selon les NP et NI obtenus dans les Quotidiens</w:t>
        </w:r>
        <w:r w:rsidR="00912BAE">
          <w:rPr>
            <w:noProof/>
          </w:rPr>
          <w:tab/>
        </w:r>
        <w:r w:rsidR="00912BAE">
          <w:rPr>
            <w:noProof/>
          </w:rPr>
          <w:fldChar w:fldCharType="begin"/>
        </w:r>
        <w:r w:rsidR="00912BAE">
          <w:rPr>
            <w:noProof/>
          </w:rPr>
          <w:instrText xml:space="preserve"> PAGEREF _Toc175128492 \h </w:instrText>
        </w:r>
        <w:r w:rsidR="00912BAE">
          <w:rPr>
            <w:noProof/>
          </w:rPr>
        </w:r>
        <w:r w:rsidR="00912BAE">
          <w:rPr>
            <w:noProof/>
          </w:rPr>
          <w:fldChar w:fldCharType="separate"/>
        </w:r>
        <w:r w:rsidR="00261767">
          <w:rPr>
            <w:noProof/>
          </w:rPr>
          <w:t>69</w:t>
        </w:r>
        <w:r w:rsidR="00912BAE">
          <w:rPr>
            <w:noProof/>
          </w:rPr>
          <w:fldChar w:fldCharType="end"/>
        </w:r>
      </w:hyperlink>
    </w:p>
    <w:p w14:paraId="3AB74D5A" w14:textId="1B5621F7" w:rsidR="00733207" w:rsidRDefault="00E06378">
      <w:pPr>
        <w:pStyle w:val="TM6"/>
        <w:tabs>
          <w:tab w:val="right" w:leader="dot" w:pos="9630"/>
        </w:tabs>
        <w:rPr>
          <w:noProof/>
        </w:rPr>
      </w:pPr>
      <w:hyperlink w:anchor="_Toc175128493" w:history="1">
        <w:r w:rsidR="00912BAE">
          <w:rPr>
            <w:rStyle w:val="Lienhypertexte"/>
            <w:rFonts w:ascii="Rockwell" w:hAnsi="Rockwell"/>
            <w:b/>
            <w:i/>
            <w:noProof/>
          </w:rPr>
          <w:t>c. cartographie des thématiques traitées par les Quotidiens</w:t>
        </w:r>
        <w:r w:rsidR="00912BAE">
          <w:rPr>
            <w:noProof/>
          </w:rPr>
          <w:tab/>
        </w:r>
        <w:r w:rsidR="00912BAE">
          <w:rPr>
            <w:noProof/>
          </w:rPr>
          <w:fldChar w:fldCharType="begin"/>
        </w:r>
        <w:r w:rsidR="00912BAE">
          <w:rPr>
            <w:noProof/>
          </w:rPr>
          <w:instrText xml:space="preserve"> PAGEREF _Toc175128493 \h </w:instrText>
        </w:r>
        <w:r w:rsidR="00912BAE">
          <w:rPr>
            <w:noProof/>
          </w:rPr>
        </w:r>
        <w:r w:rsidR="00912BAE">
          <w:rPr>
            <w:noProof/>
          </w:rPr>
          <w:fldChar w:fldCharType="separate"/>
        </w:r>
        <w:r w:rsidR="00261767">
          <w:rPr>
            <w:noProof/>
          </w:rPr>
          <w:t>71</w:t>
        </w:r>
        <w:r w:rsidR="00912BAE">
          <w:rPr>
            <w:noProof/>
          </w:rPr>
          <w:fldChar w:fldCharType="end"/>
        </w:r>
      </w:hyperlink>
    </w:p>
    <w:p w14:paraId="251F4F63" w14:textId="2878805C" w:rsidR="00733207" w:rsidRDefault="00E06378">
      <w:pPr>
        <w:pStyle w:val="TM6"/>
        <w:tabs>
          <w:tab w:val="right" w:leader="dot" w:pos="9630"/>
        </w:tabs>
        <w:rPr>
          <w:noProof/>
        </w:rPr>
      </w:pPr>
      <w:hyperlink w:anchor="_Toc175128494" w:history="1">
        <w:r w:rsidR="00912BAE">
          <w:rPr>
            <w:rStyle w:val="Lienhypertexte"/>
            <w:rFonts w:ascii="Rockwell" w:hAnsi="Rockwell"/>
            <w:b/>
            <w:noProof/>
          </w:rPr>
          <w:t xml:space="preserve">d. </w:t>
        </w:r>
        <w:r w:rsidR="00912BAE">
          <w:rPr>
            <w:rStyle w:val="Lienhypertexte"/>
            <w:rFonts w:ascii="Rockwell" w:hAnsi="Rockwell"/>
            <w:b/>
            <w:i/>
            <w:noProof/>
          </w:rPr>
          <w:t>classement des Quotidiens en fonction des NP et NI accordés aux partis politiques</w:t>
        </w:r>
        <w:r w:rsidR="00912BAE">
          <w:rPr>
            <w:noProof/>
          </w:rPr>
          <w:tab/>
        </w:r>
        <w:r w:rsidR="00912BAE">
          <w:rPr>
            <w:noProof/>
          </w:rPr>
          <w:fldChar w:fldCharType="begin"/>
        </w:r>
        <w:r w:rsidR="00912BAE">
          <w:rPr>
            <w:noProof/>
          </w:rPr>
          <w:instrText xml:space="preserve"> PAGEREF _Toc175128494 \h </w:instrText>
        </w:r>
        <w:r w:rsidR="00912BAE">
          <w:rPr>
            <w:noProof/>
          </w:rPr>
        </w:r>
        <w:r w:rsidR="00912BAE">
          <w:rPr>
            <w:noProof/>
          </w:rPr>
          <w:fldChar w:fldCharType="separate"/>
        </w:r>
        <w:r w:rsidR="00261767">
          <w:rPr>
            <w:noProof/>
          </w:rPr>
          <w:t>73</w:t>
        </w:r>
        <w:r w:rsidR="00912BAE">
          <w:rPr>
            <w:noProof/>
          </w:rPr>
          <w:fldChar w:fldCharType="end"/>
        </w:r>
      </w:hyperlink>
    </w:p>
    <w:p w14:paraId="3D354CB3" w14:textId="0435E6BA" w:rsidR="00733207" w:rsidRDefault="00E06378">
      <w:pPr>
        <w:pStyle w:val="TM6"/>
        <w:tabs>
          <w:tab w:val="right" w:leader="dot" w:pos="9630"/>
        </w:tabs>
        <w:rPr>
          <w:noProof/>
        </w:rPr>
      </w:pPr>
      <w:hyperlink w:anchor="_Toc175128495" w:history="1">
        <w:r w:rsidR="00912BAE">
          <w:rPr>
            <w:rStyle w:val="Lienhypertexte"/>
            <w:rFonts w:ascii="Rockwell" w:hAnsi="Rockwell"/>
            <w:b/>
            <w:noProof/>
          </w:rPr>
          <w:t xml:space="preserve">e. </w:t>
        </w:r>
        <w:r w:rsidR="00912BAE">
          <w:rPr>
            <w:rStyle w:val="Lienhypertexte"/>
            <w:rFonts w:ascii="Rockwell" w:hAnsi="Rockwell"/>
            <w:b/>
            <w:i/>
            <w:noProof/>
          </w:rPr>
          <w:t xml:space="preserve">classement des Quotidiens en fonction des NP et NI accordés aux </w:t>
        </w:r>
        <w:r w:rsidR="00912BAE">
          <w:rPr>
            <w:rStyle w:val="Lienhypertexte"/>
            <w:rFonts w:ascii="Rockwell" w:hAnsi="Rockwell"/>
            <w:b/>
            <w:bCs/>
            <w:i/>
            <w:noProof/>
          </w:rPr>
          <w:t>acteurs sociopolitiques</w:t>
        </w:r>
        <w:r w:rsidR="00912BAE">
          <w:rPr>
            <w:noProof/>
          </w:rPr>
          <w:tab/>
        </w:r>
        <w:r w:rsidR="00912BAE">
          <w:rPr>
            <w:noProof/>
          </w:rPr>
          <w:fldChar w:fldCharType="begin"/>
        </w:r>
        <w:r w:rsidR="00912BAE">
          <w:rPr>
            <w:noProof/>
          </w:rPr>
          <w:instrText xml:space="preserve"> PAGEREF _Toc175128495 \h </w:instrText>
        </w:r>
        <w:r w:rsidR="00912BAE">
          <w:rPr>
            <w:noProof/>
          </w:rPr>
        </w:r>
        <w:r w:rsidR="00912BAE">
          <w:rPr>
            <w:noProof/>
          </w:rPr>
          <w:fldChar w:fldCharType="separate"/>
        </w:r>
        <w:r w:rsidR="00261767">
          <w:rPr>
            <w:noProof/>
          </w:rPr>
          <w:t>74</w:t>
        </w:r>
        <w:r w:rsidR="00912BAE">
          <w:rPr>
            <w:noProof/>
          </w:rPr>
          <w:fldChar w:fldCharType="end"/>
        </w:r>
      </w:hyperlink>
    </w:p>
    <w:p w14:paraId="40CC50A9" w14:textId="14EACE80" w:rsidR="00733207" w:rsidRDefault="00E06378">
      <w:pPr>
        <w:pStyle w:val="TM6"/>
        <w:tabs>
          <w:tab w:val="right" w:leader="dot" w:pos="9630"/>
        </w:tabs>
        <w:rPr>
          <w:noProof/>
        </w:rPr>
      </w:pPr>
      <w:hyperlink w:anchor="_Toc175128496" w:history="1">
        <w:r w:rsidR="00912BAE">
          <w:rPr>
            <w:rStyle w:val="Lienhypertexte"/>
            <w:rFonts w:ascii="Rockwell" w:hAnsi="Rockwell"/>
            <w:b/>
            <w:i/>
            <w:noProof/>
          </w:rPr>
          <w:t>f. classement des Quotidiens en fonction des thématiques abordées</w:t>
        </w:r>
        <w:r w:rsidR="00912BAE">
          <w:rPr>
            <w:noProof/>
          </w:rPr>
          <w:tab/>
        </w:r>
        <w:r w:rsidR="00912BAE">
          <w:rPr>
            <w:noProof/>
          </w:rPr>
          <w:fldChar w:fldCharType="begin"/>
        </w:r>
        <w:r w:rsidR="00912BAE">
          <w:rPr>
            <w:noProof/>
          </w:rPr>
          <w:instrText xml:space="preserve"> PAGEREF _Toc175128496 \h </w:instrText>
        </w:r>
        <w:r w:rsidR="00912BAE">
          <w:rPr>
            <w:noProof/>
          </w:rPr>
        </w:r>
        <w:r w:rsidR="00912BAE">
          <w:rPr>
            <w:noProof/>
          </w:rPr>
          <w:fldChar w:fldCharType="separate"/>
        </w:r>
        <w:r w:rsidR="00261767">
          <w:rPr>
            <w:noProof/>
          </w:rPr>
          <w:t>75</w:t>
        </w:r>
        <w:r w:rsidR="00912BAE">
          <w:rPr>
            <w:noProof/>
          </w:rPr>
          <w:fldChar w:fldCharType="end"/>
        </w:r>
      </w:hyperlink>
    </w:p>
    <w:p w14:paraId="793F30DE" w14:textId="61CF7D24" w:rsidR="00733207" w:rsidRDefault="00E06378">
      <w:pPr>
        <w:pStyle w:val="TM5"/>
        <w:tabs>
          <w:tab w:val="right" w:leader="dot" w:pos="9630"/>
        </w:tabs>
        <w:rPr>
          <w:rFonts w:eastAsiaTheme="minorEastAsia"/>
          <w:noProof/>
          <w:lang w:eastAsia="fr-FR"/>
        </w:rPr>
      </w:pPr>
      <w:hyperlink w:anchor="_Toc175128497" w:history="1">
        <w:r w:rsidR="00912BAE">
          <w:rPr>
            <w:rStyle w:val="Lienhypertexte"/>
            <w:rFonts w:ascii="Rockwell" w:hAnsi="Rockwell"/>
            <w:noProof/>
          </w:rPr>
          <w:t>1.3. Analyse des données</w:t>
        </w:r>
        <w:r w:rsidR="00912BAE">
          <w:rPr>
            <w:noProof/>
          </w:rPr>
          <w:tab/>
        </w:r>
        <w:r w:rsidR="00912BAE">
          <w:rPr>
            <w:noProof/>
          </w:rPr>
          <w:fldChar w:fldCharType="begin"/>
        </w:r>
        <w:r w:rsidR="00912BAE">
          <w:rPr>
            <w:noProof/>
          </w:rPr>
          <w:instrText xml:space="preserve"> PAGEREF _Toc175128497 \h </w:instrText>
        </w:r>
        <w:r w:rsidR="00912BAE">
          <w:rPr>
            <w:noProof/>
          </w:rPr>
        </w:r>
        <w:r w:rsidR="00912BAE">
          <w:rPr>
            <w:noProof/>
          </w:rPr>
          <w:fldChar w:fldCharType="separate"/>
        </w:r>
        <w:r w:rsidR="00261767">
          <w:rPr>
            <w:noProof/>
          </w:rPr>
          <w:t>76</w:t>
        </w:r>
        <w:r w:rsidR="00912BAE">
          <w:rPr>
            <w:noProof/>
          </w:rPr>
          <w:fldChar w:fldCharType="end"/>
        </w:r>
      </w:hyperlink>
    </w:p>
    <w:p w14:paraId="0842ADD0" w14:textId="36B0CD45" w:rsidR="00733207" w:rsidRDefault="00E06378">
      <w:pPr>
        <w:pStyle w:val="TM4"/>
        <w:tabs>
          <w:tab w:val="right" w:leader="dot" w:pos="9630"/>
        </w:tabs>
        <w:rPr>
          <w:rFonts w:eastAsiaTheme="minorEastAsia"/>
          <w:noProof/>
          <w:lang w:eastAsia="fr-FR"/>
        </w:rPr>
      </w:pPr>
      <w:hyperlink w:anchor="_Toc175128498" w:history="1">
        <w:r w:rsidR="00912BAE">
          <w:rPr>
            <w:rStyle w:val="Lienhypertexte"/>
            <w:rFonts w:ascii="Rockwell" w:hAnsi="Rockwell"/>
            <w:b/>
            <w:noProof/>
          </w:rPr>
          <w:t>Paragraphe 2 : presse en ligne</w:t>
        </w:r>
        <w:r w:rsidR="00912BAE">
          <w:rPr>
            <w:noProof/>
          </w:rPr>
          <w:tab/>
        </w:r>
        <w:r w:rsidR="00912BAE">
          <w:rPr>
            <w:noProof/>
          </w:rPr>
          <w:fldChar w:fldCharType="begin"/>
        </w:r>
        <w:r w:rsidR="00912BAE">
          <w:rPr>
            <w:noProof/>
          </w:rPr>
          <w:instrText xml:space="preserve"> PAGEREF _Toc175128498 \h </w:instrText>
        </w:r>
        <w:r w:rsidR="00912BAE">
          <w:rPr>
            <w:noProof/>
          </w:rPr>
        </w:r>
        <w:r w:rsidR="00912BAE">
          <w:rPr>
            <w:noProof/>
          </w:rPr>
          <w:fldChar w:fldCharType="separate"/>
        </w:r>
        <w:r w:rsidR="00261767">
          <w:rPr>
            <w:noProof/>
          </w:rPr>
          <w:t>78</w:t>
        </w:r>
        <w:r w:rsidR="00912BAE">
          <w:rPr>
            <w:noProof/>
          </w:rPr>
          <w:fldChar w:fldCharType="end"/>
        </w:r>
      </w:hyperlink>
    </w:p>
    <w:p w14:paraId="0112AD1A" w14:textId="7586CFCC" w:rsidR="00733207" w:rsidRDefault="00E06378">
      <w:pPr>
        <w:pStyle w:val="TM5"/>
        <w:tabs>
          <w:tab w:val="right" w:leader="dot" w:pos="9630"/>
        </w:tabs>
        <w:rPr>
          <w:rFonts w:eastAsiaTheme="minorEastAsia"/>
          <w:noProof/>
          <w:lang w:eastAsia="fr-FR"/>
        </w:rPr>
      </w:pPr>
      <w:hyperlink w:anchor="_Toc175128499" w:history="1">
        <w:r w:rsidR="00912BAE">
          <w:rPr>
            <w:rStyle w:val="Lienhypertexte"/>
            <w:rFonts w:ascii="Rockwell" w:hAnsi="Rockwell"/>
            <w:noProof/>
          </w:rPr>
          <w:t>2.1. Observation de la presse en ligne</w:t>
        </w:r>
        <w:r w:rsidR="00912BAE">
          <w:rPr>
            <w:noProof/>
          </w:rPr>
          <w:tab/>
        </w:r>
        <w:r w:rsidR="00912BAE">
          <w:rPr>
            <w:noProof/>
          </w:rPr>
          <w:fldChar w:fldCharType="begin"/>
        </w:r>
        <w:r w:rsidR="00912BAE">
          <w:rPr>
            <w:noProof/>
          </w:rPr>
          <w:instrText xml:space="preserve"> PAGEREF _Toc175128499 \h </w:instrText>
        </w:r>
        <w:r w:rsidR="00912BAE">
          <w:rPr>
            <w:noProof/>
          </w:rPr>
        </w:r>
        <w:r w:rsidR="00912BAE">
          <w:rPr>
            <w:noProof/>
          </w:rPr>
          <w:fldChar w:fldCharType="separate"/>
        </w:r>
        <w:r w:rsidR="00261767">
          <w:rPr>
            <w:noProof/>
          </w:rPr>
          <w:t>78</w:t>
        </w:r>
        <w:r w:rsidR="00912BAE">
          <w:rPr>
            <w:noProof/>
          </w:rPr>
          <w:fldChar w:fldCharType="end"/>
        </w:r>
      </w:hyperlink>
    </w:p>
    <w:p w14:paraId="44877C30" w14:textId="3D0A6653" w:rsidR="00733207" w:rsidRDefault="00E06378">
      <w:pPr>
        <w:pStyle w:val="TM6"/>
        <w:tabs>
          <w:tab w:val="right" w:leader="dot" w:pos="9630"/>
        </w:tabs>
        <w:rPr>
          <w:noProof/>
        </w:rPr>
      </w:pPr>
      <w:hyperlink w:anchor="_Toc175128500" w:history="1">
        <w:r w:rsidR="00912BAE">
          <w:rPr>
            <w:rStyle w:val="Lienhypertexte"/>
            <w:rFonts w:ascii="Rockwell" w:hAnsi="Rockwell"/>
            <w:b/>
            <w:i/>
            <w:noProof/>
          </w:rPr>
          <w:t>2.1.1. Appréciation de l’observation du pluralisme et de l’équilibre de l’information dans les médias en ligne</w:t>
        </w:r>
        <w:r w:rsidR="00912BAE">
          <w:rPr>
            <w:noProof/>
          </w:rPr>
          <w:tab/>
        </w:r>
        <w:r w:rsidR="00912BAE">
          <w:rPr>
            <w:noProof/>
          </w:rPr>
          <w:fldChar w:fldCharType="begin"/>
        </w:r>
        <w:r w:rsidR="00912BAE">
          <w:rPr>
            <w:noProof/>
          </w:rPr>
          <w:instrText xml:space="preserve"> PAGEREF _Toc175128500 \h </w:instrText>
        </w:r>
        <w:r w:rsidR="00912BAE">
          <w:rPr>
            <w:noProof/>
          </w:rPr>
        </w:r>
        <w:r w:rsidR="00912BAE">
          <w:rPr>
            <w:noProof/>
          </w:rPr>
          <w:fldChar w:fldCharType="separate"/>
        </w:r>
        <w:r w:rsidR="00261767">
          <w:rPr>
            <w:noProof/>
          </w:rPr>
          <w:t>78</w:t>
        </w:r>
        <w:r w:rsidR="00912BAE">
          <w:rPr>
            <w:noProof/>
          </w:rPr>
          <w:fldChar w:fldCharType="end"/>
        </w:r>
      </w:hyperlink>
    </w:p>
    <w:p w14:paraId="1CB40AB1" w14:textId="51E8612D" w:rsidR="00733207" w:rsidRDefault="00E06378">
      <w:pPr>
        <w:pStyle w:val="TM7"/>
        <w:tabs>
          <w:tab w:val="left" w:pos="1760"/>
          <w:tab w:val="right" w:leader="dot" w:pos="9630"/>
        </w:tabs>
        <w:rPr>
          <w:noProof/>
        </w:rPr>
      </w:pPr>
      <w:hyperlink w:anchor="_Toc175128501" w:history="1">
        <w:r w:rsidR="00912BAE">
          <w:rPr>
            <w:rStyle w:val="Lienhypertexte"/>
            <w:rFonts w:ascii="Rockwell" w:hAnsi="Rockwell"/>
            <w:b/>
            <w:noProof/>
          </w:rPr>
          <w:t>a.</w:t>
        </w:r>
        <w:r w:rsidR="00912BAE">
          <w:rPr>
            <w:noProof/>
          </w:rPr>
          <w:tab/>
        </w:r>
        <w:r w:rsidR="00912BAE">
          <w:rPr>
            <w:rStyle w:val="Lienhypertexte"/>
            <w:rFonts w:ascii="Rockwell" w:hAnsi="Rockwell"/>
            <w:b/>
            <w:bCs/>
            <w:noProof/>
          </w:rPr>
          <w:t xml:space="preserve">Classement des </w:t>
        </w:r>
        <w:r w:rsidR="00912BAE">
          <w:rPr>
            <w:rStyle w:val="Lienhypertexte"/>
            <w:rFonts w:ascii="Rockwell" w:hAnsi="Rockwell"/>
            <w:b/>
            <w:noProof/>
          </w:rPr>
          <w:t>partis politiques en fonction des NA et NI obtenus</w:t>
        </w:r>
        <w:r w:rsidR="00912BAE">
          <w:rPr>
            <w:noProof/>
          </w:rPr>
          <w:tab/>
        </w:r>
        <w:r w:rsidR="00912BAE">
          <w:rPr>
            <w:noProof/>
          </w:rPr>
          <w:fldChar w:fldCharType="begin"/>
        </w:r>
        <w:r w:rsidR="00912BAE">
          <w:rPr>
            <w:noProof/>
          </w:rPr>
          <w:instrText xml:space="preserve"> PAGEREF _Toc175128501 \h </w:instrText>
        </w:r>
        <w:r w:rsidR="00912BAE">
          <w:rPr>
            <w:noProof/>
          </w:rPr>
        </w:r>
        <w:r w:rsidR="00912BAE">
          <w:rPr>
            <w:noProof/>
          </w:rPr>
          <w:fldChar w:fldCharType="separate"/>
        </w:r>
        <w:r w:rsidR="00261767">
          <w:rPr>
            <w:noProof/>
          </w:rPr>
          <w:t>79</w:t>
        </w:r>
        <w:r w:rsidR="00912BAE">
          <w:rPr>
            <w:noProof/>
          </w:rPr>
          <w:fldChar w:fldCharType="end"/>
        </w:r>
      </w:hyperlink>
    </w:p>
    <w:p w14:paraId="420AF1A8" w14:textId="58E121E3" w:rsidR="00733207" w:rsidRDefault="00E06378">
      <w:pPr>
        <w:pStyle w:val="TM7"/>
        <w:tabs>
          <w:tab w:val="left" w:pos="1760"/>
          <w:tab w:val="right" w:leader="dot" w:pos="9630"/>
        </w:tabs>
        <w:rPr>
          <w:noProof/>
        </w:rPr>
      </w:pPr>
      <w:hyperlink w:anchor="_Toc175128502" w:history="1">
        <w:r w:rsidR="00912BAE">
          <w:rPr>
            <w:rStyle w:val="Lienhypertexte"/>
            <w:rFonts w:ascii="Rockwell" w:hAnsi="Rockwell"/>
            <w:b/>
            <w:noProof/>
          </w:rPr>
          <w:t>b.</w:t>
        </w:r>
        <w:r w:rsidR="00912BAE">
          <w:rPr>
            <w:noProof/>
          </w:rPr>
          <w:tab/>
        </w:r>
        <w:r w:rsidR="00912BAE">
          <w:rPr>
            <w:rStyle w:val="Lienhypertexte"/>
            <w:rFonts w:ascii="Rockwell" w:hAnsi="Rockwell"/>
            <w:b/>
            <w:noProof/>
          </w:rPr>
          <w:t>Classement des acteurs sociopolitiques en fonction des NA et NI obtenus</w:t>
        </w:r>
        <w:r w:rsidR="00912BAE">
          <w:rPr>
            <w:noProof/>
          </w:rPr>
          <w:tab/>
        </w:r>
        <w:r w:rsidR="00912BAE">
          <w:rPr>
            <w:noProof/>
          </w:rPr>
          <w:fldChar w:fldCharType="begin"/>
        </w:r>
        <w:r w:rsidR="00912BAE">
          <w:rPr>
            <w:noProof/>
          </w:rPr>
          <w:instrText xml:space="preserve"> PAGEREF _Toc175128502 \h </w:instrText>
        </w:r>
        <w:r w:rsidR="00912BAE">
          <w:rPr>
            <w:noProof/>
          </w:rPr>
        </w:r>
        <w:r w:rsidR="00912BAE">
          <w:rPr>
            <w:noProof/>
          </w:rPr>
          <w:fldChar w:fldCharType="separate"/>
        </w:r>
        <w:r w:rsidR="00261767">
          <w:rPr>
            <w:noProof/>
          </w:rPr>
          <w:t>80</w:t>
        </w:r>
        <w:r w:rsidR="00912BAE">
          <w:rPr>
            <w:noProof/>
          </w:rPr>
          <w:fldChar w:fldCharType="end"/>
        </w:r>
      </w:hyperlink>
    </w:p>
    <w:p w14:paraId="38E58D34" w14:textId="4D31C9B9" w:rsidR="00733207" w:rsidRDefault="00E06378">
      <w:pPr>
        <w:pStyle w:val="TM6"/>
        <w:tabs>
          <w:tab w:val="right" w:leader="dot" w:pos="9630"/>
        </w:tabs>
        <w:rPr>
          <w:noProof/>
        </w:rPr>
      </w:pPr>
      <w:hyperlink w:anchor="_Toc175128503" w:history="1">
        <w:r w:rsidR="00912BAE">
          <w:rPr>
            <w:rStyle w:val="Lienhypertexte"/>
            <w:rFonts w:ascii="Rockwell" w:hAnsi="Rockwell"/>
            <w:b/>
            <w:i/>
            <w:noProof/>
          </w:rPr>
          <w:t>c. cartographie des thématiques traitées par les médias en ligne</w:t>
        </w:r>
        <w:r w:rsidR="00912BAE">
          <w:rPr>
            <w:noProof/>
          </w:rPr>
          <w:tab/>
        </w:r>
        <w:r w:rsidR="00912BAE">
          <w:rPr>
            <w:noProof/>
          </w:rPr>
          <w:fldChar w:fldCharType="begin"/>
        </w:r>
        <w:r w:rsidR="00912BAE">
          <w:rPr>
            <w:noProof/>
          </w:rPr>
          <w:instrText xml:space="preserve"> PAGEREF _Toc175128503 \h </w:instrText>
        </w:r>
        <w:r w:rsidR="00912BAE">
          <w:rPr>
            <w:noProof/>
          </w:rPr>
        </w:r>
        <w:r w:rsidR="00912BAE">
          <w:rPr>
            <w:noProof/>
          </w:rPr>
          <w:fldChar w:fldCharType="separate"/>
        </w:r>
        <w:r w:rsidR="00261767">
          <w:rPr>
            <w:noProof/>
          </w:rPr>
          <w:t>81</w:t>
        </w:r>
        <w:r w:rsidR="00912BAE">
          <w:rPr>
            <w:noProof/>
          </w:rPr>
          <w:fldChar w:fldCharType="end"/>
        </w:r>
      </w:hyperlink>
    </w:p>
    <w:p w14:paraId="5966CF31" w14:textId="506EA638" w:rsidR="00733207" w:rsidRDefault="00E06378">
      <w:pPr>
        <w:pStyle w:val="TM6"/>
        <w:tabs>
          <w:tab w:val="right" w:leader="dot" w:pos="9630"/>
        </w:tabs>
        <w:rPr>
          <w:noProof/>
        </w:rPr>
      </w:pPr>
      <w:hyperlink w:anchor="_Toc175128504" w:history="1">
        <w:r w:rsidR="00912BAE">
          <w:rPr>
            <w:rStyle w:val="Lienhypertexte"/>
            <w:rFonts w:ascii="Rockwell" w:hAnsi="Rockwell"/>
            <w:i/>
            <w:noProof/>
          </w:rPr>
          <w:t>2.1.2. Classification de la presse en ligne</w:t>
        </w:r>
        <w:r w:rsidR="00912BAE">
          <w:rPr>
            <w:noProof/>
          </w:rPr>
          <w:tab/>
        </w:r>
        <w:r w:rsidR="00912BAE">
          <w:rPr>
            <w:noProof/>
          </w:rPr>
          <w:fldChar w:fldCharType="begin"/>
        </w:r>
        <w:r w:rsidR="00912BAE">
          <w:rPr>
            <w:noProof/>
          </w:rPr>
          <w:instrText xml:space="preserve"> PAGEREF _Toc175128504 \h </w:instrText>
        </w:r>
        <w:r w:rsidR="00912BAE">
          <w:rPr>
            <w:noProof/>
          </w:rPr>
        </w:r>
        <w:r w:rsidR="00912BAE">
          <w:rPr>
            <w:noProof/>
          </w:rPr>
          <w:fldChar w:fldCharType="separate"/>
        </w:r>
        <w:r w:rsidR="00261767">
          <w:rPr>
            <w:noProof/>
          </w:rPr>
          <w:t>83</w:t>
        </w:r>
        <w:r w:rsidR="00912BAE">
          <w:rPr>
            <w:noProof/>
          </w:rPr>
          <w:fldChar w:fldCharType="end"/>
        </w:r>
      </w:hyperlink>
    </w:p>
    <w:p w14:paraId="582779B2" w14:textId="15D47F57" w:rsidR="00733207" w:rsidRDefault="00E06378">
      <w:pPr>
        <w:pStyle w:val="TM7"/>
        <w:tabs>
          <w:tab w:val="left" w:pos="1760"/>
          <w:tab w:val="right" w:leader="dot" w:pos="9630"/>
        </w:tabs>
        <w:rPr>
          <w:noProof/>
        </w:rPr>
      </w:pPr>
      <w:hyperlink w:anchor="_Toc175128505" w:history="1">
        <w:r w:rsidR="00912BAE">
          <w:rPr>
            <w:rStyle w:val="Lienhypertexte"/>
            <w:rFonts w:ascii="Rockwell" w:hAnsi="Rockwell"/>
            <w:b/>
            <w:noProof/>
          </w:rPr>
          <w:t>a.</w:t>
        </w:r>
        <w:r w:rsidR="00912BAE">
          <w:rPr>
            <w:noProof/>
          </w:rPr>
          <w:tab/>
        </w:r>
        <w:r w:rsidR="00912BAE">
          <w:rPr>
            <w:rStyle w:val="Lienhypertexte"/>
            <w:rFonts w:ascii="Rockwell" w:hAnsi="Rockwell"/>
            <w:b/>
            <w:noProof/>
          </w:rPr>
          <w:t>Classement des médias en ligne suivant le nombre de partis politiques cités</w:t>
        </w:r>
        <w:r w:rsidR="00912BAE">
          <w:rPr>
            <w:noProof/>
          </w:rPr>
          <w:tab/>
        </w:r>
        <w:r w:rsidR="00912BAE">
          <w:rPr>
            <w:noProof/>
          </w:rPr>
          <w:fldChar w:fldCharType="begin"/>
        </w:r>
        <w:r w:rsidR="00912BAE">
          <w:rPr>
            <w:noProof/>
          </w:rPr>
          <w:instrText xml:space="preserve"> PAGEREF _Toc175128505 \h </w:instrText>
        </w:r>
        <w:r w:rsidR="00912BAE">
          <w:rPr>
            <w:noProof/>
          </w:rPr>
        </w:r>
        <w:r w:rsidR="00912BAE">
          <w:rPr>
            <w:noProof/>
          </w:rPr>
          <w:fldChar w:fldCharType="separate"/>
        </w:r>
        <w:r w:rsidR="00261767">
          <w:rPr>
            <w:noProof/>
          </w:rPr>
          <w:t>83</w:t>
        </w:r>
        <w:r w:rsidR="00912BAE">
          <w:rPr>
            <w:noProof/>
          </w:rPr>
          <w:fldChar w:fldCharType="end"/>
        </w:r>
      </w:hyperlink>
    </w:p>
    <w:p w14:paraId="7D7474E8" w14:textId="44599221" w:rsidR="00733207" w:rsidRDefault="00E06378">
      <w:pPr>
        <w:pStyle w:val="TM7"/>
        <w:tabs>
          <w:tab w:val="left" w:pos="1760"/>
          <w:tab w:val="right" w:leader="dot" w:pos="9630"/>
        </w:tabs>
        <w:rPr>
          <w:noProof/>
        </w:rPr>
      </w:pPr>
      <w:hyperlink w:anchor="_Toc175128506" w:history="1">
        <w:r w:rsidR="00912BAE">
          <w:rPr>
            <w:rStyle w:val="Lienhypertexte"/>
            <w:rFonts w:ascii="Rockwell" w:hAnsi="Rockwell"/>
            <w:b/>
            <w:noProof/>
          </w:rPr>
          <w:t>b.</w:t>
        </w:r>
        <w:r w:rsidR="00912BAE">
          <w:rPr>
            <w:noProof/>
          </w:rPr>
          <w:tab/>
        </w:r>
        <w:r w:rsidR="00912BAE">
          <w:rPr>
            <w:rStyle w:val="Lienhypertexte"/>
            <w:rFonts w:ascii="Rockwell" w:hAnsi="Rockwell"/>
            <w:b/>
            <w:noProof/>
          </w:rPr>
          <w:t>Classement des médias en ligne suivant le nombre d’acteurs sociopolitiques cités</w:t>
        </w:r>
        <w:r w:rsidR="00912BAE">
          <w:rPr>
            <w:noProof/>
          </w:rPr>
          <w:tab/>
        </w:r>
        <w:r w:rsidR="00912BAE">
          <w:rPr>
            <w:noProof/>
          </w:rPr>
          <w:fldChar w:fldCharType="begin"/>
        </w:r>
        <w:r w:rsidR="00912BAE">
          <w:rPr>
            <w:noProof/>
          </w:rPr>
          <w:instrText xml:space="preserve"> PAGEREF _Toc175128506 \h </w:instrText>
        </w:r>
        <w:r w:rsidR="00912BAE">
          <w:rPr>
            <w:noProof/>
          </w:rPr>
        </w:r>
        <w:r w:rsidR="00912BAE">
          <w:rPr>
            <w:noProof/>
          </w:rPr>
          <w:fldChar w:fldCharType="separate"/>
        </w:r>
        <w:r w:rsidR="00261767">
          <w:rPr>
            <w:noProof/>
          </w:rPr>
          <w:t>84</w:t>
        </w:r>
        <w:r w:rsidR="00912BAE">
          <w:rPr>
            <w:noProof/>
          </w:rPr>
          <w:fldChar w:fldCharType="end"/>
        </w:r>
      </w:hyperlink>
    </w:p>
    <w:p w14:paraId="77B5E0EA" w14:textId="1706BA1E" w:rsidR="00733207" w:rsidRDefault="00E06378">
      <w:pPr>
        <w:pStyle w:val="TM7"/>
        <w:tabs>
          <w:tab w:val="right" w:leader="dot" w:pos="9630"/>
        </w:tabs>
        <w:rPr>
          <w:noProof/>
        </w:rPr>
      </w:pPr>
      <w:hyperlink w:anchor="_Toc175128507" w:history="1">
        <w:r w:rsidR="00912BAE">
          <w:rPr>
            <w:rStyle w:val="Lienhypertexte"/>
            <w:rFonts w:ascii="Rockwell" w:hAnsi="Rockwell"/>
            <w:b/>
            <w:noProof/>
          </w:rPr>
          <w:t>c. Classement des médias en ligne suivant le nombre d’informations thématiques citée</w:t>
        </w:r>
        <w:r w:rsidR="00912BAE">
          <w:rPr>
            <w:noProof/>
          </w:rPr>
          <w:tab/>
        </w:r>
        <w:r w:rsidR="00912BAE">
          <w:rPr>
            <w:noProof/>
          </w:rPr>
          <w:fldChar w:fldCharType="begin"/>
        </w:r>
        <w:r w:rsidR="00912BAE">
          <w:rPr>
            <w:noProof/>
          </w:rPr>
          <w:instrText xml:space="preserve"> PAGEREF _Toc175128507 \h </w:instrText>
        </w:r>
        <w:r w:rsidR="00912BAE">
          <w:rPr>
            <w:noProof/>
          </w:rPr>
        </w:r>
        <w:r w:rsidR="00912BAE">
          <w:rPr>
            <w:noProof/>
          </w:rPr>
          <w:fldChar w:fldCharType="separate"/>
        </w:r>
        <w:r w:rsidR="00261767">
          <w:rPr>
            <w:noProof/>
          </w:rPr>
          <w:t>85</w:t>
        </w:r>
        <w:r w:rsidR="00912BAE">
          <w:rPr>
            <w:noProof/>
          </w:rPr>
          <w:fldChar w:fldCharType="end"/>
        </w:r>
      </w:hyperlink>
    </w:p>
    <w:p w14:paraId="17825BEF" w14:textId="6DEA942E" w:rsidR="00733207" w:rsidRDefault="00E06378">
      <w:pPr>
        <w:pStyle w:val="TM6"/>
        <w:tabs>
          <w:tab w:val="right" w:leader="dot" w:pos="9630"/>
        </w:tabs>
        <w:rPr>
          <w:noProof/>
        </w:rPr>
      </w:pPr>
      <w:hyperlink w:anchor="_Toc175128508" w:history="1">
        <w:r w:rsidR="00912BAE">
          <w:rPr>
            <w:rStyle w:val="Lienhypertexte"/>
            <w:rFonts w:ascii="Rockwell" w:hAnsi="Rockwell"/>
            <w:b/>
            <w:i/>
            <w:noProof/>
          </w:rPr>
          <w:t>2.1.3. Analyse des données</w:t>
        </w:r>
        <w:r w:rsidR="00912BAE">
          <w:rPr>
            <w:noProof/>
          </w:rPr>
          <w:tab/>
        </w:r>
        <w:r w:rsidR="00912BAE">
          <w:rPr>
            <w:noProof/>
          </w:rPr>
          <w:fldChar w:fldCharType="begin"/>
        </w:r>
        <w:r w:rsidR="00912BAE">
          <w:rPr>
            <w:noProof/>
          </w:rPr>
          <w:instrText xml:space="preserve"> PAGEREF _Toc175128508 \h </w:instrText>
        </w:r>
        <w:r w:rsidR="00912BAE">
          <w:rPr>
            <w:noProof/>
          </w:rPr>
        </w:r>
        <w:r w:rsidR="00912BAE">
          <w:rPr>
            <w:noProof/>
          </w:rPr>
          <w:fldChar w:fldCharType="separate"/>
        </w:r>
        <w:r w:rsidR="00261767">
          <w:rPr>
            <w:noProof/>
          </w:rPr>
          <w:t>86</w:t>
        </w:r>
        <w:r w:rsidR="00912BAE">
          <w:rPr>
            <w:noProof/>
          </w:rPr>
          <w:fldChar w:fldCharType="end"/>
        </w:r>
      </w:hyperlink>
    </w:p>
    <w:p w14:paraId="7F0D9B17" w14:textId="37D020AC" w:rsidR="00733207" w:rsidRDefault="00E06378">
      <w:pPr>
        <w:pStyle w:val="TM3"/>
        <w:tabs>
          <w:tab w:val="right" w:leader="dot" w:pos="9630"/>
        </w:tabs>
        <w:rPr>
          <w:rFonts w:cstheme="minorBidi"/>
          <w:noProof/>
        </w:rPr>
      </w:pPr>
      <w:hyperlink w:anchor="_Toc175128509" w:history="1">
        <w:r w:rsidR="00912BAE">
          <w:rPr>
            <w:rStyle w:val="Lienhypertexte"/>
            <w:rFonts w:ascii="Rockwell" w:hAnsi="Rockwell" w:cstheme="majorHAnsi"/>
            <w:i/>
            <w:noProof/>
          </w:rPr>
          <w:t>SECTION 2 : MONITORING DES MEDIAS AUDIOVISUELS</w:t>
        </w:r>
        <w:r w:rsidR="00912BAE">
          <w:rPr>
            <w:noProof/>
          </w:rPr>
          <w:tab/>
        </w:r>
        <w:r w:rsidR="00912BAE">
          <w:rPr>
            <w:noProof/>
          </w:rPr>
          <w:fldChar w:fldCharType="begin"/>
        </w:r>
        <w:r w:rsidR="00912BAE">
          <w:rPr>
            <w:noProof/>
          </w:rPr>
          <w:instrText xml:space="preserve"> PAGEREF _Toc175128509 \h </w:instrText>
        </w:r>
        <w:r w:rsidR="00912BAE">
          <w:rPr>
            <w:noProof/>
          </w:rPr>
        </w:r>
        <w:r w:rsidR="00912BAE">
          <w:rPr>
            <w:noProof/>
          </w:rPr>
          <w:fldChar w:fldCharType="separate"/>
        </w:r>
        <w:r w:rsidR="00261767">
          <w:rPr>
            <w:noProof/>
          </w:rPr>
          <w:t>88</w:t>
        </w:r>
        <w:r w:rsidR="00912BAE">
          <w:rPr>
            <w:noProof/>
          </w:rPr>
          <w:fldChar w:fldCharType="end"/>
        </w:r>
      </w:hyperlink>
    </w:p>
    <w:p w14:paraId="4803B532" w14:textId="315EC264" w:rsidR="00733207" w:rsidRDefault="00E06378">
      <w:pPr>
        <w:pStyle w:val="TM4"/>
        <w:tabs>
          <w:tab w:val="right" w:leader="dot" w:pos="9630"/>
        </w:tabs>
        <w:rPr>
          <w:rFonts w:eastAsiaTheme="minorEastAsia"/>
          <w:noProof/>
          <w:lang w:eastAsia="fr-FR"/>
        </w:rPr>
      </w:pPr>
      <w:hyperlink w:anchor="_Toc175128510" w:history="1">
        <w:r w:rsidR="00912BAE">
          <w:rPr>
            <w:rStyle w:val="Lienhypertexte"/>
            <w:rFonts w:ascii="Rockwell" w:hAnsi="Rockwell"/>
            <w:b/>
            <w:noProof/>
          </w:rPr>
          <w:t>Paragraphe 1 : observation des médias audiovisuels de Ouagadougou</w:t>
        </w:r>
        <w:r w:rsidR="00912BAE">
          <w:rPr>
            <w:noProof/>
          </w:rPr>
          <w:tab/>
        </w:r>
        <w:r w:rsidR="00912BAE">
          <w:rPr>
            <w:noProof/>
          </w:rPr>
          <w:fldChar w:fldCharType="begin"/>
        </w:r>
        <w:r w:rsidR="00912BAE">
          <w:rPr>
            <w:noProof/>
          </w:rPr>
          <w:instrText xml:space="preserve"> PAGEREF _Toc175128510 \h </w:instrText>
        </w:r>
        <w:r w:rsidR="00912BAE">
          <w:rPr>
            <w:noProof/>
          </w:rPr>
        </w:r>
        <w:r w:rsidR="00912BAE">
          <w:rPr>
            <w:noProof/>
          </w:rPr>
          <w:fldChar w:fldCharType="separate"/>
        </w:r>
        <w:r w:rsidR="00261767">
          <w:rPr>
            <w:noProof/>
          </w:rPr>
          <w:t>88</w:t>
        </w:r>
        <w:r w:rsidR="00912BAE">
          <w:rPr>
            <w:noProof/>
          </w:rPr>
          <w:fldChar w:fldCharType="end"/>
        </w:r>
      </w:hyperlink>
    </w:p>
    <w:p w14:paraId="514B121C" w14:textId="7C1F7B4E" w:rsidR="00733207" w:rsidRDefault="00E06378">
      <w:pPr>
        <w:pStyle w:val="TM5"/>
        <w:tabs>
          <w:tab w:val="left" w:pos="1540"/>
          <w:tab w:val="right" w:leader="dot" w:pos="9630"/>
        </w:tabs>
        <w:rPr>
          <w:rFonts w:eastAsiaTheme="minorEastAsia"/>
          <w:noProof/>
          <w:lang w:eastAsia="fr-FR"/>
        </w:rPr>
      </w:pPr>
      <w:hyperlink w:anchor="_Toc175128511" w:history="1">
        <w:r w:rsidR="00912BAE">
          <w:rPr>
            <w:rStyle w:val="Lienhypertexte"/>
            <w:rFonts w:ascii="Rockwell" w:hAnsi="Rockwell"/>
            <w:noProof/>
          </w:rPr>
          <w:t>1.1.</w:t>
        </w:r>
        <w:r w:rsidR="00912BAE">
          <w:rPr>
            <w:rFonts w:eastAsiaTheme="minorEastAsia"/>
            <w:noProof/>
            <w:lang w:eastAsia="fr-FR"/>
          </w:rPr>
          <w:tab/>
        </w:r>
        <w:r w:rsidR="00912BAE">
          <w:rPr>
            <w:rStyle w:val="Lienhypertexte"/>
            <w:rFonts w:ascii="Rockwell" w:hAnsi="Rockwell"/>
            <w:noProof/>
          </w:rPr>
          <w:t>Statistiques de l’observation des médias audiovisuels</w:t>
        </w:r>
        <w:r w:rsidR="00912BAE">
          <w:rPr>
            <w:noProof/>
          </w:rPr>
          <w:tab/>
        </w:r>
        <w:r w:rsidR="00912BAE">
          <w:rPr>
            <w:noProof/>
          </w:rPr>
          <w:fldChar w:fldCharType="begin"/>
        </w:r>
        <w:r w:rsidR="00912BAE">
          <w:rPr>
            <w:noProof/>
          </w:rPr>
          <w:instrText xml:space="preserve"> PAGEREF _Toc175128511 \h </w:instrText>
        </w:r>
        <w:r w:rsidR="00912BAE">
          <w:rPr>
            <w:noProof/>
          </w:rPr>
        </w:r>
        <w:r w:rsidR="00912BAE">
          <w:rPr>
            <w:noProof/>
          </w:rPr>
          <w:fldChar w:fldCharType="separate"/>
        </w:r>
        <w:r w:rsidR="00261767">
          <w:rPr>
            <w:noProof/>
          </w:rPr>
          <w:t>89</w:t>
        </w:r>
        <w:r w:rsidR="00912BAE">
          <w:rPr>
            <w:noProof/>
          </w:rPr>
          <w:fldChar w:fldCharType="end"/>
        </w:r>
      </w:hyperlink>
    </w:p>
    <w:p w14:paraId="480298EF" w14:textId="56B96967" w:rsidR="00733207" w:rsidRDefault="00E06378">
      <w:pPr>
        <w:pStyle w:val="TM7"/>
        <w:tabs>
          <w:tab w:val="left" w:pos="1760"/>
          <w:tab w:val="right" w:leader="dot" w:pos="9630"/>
        </w:tabs>
        <w:rPr>
          <w:noProof/>
        </w:rPr>
      </w:pPr>
      <w:hyperlink w:anchor="_Toc175128512" w:history="1">
        <w:r w:rsidR="00912BAE">
          <w:rPr>
            <w:rStyle w:val="Lienhypertexte"/>
            <w:rFonts w:ascii="Rockwell" w:hAnsi="Rockwell"/>
            <w:b/>
            <w:noProof/>
          </w:rPr>
          <w:t>a.</w:t>
        </w:r>
        <w:r w:rsidR="00912BAE">
          <w:rPr>
            <w:noProof/>
          </w:rPr>
          <w:tab/>
        </w:r>
        <w:r w:rsidR="00912BAE">
          <w:rPr>
            <w:rStyle w:val="Lienhypertexte"/>
            <w:rFonts w:ascii="Rockwell" w:hAnsi="Rockwell"/>
            <w:b/>
            <w:noProof/>
          </w:rPr>
          <w:t>Statistiques des acteurs sociopolitiques</w:t>
        </w:r>
        <w:r w:rsidR="00912BAE">
          <w:rPr>
            <w:noProof/>
          </w:rPr>
          <w:tab/>
        </w:r>
        <w:r w:rsidR="00912BAE">
          <w:rPr>
            <w:noProof/>
          </w:rPr>
          <w:fldChar w:fldCharType="begin"/>
        </w:r>
        <w:r w:rsidR="00912BAE">
          <w:rPr>
            <w:noProof/>
          </w:rPr>
          <w:instrText xml:space="preserve"> PAGEREF _Toc175128512 \h </w:instrText>
        </w:r>
        <w:r w:rsidR="00912BAE">
          <w:rPr>
            <w:noProof/>
          </w:rPr>
        </w:r>
        <w:r w:rsidR="00912BAE">
          <w:rPr>
            <w:noProof/>
          </w:rPr>
          <w:fldChar w:fldCharType="separate"/>
        </w:r>
        <w:r w:rsidR="00261767">
          <w:rPr>
            <w:noProof/>
          </w:rPr>
          <w:t>89</w:t>
        </w:r>
        <w:r w:rsidR="00912BAE">
          <w:rPr>
            <w:noProof/>
          </w:rPr>
          <w:fldChar w:fldCharType="end"/>
        </w:r>
      </w:hyperlink>
    </w:p>
    <w:p w14:paraId="26B1DDB8" w14:textId="2560003B" w:rsidR="00733207" w:rsidRDefault="00E06378">
      <w:pPr>
        <w:pStyle w:val="TM7"/>
        <w:tabs>
          <w:tab w:val="left" w:pos="1760"/>
          <w:tab w:val="right" w:leader="dot" w:pos="9630"/>
        </w:tabs>
        <w:rPr>
          <w:noProof/>
        </w:rPr>
      </w:pPr>
      <w:hyperlink w:anchor="_Toc175128513" w:history="1">
        <w:r w:rsidR="00912BAE">
          <w:rPr>
            <w:rStyle w:val="Lienhypertexte"/>
            <w:rFonts w:ascii="Rockwell" w:hAnsi="Rockwell"/>
            <w:b/>
            <w:noProof/>
          </w:rPr>
          <w:t>b.</w:t>
        </w:r>
        <w:r w:rsidR="00912BAE">
          <w:rPr>
            <w:noProof/>
          </w:rPr>
          <w:tab/>
        </w:r>
        <w:r w:rsidR="00912BAE">
          <w:rPr>
            <w:rStyle w:val="Lienhypertexte"/>
            <w:rFonts w:ascii="Rockwell" w:hAnsi="Rockwell"/>
            <w:b/>
            <w:noProof/>
          </w:rPr>
          <w:t>Statistiques des informations thématiques</w:t>
        </w:r>
        <w:r w:rsidR="00912BAE">
          <w:rPr>
            <w:noProof/>
          </w:rPr>
          <w:tab/>
        </w:r>
        <w:r w:rsidR="00912BAE">
          <w:rPr>
            <w:noProof/>
          </w:rPr>
          <w:fldChar w:fldCharType="begin"/>
        </w:r>
        <w:r w:rsidR="00912BAE">
          <w:rPr>
            <w:noProof/>
          </w:rPr>
          <w:instrText xml:space="preserve"> PAGEREF _Toc175128513 \h </w:instrText>
        </w:r>
        <w:r w:rsidR="00912BAE">
          <w:rPr>
            <w:noProof/>
          </w:rPr>
        </w:r>
        <w:r w:rsidR="00912BAE">
          <w:rPr>
            <w:noProof/>
          </w:rPr>
          <w:fldChar w:fldCharType="separate"/>
        </w:r>
        <w:r w:rsidR="00261767">
          <w:rPr>
            <w:noProof/>
          </w:rPr>
          <w:t>91</w:t>
        </w:r>
        <w:r w:rsidR="00912BAE">
          <w:rPr>
            <w:noProof/>
          </w:rPr>
          <w:fldChar w:fldCharType="end"/>
        </w:r>
      </w:hyperlink>
    </w:p>
    <w:p w14:paraId="1093ADF8" w14:textId="1F6FB57C" w:rsidR="00733207" w:rsidRDefault="00E06378">
      <w:pPr>
        <w:pStyle w:val="TM5"/>
        <w:tabs>
          <w:tab w:val="left" w:pos="1540"/>
          <w:tab w:val="right" w:leader="dot" w:pos="9630"/>
        </w:tabs>
        <w:rPr>
          <w:rFonts w:eastAsiaTheme="minorEastAsia"/>
          <w:noProof/>
          <w:lang w:eastAsia="fr-FR"/>
        </w:rPr>
      </w:pPr>
      <w:hyperlink w:anchor="_Toc175128514" w:history="1">
        <w:r w:rsidR="00912BAE">
          <w:rPr>
            <w:rStyle w:val="Lienhypertexte"/>
            <w:rFonts w:ascii="Rockwell" w:hAnsi="Rockwell"/>
            <w:noProof/>
          </w:rPr>
          <w:t>1.2.</w:t>
        </w:r>
        <w:r w:rsidR="00912BAE">
          <w:rPr>
            <w:rFonts w:eastAsiaTheme="minorEastAsia"/>
            <w:noProof/>
            <w:lang w:eastAsia="fr-FR"/>
          </w:rPr>
          <w:tab/>
        </w:r>
        <w:r w:rsidR="00912BAE">
          <w:rPr>
            <w:rStyle w:val="Lienhypertexte"/>
            <w:rFonts w:ascii="Rockwell" w:hAnsi="Rockwell"/>
            <w:noProof/>
          </w:rPr>
          <w:t>Appréciation du pluralisme et de l’équilibre de l’information</w:t>
        </w:r>
        <w:r w:rsidR="00912BAE">
          <w:rPr>
            <w:noProof/>
          </w:rPr>
          <w:tab/>
        </w:r>
        <w:r w:rsidR="00912BAE">
          <w:rPr>
            <w:noProof/>
          </w:rPr>
          <w:fldChar w:fldCharType="begin"/>
        </w:r>
        <w:r w:rsidR="00912BAE">
          <w:rPr>
            <w:noProof/>
          </w:rPr>
          <w:instrText xml:space="preserve"> PAGEREF _Toc175128514 \h </w:instrText>
        </w:r>
        <w:r w:rsidR="00912BAE">
          <w:rPr>
            <w:noProof/>
          </w:rPr>
        </w:r>
        <w:r w:rsidR="00912BAE">
          <w:rPr>
            <w:noProof/>
          </w:rPr>
          <w:fldChar w:fldCharType="separate"/>
        </w:r>
        <w:r w:rsidR="00261767">
          <w:rPr>
            <w:noProof/>
          </w:rPr>
          <w:t>93</w:t>
        </w:r>
        <w:r w:rsidR="00912BAE">
          <w:rPr>
            <w:noProof/>
          </w:rPr>
          <w:fldChar w:fldCharType="end"/>
        </w:r>
      </w:hyperlink>
    </w:p>
    <w:p w14:paraId="0C85B992" w14:textId="28D40433" w:rsidR="00733207" w:rsidRDefault="00E06378">
      <w:pPr>
        <w:pStyle w:val="TM6"/>
        <w:tabs>
          <w:tab w:val="left" w:pos="1898"/>
          <w:tab w:val="right" w:leader="dot" w:pos="9630"/>
        </w:tabs>
        <w:rPr>
          <w:noProof/>
        </w:rPr>
      </w:pPr>
      <w:hyperlink w:anchor="_Toc175128515" w:history="1">
        <w:r w:rsidR="00912BAE">
          <w:rPr>
            <w:rStyle w:val="Lienhypertexte"/>
            <w:rFonts w:ascii="Rockwell" w:hAnsi="Rockwell"/>
            <w:b/>
            <w:i/>
            <w:noProof/>
          </w:rPr>
          <w:t>1.2.1.</w:t>
        </w:r>
        <w:r w:rsidR="00912BAE">
          <w:rPr>
            <w:noProof/>
          </w:rPr>
          <w:tab/>
        </w:r>
        <w:r w:rsidR="00912BAE">
          <w:rPr>
            <w:rStyle w:val="Lienhypertexte"/>
            <w:rFonts w:ascii="Rockwell" w:hAnsi="Rockwell"/>
            <w:b/>
            <w:i/>
            <w:noProof/>
          </w:rPr>
          <w:t>Classement des acteurs sociopolitiques</w:t>
        </w:r>
        <w:r w:rsidR="00912BAE">
          <w:rPr>
            <w:rStyle w:val="Lienhypertexte"/>
            <w:rFonts w:ascii="Rockwell" w:eastAsiaTheme="minorHAnsi" w:hAnsi="Rockwell"/>
            <w:bCs/>
            <w:i/>
            <w:noProof/>
          </w:rPr>
          <w:t xml:space="preserve"> </w:t>
        </w:r>
        <w:r w:rsidR="00912BAE">
          <w:rPr>
            <w:rStyle w:val="Lienhypertexte"/>
            <w:rFonts w:ascii="Rockwell" w:hAnsi="Rockwell"/>
            <w:b/>
            <w:bCs/>
            <w:i/>
            <w:noProof/>
          </w:rPr>
          <w:t>selon les TA et TP dans les médias audiovisuels</w:t>
        </w:r>
        <w:r w:rsidR="00912BAE">
          <w:rPr>
            <w:noProof/>
          </w:rPr>
          <w:tab/>
        </w:r>
        <w:r w:rsidR="00912BAE">
          <w:rPr>
            <w:noProof/>
          </w:rPr>
          <w:fldChar w:fldCharType="begin"/>
        </w:r>
        <w:r w:rsidR="00912BAE">
          <w:rPr>
            <w:noProof/>
          </w:rPr>
          <w:instrText xml:space="preserve"> PAGEREF _Toc175128515 \h </w:instrText>
        </w:r>
        <w:r w:rsidR="00912BAE">
          <w:rPr>
            <w:noProof/>
          </w:rPr>
        </w:r>
        <w:r w:rsidR="00912BAE">
          <w:rPr>
            <w:noProof/>
          </w:rPr>
          <w:fldChar w:fldCharType="separate"/>
        </w:r>
        <w:r w:rsidR="00261767">
          <w:rPr>
            <w:noProof/>
          </w:rPr>
          <w:t>93</w:t>
        </w:r>
        <w:r w:rsidR="00912BAE">
          <w:rPr>
            <w:noProof/>
          </w:rPr>
          <w:fldChar w:fldCharType="end"/>
        </w:r>
      </w:hyperlink>
    </w:p>
    <w:p w14:paraId="012CCB8B" w14:textId="72CBA52A" w:rsidR="00733207" w:rsidRDefault="00E06378">
      <w:pPr>
        <w:pStyle w:val="TM6"/>
        <w:tabs>
          <w:tab w:val="left" w:pos="1898"/>
          <w:tab w:val="right" w:leader="dot" w:pos="9630"/>
        </w:tabs>
        <w:rPr>
          <w:noProof/>
        </w:rPr>
      </w:pPr>
      <w:hyperlink w:anchor="_Toc175128516" w:history="1">
        <w:r w:rsidR="00912BAE">
          <w:rPr>
            <w:rStyle w:val="Lienhypertexte"/>
            <w:rFonts w:ascii="Rockwell" w:hAnsi="Rockwell"/>
            <w:b/>
            <w:i/>
            <w:noProof/>
          </w:rPr>
          <w:t>1.2.2.</w:t>
        </w:r>
        <w:r w:rsidR="00912BAE">
          <w:rPr>
            <w:noProof/>
          </w:rPr>
          <w:tab/>
        </w:r>
        <w:r w:rsidR="00912BAE">
          <w:rPr>
            <w:rStyle w:val="Lienhypertexte"/>
            <w:rFonts w:ascii="Rockwell" w:hAnsi="Rockwell"/>
            <w:b/>
            <w:i/>
            <w:noProof/>
          </w:rPr>
          <w:t>Classement des informations thématiques</w:t>
        </w:r>
        <w:r w:rsidR="00912BAE">
          <w:rPr>
            <w:noProof/>
          </w:rPr>
          <w:tab/>
        </w:r>
        <w:r w:rsidR="00912BAE">
          <w:rPr>
            <w:noProof/>
          </w:rPr>
          <w:fldChar w:fldCharType="begin"/>
        </w:r>
        <w:r w:rsidR="00912BAE">
          <w:rPr>
            <w:noProof/>
          </w:rPr>
          <w:instrText xml:space="preserve"> PAGEREF _Toc175128516 \h </w:instrText>
        </w:r>
        <w:r w:rsidR="00912BAE">
          <w:rPr>
            <w:noProof/>
          </w:rPr>
        </w:r>
        <w:r w:rsidR="00912BAE">
          <w:rPr>
            <w:noProof/>
          </w:rPr>
          <w:fldChar w:fldCharType="separate"/>
        </w:r>
        <w:r w:rsidR="00261767">
          <w:rPr>
            <w:noProof/>
          </w:rPr>
          <w:t>97</w:t>
        </w:r>
        <w:r w:rsidR="00912BAE">
          <w:rPr>
            <w:noProof/>
          </w:rPr>
          <w:fldChar w:fldCharType="end"/>
        </w:r>
      </w:hyperlink>
    </w:p>
    <w:p w14:paraId="2E893B22" w14:textId="055E5EF7" w:rsidR="00733207" w:rsidRDefault="00E06378">
      <w:pPr>
        <w:pStyle w:val="TM6"/>
        <w:tabs>
          <w:tab w:val="left" w:pos="1898"/>
          <w:tab w:val="right" w:leader="dot" w:pos="9630"/>
        </w:tabs>
        <w:rPr>
          <w:noProof/>
        </w:rPr>
      </w:pPr>
      <w:hyperlink w:anchor="_Toc175128517" w:history="1">
        <w:r w:rsidR="00912BAE">
          <w:rPr>
            <w:rStyle w:val="Lienhypertexte"/>
            <w:rFonts w:ascii="Rockwell" w:hAnsi="Rockwell"/>
            <w:b/>
            <w:i/>
            <w:noProof/>
          </w:rPr>
          <w:t>1.2.3.</w:t>
        </w:r>
        <w:r w:rsidR="00912BAE">
          <w:rPr>
            <w:noProof/>
          </w:rPr>
          <w:tab/>
        </w:r>
        <w:r w:rsidR="00912BAE">
          <w:rPr>
            <w:rStyle w:val="Lienhypertexte"/>
            <w:rFonts w:ascii="Rockwell" w:hAnsi="Rockwell"/>
            <w:b/>
            <w:i/>
            <w:noProof/>
          </w:rPr>
          <w:t>Classement des médias audiovisuels en fonction des acteurs sociopolitiques</w:t>
        </w:r>
        <w:r w:rsidR="00912BAE">
          <w:rPr>
            <w:noProof/>
          </w:rPr>
          <w:tab/>
        </w:r>
        <w:r w:rsidR="00912BAE">
          <w:rPr>
            <w:noProof/>
          </w:rPr>
          <w:fldChar w:fldCharType="begin"/>
        </w:r>
        <w:r w:rsidR="00912BAE">
          <w:rPr>
            <w:noProof/>
          </w:rPr>
          <w:instrText xml:space="preserve"> PAGEREF _Toc175128517 \h </w:instrText>
        </w:r>
        <w:r w:rsidR="00912BAE">
          <w:rPr>
            <w:noProof/>
          </w:rPr>
        </w:r>
        <w:r w:rsidR="00912BAE">
          <w:rPr>
            <w:noProof/>
          </w:rPr>
          <w:fldChar w:fldCharType="separate"/>
        </w:r>
        <w:r w:rsidR="00261767">
          <w:rPr>
            <w:noProof/>
          </w:rPr>
          <w:t>100</w:t>
        </w:r>
        <w:r w:rsidR="00912BAE">
          <w:rPr>
            <w:noProof/>
          </w:rPr>
          <w:fldChar w:fldCharType="end"/>
        </w:r>
      </w:hyperlink>
    </w:p>
    <w:p w14:paraId="61AE6490" w14:textId="0F6588B6" w:rsidR="00733207" w:rsidRDefault="00E06378">
      <w:pPr>
        <w:pStyle w:val="TM5"/>
        <w:tabs>
          <w:tab w:val="right" w:leader="dot" w:pos="9630"/>
        </w:tabs>
        <w:rPr>
          <w:rFonts w:eastAsiaTheme="minorEastAsia"/>
          <w:noProof/>
          <w:lang w:eastAsia="fr-FR"/>
        </w:rPr>
      </w:pPr>
      <w:hyperlink w:anchor="_Toc175128518" w:history="1">
        <w:r w:rsidR="00912BAE">
          <w:rPr>
            <w:rStyle w:val="Lienhypertexte"/>
            <w:rFonts w:ascii="Rockwell" w:hAnsi="Rockwell"/>
            <w:noProof/>
          </w:rPr>
          <w:t>1.3. Analyse des données</w:t>
        </w:r>
        <w:r w:rsidR="00912BAE">
          <w:rPr>
            <w:noProof/>
          </w:rPr>
          <w:tab/>
        </w:r>
        <w:r w:rsidR="00912BAE">
          <w:rPr>
            <w:noProof/>
          </w:rPr>
          <w:fldChar w:fldCharType="begin"/>
        </w:r>
        <w:r w:rsidR="00912BAE">
          <w:rPr>
            <w:noProof/>
          </w:rPr>
          <w:instrText xml:space="preserve"> PAGEREF _Toc175128518 \h </w:instrText>
        </w:r>
        <w:r w:rsidR="00912BAE">
          <w:rPr>
            <w:noProof/>
          </w:rPr>
        </w:r>
        <w:r w:rsidR="00912BAE">
          <w:rPr>
            <w:noProof/>
          </w:rPr>
          <w:fldChar w:fldCharType="separate"/>
        </w:r>
        <w:r w:rsidR="00261767">
          <w:rPr>
            <w:noProof/>
          </w:rPr>
          <w:t>102</w:t>
        </w:r>
        <w:r w:rsidR="00912BAE">
          <w:rPr>
            <w:noProof/>
          </w:rPr>
          <w:fldChar w:fldCharType="end"/>
        </w:r>
      </w:hyperlink>
    </w:p>
    <w:p w14:paraId="7A54CC27" w14:textId="7FBE2541" w:rsidR="00733207" w:rsidRDefault="00E06378">
      <w:pPr>
        <w:pStyle w:val="TM4"/>
        <w:tabs>
          <w:tab w:val="right" w:leader="dot" w:pos="9630"/>
        </w:tabs>
        <w:rPr>
          <w:rFonts w:eastAsiaTheme="minorEastAsia"/>
          <w:noProof/>
          <w:lang w:eastAsia="fr-FR"/>
        </w:rPr>
      </w:pPr>
      <w:hyperlink w:anchor="_Toc175128519" w:history="1">
        <w:r w:rsidR="00912BAE">
          <w:rPr>
            <w:rStyle w:val="Lienhypertexte"/>
            <w:rFonts w:ascii="Rockwell" w:hAnsi="Rockwell"/>
            <w:b/>
            <w:noProof/>
          </w:rPr>
          <w:t>Paragraphe 2 : observation des médias audiovisuels de l’Ouest</w:t>
        </w:r>
        <w:r w:rsidR="00912BAE">
          <w:rPr>
            <w:noProof/>
          </w:rPr>
          <w:tab/>
        </w:r>
        <w:r w:rsidR="00912BAE">
          <w:rPr>
            <w:noProof/>
          </w:rPr>
          <w:fldChar w:fldCharType="begin"/>
        </w:r>
        <w:r w:rsidR="00912BAE">
          <w:rPr>
            <w:noProof/>
          </w:rPr>
          <w:instrText xml:space="preserve"> PAGEREF _Toc175128519 \h </w:instrText>
        </w:r>
        <w:r w:rsidR="00912BAE">
          <w:rPr>
            <w:noProof/>
          </w:rPr>
        </w:r>
        <w:r w:rsidR="00912BAE">
          <w:rPr>
            <w:noProof/>
          </w:rPr>
          <w:fldChar w:fldCharType="separate"/>
        </w:r>
        <w:r w:rsidR="00261767">
          <w:rPr>
            <w:noProof/>
          </w:rPr>
          <w:t>104</w:t>
        </w:r>
        <w:r w:rsidR="00912BAE">
          <w:rPr>
            <w:noProof/>
          </w:rPr>
          <w:fldChar w:fldCharType="end"/>
        </w:r>
      </w:hyperlink>
    </w:p>
    <w:p w14:paraId="2228E29D" w14:textId="177DAF09" w:rsidR="00733207" w:rsidRDefault="00E06378">
      <w:pPr>
        <w:pStyle w:val="TM5"/>
        <w:tabs>
          <w:tab w:val="right" w:leader="dot" w:pos="9630"/>
        </w:tabs>
        <w:rPr>
          <w:rFonts w:eastAsiaTheme="minorEastAsia"/>
          <w:noProof/>
          <w:lang w:eastAsia="fr-FR"/>
        </w:rPr>
      </w:pPr>
      <w:hyperlink w:anchor="_Toc175128520" w:history="1">
        <w:r w:rsidR="00912BAE">
          <w:rPr>
            <w:rStyle w:val="Lienhypertexte"/>
            <w:rFonts w:ascii="Rockwell" w:hAnsi="Rockwell"/>
            <w:noProof/>
          </w:rPr>
          <w:t>2.1. Statistiques de l’observation</w:t>
        </w:r>
        <w:r w:rsidR="00912BAE">
          <w:rPr>
            <w:noProof/>
          </w:rPr>
          <w:tab/>
        </w:r>
        <w:r w:rsidR="00912BAE">
          <w:rPr>
            <w:noProof/>
          </w:rPr>
          <w:fldChar w:fldCharType="begin"/>
        </w:r>
        <w:r w:rsidR="00912BAE">
          <w:rPr>
            <w:noProof/>
          </w:rPr>
          <w:instrText xml:space="preserve"> PAGEREF _Toc175128520 \h </w:instrText>
        </w:r>
        <w:r w:rsidR="00912BAE">
          <w:rPr>
            <w:noProof/>
          </w:rPr>
        </w:r>
        <w:r w:rsidR="00912BAE">
          <w:rPr>
            <w:noProof/>
          </w:rPr>
          <w:fldChar w:fldCharType="separate"/>
        </w:r>
        <w:r w:rsidR="00261767">
          <w:rPr>
            <w:noProof/>
          </w:rPr>
          <w:t>104</w:t>
        </w:r>
        <w:r w:rsidR="00912BAE">
          <w:rPr>
            <w:noProof/>
          </w:rPr>
          <w:fldChar w:fldCharType="end"/>
        </w:r>
      </w:hyperlink>
    </w:p>
    <w:p w14:paraId="158A70FD" w14:textId="62B31FBE" w:rsidR="00733207" w:rsidRDefault="00E06378">
      <w:pPr>
        <w:pStyle w:val="TM6"/>
        <w:tabs>
          <w:tab w:val="right" w:leader="dot" w:pos="9630"/>
        </w:tabs>
        <w:rPr>
          <w:noProof/>
        </w:rPr>
      </w:pPr>
      <w:hyperlink w:anchor="_Toc175128521" w:history="1">
        <w:r w:rsidR="00912BAE">
          <w:rPr>
            <w:rStyle w:val="Lienhypertexte"/>
            <w:rFonts w:ascii="Rockwell" w:hAnsi="Rockwell"/>
            <w:b/>
            <w:i/>
            <w:noProof/>
          </w:rPr>
          <w:t>2.1.1. Dans les médias audiovisuels publics</w:t>
        </w:r>
        <w:r w:rsidR="00912BAE">
          <w:rPr>
            <w:noProof/>
          </w:rPr>
          <w:tab/>
        </w:r>
        <w:r w:rsidR="00912BAE">
          <w:rPr>
            <w:noProof/>
          </w:rPr>
          <w:fldChar w:fldCharType="begin"/>
        </w:r>
        <w:r w:rsidR="00912BAE">
          <w:rPr>
            <w:noProof/>
          </w:rPr>
          <w:instrText xml:space="preserve"> PAGEREF _Toc175128521 \h </w:instrText>
        </w:r>
        <w:r w:rsidR="00912BAE">
          <w:rPr>
            <w:noProof/>
          </w:rPr>
        </w:r>
        <w:r w:rsidR="00912BAE">
          <w:rPr>
            <w:noProof/>
          </w:rPr>
          <w:fldChar w:fldCharType="separate"/>
        </w:r>
        <w:r w:rsidR="00261767">
          <w:rPr>
            <w:noProof/>
          </w:rPr>
          <w:t>104</w:t>
        </w:r>
        <w:r w:rsidR="00912BAE">
          <w:rPr>
            <w:noProof/>
          </w:rPr>
          <w:fldChar w:fldCharType="end"/>
        </w:r>
      </w:hyperlink>
    </w:p>
    <w:p w14:paraId="7B1D461D" w14:textId="0C00B9E6" w:rsidR="00733207" w:rsidRDefault="00E06378">
      <w:pPr>
        <w:pStyle w:val="TM6"/>
        <w:tabs>
          <w:tab w:val="right" w:leader="dot" w:pos="9630"/>
        </w:tabs>
        <w:rPr>
          <w:noProof/>
        </w:rPr>
      </w:pPr>
      <w:hyperlink w:anchor="_Toc175128522" w:history="1">
        <w:r w:rsidR="00912BAE">
          <w:rPr>
            <w:rStyle w:val="Lienhypertexte"/>
            <w:rFonts w:ascii="Rockwell" w:hAnsi="Rockwell"/>
            <w:b/>
            <w:i/>
            <w:noProof/>
          </w:rPr>
          <w:t>2.1.2. Appréciation dans les médias audiovisuels publics</w:t>
        </w:r>
        <w:r w:rsidR="00912BAE">
          <w:rPr>
            <w:noProof/>
          </w:rPr>
          <w:tab/>
        </w:r>
        <w:r w:rsidR="00912BAE">
          <w:rPr>
            <w:noProof/>
          </w:rPr>
          <w:fldChar w:fldCharType="begin"/>
        </w:r>
        <w:r w:rsidR="00912BAE">
          <w:rPr>
            <w:noProof/>
          </w:rPr>
          <w:instrText xml:space="preserve"> PAGEREF _Toc175128522 \h </w:instrText>
        </w:r>
        <w:r w:rsidR="00912BAE">
          <w:rPr>
            <w:noProof/>
          </w:rPr>
        </w:r>
        <w:r w:rsidR="00912BAE">
          <w:rPr>
            <w:noProof/>
          </w:rPr>
          <w:fldChar w:fldCharType="separate"/>
        </w:r>
        <w:r w:rsidR="00261767">
          <w:rPr>
            <w:noProof/>
          </w:rPr>
          <w:t>106</w:t>
        </w:r>
        <w:r w:rsidR="00912BAE">
          <w:rPr>
            <w:noProof/>
          </w:rPr>
          <w:fldChar w:fldCharType="end"/>
        </w:r>
      </w:hyperlink>
    </w:p>
    <w:p w14:paraId="2D17CD2F" w14:textId="2CF05D86" w:rsidR="00733207" w:rsidRDefault="00E06378">
      <w:pPr>
        <w:pStyle w:val="TM5"/>
        <w:tabs>
          <w:tab w:val="right" w:leader="dot" w:pos="9630"/>
        </w:tabs>
        <w:rPr>
          <w:rFonts w:eastAsiaTheme="minorEastAsia"/>
          <w:noProof/>
          <w:lang w:eastAsia="fr-FR"/>
        </w:rPr>
      </w:pPr>
      <w:hyperlink w:anchor="_Toc175128523" w:history="1">
        <w:r w:rsidR="00912BAE">
          <w:rPr>
            <w:rStyle w:val="Lienhypertexte"/>
            <w:rFonts w:ascii="Rockwell" w:hAnsi="Rockwell"/>
            <w:noProof/>
          </w:rPr>
          <w:t>2.2. Statistiques de l’observation des médias audiovisuels privés</w:t>
        </w:r>
        <w:r w:rsidR="00912BAE">
          <w:rPr>
            <w:noProof/>
          </w:rPr>
          <w:tab/>
        </w:r>
        <w:r w:rsidR="00912BAE">
          <w:rPr>
            <w:noProof/>
          </w:rPr>
          <w:fldChar w:fldCharType="begin"/>
        </w:r>
        <w:r w:rsidR="00912BAE">
          <w:rPr>
            <w:noProof/>
          </w:rPr>
          <w:instrText xml:space="preserve"> PAGEREF _Toc175128523 \h </w:instrText>
        </w:r>
        <w:r w:rsidR="00912BAE">
          <w:rPr>
            <w:noProof/>
          </w:rPr>
        </w:r>
        <w:r w:rsidR="00912BAE">
          <w:rPr>
            <w:noProof/>
          </w:rPr>
          <w:fldChar w:fldCharType="separate"/>
        </w:r>
        <w:r w:rsidR="00261767">
          <w:rPr>
            <w:noProof/>
          </w:rPr>
          <w:t>106</w:t>
        </w:r>
        <w:r w:rsidR="00912BAE">
          <w:rPr>
            <w:noProof/>
          </w:rPr>
          <w:fldChar w:fldCharType="end"/>
        </w:r>
      </w:hyperlink>
    </w:p>
    <w:p w14:paraId="0527474A" w14:textId="3D9D3E05" w:rsidR="00733207" w:rsidRDefault="00E06378">
      <w:pPr>
        <w:pStyle w:val="TM5"/>
        <w:tabs>
          <w:tab w:val="left" w:pos="1540"/>
          <w:tab w:val="right" w:leader="dot" w:pos="9630"/>
        </w:tabs>
        <w:rPr>
          <w:rFonts w:eastAsiaTheme="minorEastAsia"/>
          <w:noProof/>
          <w:lang w:eastAsia="fr-FR"/>
        </w:rPr>
      </w:pPr>
      <w:hyperlink w:anchor="_Toc175128524" w:history="1">
        <w:r w:rsidR="00912BAE">
          <w:rPr>
            <w:rStyle w:val="Lienhypertexte"/>
            <w:rFonts w:ascii="Rockwell" w:hAnsi="Rockwell"/>
            <w:noProof/>
          </w:rPr>
          <w:t>2.3.</w:t>
        </w:r>
        <w:r w:rsidR="00912BAE">
          <w:rPr>
            <w:rFonts w:eastAsiaTheme="minorEastAsia"/>
            <w:noProof/>
            <w:lang w:eastAsia="fr-FR"/>
          </w:rPr>
          <w:tab/>
        </w:r>
        <w:r w:rsidR="00912BAE">
          <w:rPr>
            <w:rStyle w:val="Lienhypertexte"/>
            <w:rFonts w:ascii="Rockwell" w:hAnsi="Rockwell"/>
            <w:noProof/>
          </w:rPr>
          <w:t xml:space="preserve">Appréciation dans les </w:t>
        </w:r>
        <w:r w:rsidR="00912BAE">
          <w:rPr>
            <w:rStyle w:val="Lienhypertexte"/>
            <w:rFonts w:ascii="Rockwell" w:hAnsi="Rockwell" w:cs="Times New Roman"/>
            <w:noProof/>
          </w:rPr>
          <w:t>médias audiovisuels privés de l’Ouest</w:t>
        </w:r>
        <w:r w:rsidR="00912BAE">
          <w:rPr>
            <w:noProof/>
          </w:rPr>
          <w:tab/>
        </w:r>
        <w:r w:rsidR="00912BAE">
          <w:rPr>
            <w:noProof/>
          </w:rPr>
          <w:fldChar w:fldCharType="begin"/>
        </w:r>
        <w:r w:rsidR="00912BAE">
          <w:rPr>
            <w:noProof/>
          </w:rPr>
          <w:instrText xml:space="preserve"> PAGEREF _Toc175128524 \h </w:instrText>
        </w:r>
        <w:r w:rsidR="00912BAE">
          <w:rPr>
            <w:noProof/>
          </w:rPr>
        </w:r>
        <w:r w:rsidR="00912BAE">
          <w:rPr>
            <w:noProof/>
          </w:rPr>
          <w:fldChar w:fldCharType="separate"/>
        </w:r>
        <w:r w:rsidR="00261767">
          <w:rPr>
            <w:noProof/>
          </w:rPr>
          <w:t>110</w:t>
        </w:r>
        <w:r w:rsidR="00912BAE">
          <w:rPr>
            <w:noProof/>
          </w:rPr>
          <w:fldChar w:fldCharType="end"/>
        </w:r>
      </w:hyperlink>
    </w:p>
    <w:p w14:paraId="4EE692BC" w14:textId="77B3C837" w:rsidR="00733207" w:rsidRDefault="00E06378">
      <w:pPr>
        <w:pStyle w:val="TM2"/>
        <w:rPr>
          <w:rFonts w:cstheme="minorBidi"/>
          <w:noProof/>
        </w:rPr>
      </w:pPr>
      <w:hyperlink w:anchor="_Toc175128525" w:history="1">
        <w:r w:rsidR="00912BAE">
          <w:rPr>
            <w:rStyle w:val="Lienhypertexte"/>
            <w:rFonts w:ascii="Rockwell" w:hAnsi="Rockwell"/>
            <w:b/>
            <w:noProof/>
          </w:rPr>
          <w:t>CHAPITRE VI : MANQUEMENTS A LA LOI, A L’ETHIQUE ET A LA DEONTOLOGIE</w:t>
        </w:r>
        <w:r w:rsidR="00912BAE">
          <w:rPr>
            <w:noProof/>
          </w:rPr>
          <w:tab/>
        </w:r>
        <w:r w:rsidR="00912BAE">
          <w:rPr>
            <w:noProof/>
          </w:rPr>
          <w:fldChar w:fldCharType="begin"/>
        </w:r>
        <w:r w:rsidR="00912BAE">
          <w:rPr>
            <w:noProof/>
          </w:rPr>
          <w:instrText xml:space="preserve"> PAGEREF _Toc175128525 \h </w:instrText>
        </w:r>
        <w:r w:rsidR="00912BAE">
          <w:rPr>
            <w:noProof/>
          </w:rPr>
        </w:r>
        <w:r w:rsidR="00912BAE">
          <w:rPr>
            <w:noProof/>
          </w:rPr>
          <w:fldChar w:fldCharType="separate"/>
        </w:r>
        <w:r w:rsidR="00261767">
          <w:rPr>
            <w:noProof/>
          </w:rPr>
          <w:t>111</w:t>
        </w:r>
        <w:r w:rsidR="00912BAE">
          <w:rPr>
            <w:noProof/>
          </w:rPr>
          <w:fldChar w:fldCharType="end"/>
        </w:r>
      </w:hyperlink>
    </w:p>
    <w:p w14:paraId="7E98209E" w14:textId="591C97E9" w:rsidR="00733207" w:rsidRDefault="00E06378">
      <w:pPr>
        <w:pStyle w:val="TM3"/>
        <w:tabs>
          <w:tab w:val="right" w:leader="dot" w:pos="9630"/>
        </w:tabs>
        <w:rPr>
          <w:rFonts w:cstheme="minorBidi"/>
          <w:noProof/>
        </w:rPr>
      </w:pPr>
      <w:hyperlink w:anchor="_Toc175128526" w:history="1">
        <w:r w:rsidR="00912BAE">
          <w:rPr>
            <w:rStyle w:val="Lienhypertexte"/>
            <w:rFonts w:ascii="Rockwell" w:hAnsi="Rockwell"/>
            <w:i/>
            <w:noProof/>
          </w:rPr>
          <w:t>SECTION 1 : AUTO SAISINES</w:t>
        </w:r>
        <w:r w:rsidR="00912BAE">
          <w:rPr>
            <w:noProof/>
          </w:rPr>
          <w:tab/>
        </w:r>
        <w:r w:rsidR="00912BAE">
          <w:rPr>
            <w:noProof/>
          </w:rPr>
          <w:fldChar w:fldCharType="begin"/>
        </w:r>
        <w:r w:rsidR="00912BAE">
          <w:rPr>
            <w:noProof/>
          </w:rPr>
          <w:instrText xml:space="preserve"> PAGEREF _Toc175128526 \h </w:instrText>
        </w:r>
        <w:r w:rsidR="00912BAE">
          <w:rPr>
            <w:noProof/>
          </w:rPr>
        </w:r>
        <w:r w:rsidR="00912BAE">
          <w:rPr>
            <w:noProof/>
          </w:rPr>
          <w:fldChar w:fldCharType="separate"/>
        </w:r>
        <w:r w:rsidR="00261767">
          <w:rPr>
            <w:noProof/>
          </w:rPr>
          <w:t>111</w:t>
        </w:r>
        <w:r w:rsidR="00912BAE">
          <w:rPr>
            <w:noProof/>
          </w:rPr>
          <w:fldChar w:fldCharType="end"/>
        </w:r>
      </w:hyperlink>
    </w:p>
    <w:p w14:paraId="2D2843F0" w14:textId="69C9D5E3" w:rsidR="00733207" w:rsidRDefault="00E06378">
      <w:pPr>
        <w:pStyle w:val="TM4"/>
        <w:tabs>
          <w:tab w:val="right" w:leader="dot" w:pos="9630"/>
        </w:tabs>
        <w:rPr>
          <w:rFonts w:eastAsiaTheme="minorEastAsia"/>
          <w:noProof/>
          <w:lang w:eastAsia="fr-FR"/>
        </w:rPr>
      </w:pPr>
      <w:hyperlink w:anchor="_Toc175128527" w:history="1">
        <w:r w:rsidR="00912BAE">
          <w:rPr>
            <w:rStyle w:val="Lienhypertexte"/>
            <w:rFonts w:ascii="Rockwell" w:hAnsi="Rockwell"/>
            <w:b/>
            <w:noProof/>
          </w:rPr>
          <w:t>Paragraphe 1 : Non-respect de la personne humaine, de la protection des enfants et des adolescents</w:t>
        </w:r>
        <w:r w:rsidR="00912BAE">
          <w:rPr>
            <w:noProof/>
          </w:rPr>
          <w:tab/>
        </w:r>
        <w:r w:rsidR="00912BAE">
          <w:rPr>
            <w:noProof/>
          </w:rPr>
          <w:fldChar w:fldCharType="begin"/>
        </w:r>
        <w:r w:rsidR="00912BAE">
          <w:rPr>
            <w:noProof/>
          </w:rPr>
          <w:instrText xml:space="preserve"> PAGEREF _Toc175128527 \h </w:instrText>
        </w:r>
        <w:r w:rsidR="00912BAE">
          <w:rPr>
            <w:noProof/>
          </w:rPr>
        </w:r>
        <w:r w:rsidR="00912BAE">
          <w:rPr>
            <w:noProof/>
          </w:rPr>
          <w:fldChar w:fldCharType="separate"/>
        </w:r>
        <w:r w:rsidR="00261767">
          <w:rPr>
            <w:noProof/>
          </w:rPr>
          <w:t>111</w:t>
        </w:r>
        <w:r w:rsidR="00912BAE">
          <w:rPr>
            <w:noProof/>
          </w:rPr>
          <w:fldChar w:fldCharType="end"/>
        </w:r>
      </w:hyperlink>
    </w:p>
    <w:p w14:paraId="7CC30F72" w14:textId="543D1970" w:rsidR="00733207" w:rsidRDefault="00E06378">
      <w:pPr>
        <w:pStyle w:val="TM4"/>
        <w:tabs>
          <w:tab w:val="right" w:leader="dot" w:pos="9630"/>
        </w:tabs>
        <w:rPr>
          <w:rFonts w:eastAsiaTheme="minorEastAsia"/>
          <w:noProof/>
          <w:lang w:eastAsia="fr-FR"/>
        </w:rPr>
      </w:pPr>
      <w:hyperlink w:anchor="_Toc175128528" w:history="1">
        <w:r w:rsidR="00912BAE">
          <w:rPr>
            <w:rStyle w:val="Lienhypertexte"/>
            <w:rFonts w:ascii="Rockwell" w:hAnsi="Rockwell"/>
            <w:b/>
            <w:noProof/>
          </w:rPr>
          <w:t>Paragraphe 2 : Diffusion de nouvelles fausses, déséquilibre de l’information et diffamation</w:t>
        </w:r>
        <w:r w:rsidR="00912BAE">
          <w:rPr>
            <w:noProof/>
          </w:rPr>
          <w:tab/>
        </w:r>
        <w:r w:rsidR="00912BAE">
          <w:rPr>
            <w:noProof/>
          </w:rPr>
          <w:fldChar w:fldCharType="begin"/>
        </w:r>
        <w:r w:rsidR="00912BAE">
          <w:rPr>
            <w:noProof/>
          </w:rPr>
          <w:instrText xml:space="preserve"> PAGEREF _Toc175128528 \h </w:instrText>
        </w:r>
        <w:r w:rsidR="00912BAE">
          <w:rPr>
            <w:noProof/>
          </w:rPr>
        </w:r>
        <w:r w:rsidR="00912BAE">
          <w:rPr>
            <w:noProof/>
          </w:rPr>
          <w:fldChar w:fldCharType="separate"/>
        </w:r>
        <w:r w:rsidR="00261767">
          <w:rPr>
            <w:noProof/>
          </w:rPr>
          <w:t>112</w:t>
        </w:r>
        <w:r w:rsidR="00912BAE">
          <w:rPr>
            <w:noProof/>
          </w:rPr>
          <w:fldChar w:fldCharType="end"/>
        </w:r>
      </w:hyperlink>
    </w:p>
    <w:p w14:paraId="623490A2" w14:textId="40FD08B7" w:rsidR="00733207" w:rsidRDefault="00E06378">
      <w:pPr>
        <w:pStyle w:val="TM4"/>
        <w:tabs>
          <w:tab w:val="right" w:leader="dot" w:pos="9630"/>
        </w:tabs>
        <w:rPr>
          <w:rFonts w:eastAsiaTheme="minorEastAsia"/>
          <w:noProof/>
          <w:lang w:eastAsia="fr-FR"/>
        </w:rPr>
      </w:pPr>
      <w:hyperlink w:anchor="_Toc175128529" w:history="1">
        <w:r w:rsidR="00912BAE">
          <w:rPr>
            <w:rStyle w:val="Lienhypertexte"/>
            <w:rFonts w:ascii="Rockwell" w:hAnsi="Rockwell"/>
            <w:b/>
            <w:noProof/>
          </w:rPr>
          <w:t>Paragraphe 3 : Atteinte à la tolérance religieuse</w:t>
        </w:r>
        <w:r w:rsidR="00912BAE">
          <w:rPr>
            <w:noProof/>
          </w:rPr>
          <w:tab/>
        </w:r>
        <w:r w:rsidR="00912BAE">
          <w:rPr>
            <w:noProof/>
          </w:rPr>
          <w:fldChar w:fldCharType="begin"/>
        </w:r>
        <w:r w:rsidR="00912BAE">
          <w:rPr>
            <w:noProof/>
          </w:rPr>
          <w:instrText xml:space="preserve"> PAGEREF _Toc175128529 \h </w:instrText>
        </w:r>
        <w:r w:rsidR="00912BAE">
          <w:rPr>
            <w:noProof/>
          </w:rPr>
        </w:r>
        <w:r w:rsidR="00912BAE">
          <w:rPr>
            <w:noProof/>
          </w:rPr>
          <w:fldChar w:fldCharType="separate"/>
        </w:r>
        <w:r w:rsidR="00261767">
          <w:rPr>
            <w:noProof/>
          </w:rPr>
          <w:t>113</w:t>
        </w:r>
        <w:r w:rsidR="00912BAE">
          <w:rPr>
            <w:noProof/>
          </w:rPr>
          <w:fldChar w:fldCharType="end"/>
        </w:r>
      </w:hyperlink>
    </w:p>
    <w:p w14:paraId="159D7963" w14:textId="145DEF6F" w:rsidR="00733207" w:rsidRDefault="00E06378">
      <w:pPr>
        <w:pStyle w:val="TM5"/>
        <w:tabs>
          <w:tab w:val="right" w:leader="dot" w:pos="9630"/>
        </w:tabs>
        <w:rPr>
          <w:rFonts w:eastAsiaTheme="minorEastAsia"/>
          <w:noProof/>
          <w:lang w:eastAsia="fr-FR"/>
        </w:rPr>
      </w:pPr>
      <w:hyperlink w:anchor="_Toc175128530" w:history="1">
        <w:r w:rsidR="00912BAE">
          <w:rPr>
            <w:rStyle w:val="Lienhypertexte"/>
            <w:rFonts w:ascii="Rockwell" w:hAnsi="Rockwell"/>
            <w:noProof/>
          </w:rPr>
          <w:t>3.1. Cas de la télévision BF1</w:t>
        </w:r>
        <w:r w:rsidR="00912BAE">
          <w:rPr>
            <w:noProof/>
          </w:rPr>
          <w:tab/>
        </w:r>
        <w:r w:rsidR="00912BAE">
          <w:rPr>
            <w:noProof/>
          </w:rPr>
          <w:fldChar w:fldCharType="begin"/>
        </w:r>
        <w:r w:rsidR="00912BAE">
          <w:rPr>
            <w:noProof/>
          </w:rPr>
          <w:instrText xml:space="preserve"> PAGEREF _Toc175128530 \h </w:instrText>
        </w:r>
        <w:r w:rsidR="00912BAE">
          <w:rPr>
            <w:noProof/>
          </w:rPr>
        </w:r>
        <w:r w:rsidR="00912BAE">
          <w:rPr>
            <w:noProof/>
          </w:rPr>
          <w:fldChar w:fldCharType="separate"/>
        </w:r>
        <w:r w:rsidR="00261767">
          <w:rPr>
            <w:noProof/>
          </w:rPr>
          <w:t>113</w:t>
        </w:r>
        <w:r w:rsidR="00912BAE">
          <w:rPr>
            <w:noProof/>
          </w:rPr>
          <w:fldChar w:fldCharType="end"/>
        </w:r>
      </w:hyperlink>
    </w:p>
    <w:p w14:paraId="554678F8" w14:textId="303634CC" w:rsidR="00733207" w:rsidRDefault="00E06378">
      <w:pPr>
        <w:pStyle w:val="TM5"/>
        <w:tabs>
          <w:tab w:val="right" w:leader="dot" w:pos="9630"/>
        </w:tabs>
        <w:rPr>
          <w:rFonts w:eastAsiaTheme="minorEastAsia"/>
          <w:noProof/>
          <w:lang w:eastAsia="fr-FR"/>
        </w:rPr>
      </w:pPr>
      <w:hyperlink w:anchor="_Toc175128531" w:history="1">
        <w:r w:rsidR="00912BAE">
          <w:rPr>
            <w:rStyle w:val="Lienhypertexte"/>
            <w:rFonts w:ascii="Rockwell" w:hAnsi="Rockwell"/>
            <w:noProof/>
          </w:rPr>
          <w:t>3.2. Cas de la Radiodiffusion Télévision du Burkina (RTB)</w:t>
        </w:r>
        <w:r w:rsidR="00912BAE">
          <w:rPr>
            <w:noProof/>
          </w:rPr>
          <w:tab/>
        </w:r>
        <w:r w:rsidR="00912BAE">
          <w:rPr>
            <w:noProof/>
          </w:rPr>
          <w:fldChar w:fldCharType="begin"/>
        </w:r>
        <w:r w:rsidR="00912BAE">
          <w:rPr>
            <w:noProof/>
          </w:rPr>
          <w:instrText xml:space="preserve"> PAGEREF _Toc175128531 \h </w:instrText>
        </w:r>
        <w:r w:rsidR="00912BAE">
          <w:rPr>
            <w:noProof/>
          </w:rPr>
        </w:r>
        <w:r w:rsidR="00912BAE">
          <w:rPr>
            <w:noProof/>
          </w:rPr>
          <w:fldChar w:fldCharType="separate"/>
        </w:r>
        <w:r w:rsidR="00261767">
          <w:rPr>
            <w:noProof/>
          </w:rPr>
          <w:t>114</w:t>
        </w:r>
        <w:r w:rsidR="00912BAE">
          <w:rPr>
            <w:noProof/>
          </w:rPr>
          <w:fldChar w:fldCharType="end"/>
        </w:r>
      </w:hyperlink>
    </w:p>
    <w:p w14:paraId="0B9BB02B" w14:textId="78158B36" w:rsidR="00733207" w:rsidRDefault="00E06378">
      <w:pPr>
        <w:pStyle w:val="TM4"/>
        <w:tabs>
          <w:tab w:val="right" w:leader="dot" w:pos="9630"/>
        </w:tabs>
        <w:rPr>
          <w:rFonts w:eastAsiaTheme="minorEastAsia"/>
          <w:noProof/>
          <w:lang w:eastAsia="fr-FR"/>
        </w:rPr>
      </w:pPr>
      <w:hyperlink w:anchor="_Toc175128532" w:history="1">
        <w:r w:rsidR="00912BAE">
          <w:rPr>
            <w:rStyle w:val="Lienhypertexte"/>
            <w:rFonts w:ascii="Rockwell" w:hAnsi="Rockwell"/>
            <w:b/>
            <w:noProof/>
          </w:rPr>
          <w:t>Paragraphe 4 : atteinte à la sédition et/ou l’appel à la révolte</w:t>
        </w:r>
        <w:r w:rsidR="00912BAE">
          <w:rPr>
            <w:noProof/>
          </w:rPr>
          <w:tab/>
        </w:r>
        <w:r w:rsidR="00912BAE">
          <w:rPr>
            <w:noProof/>
          </w:rPr>
          <w:fldChar w:fldCharType="begin"/>
        </w:r>
        <w:r w:rsidR="00912BAE">
          <w:rPr>
            <w:noProof/>
          </w:rPr>
          <w:instrText xml:space="preserve"> PAGEREF _Toc175128532 \h </w:instrText>
        </w:r>
        <w:r w:rsidR="00912BAE">
          <w:rPr>
            <w:noProof/>
          </w:rPr>
        </w:r>
        <w:r w:rsidR="00912BAE">
          <w:rPr>
            <w:noProof/>
          </w:rPr>
          <w:fldChar w:fldCharType="separate"/>
        </w:r>
        <w:r w:rsidR="00261767">
          <w:rPr>
            <w:noProof/>
          </w:rPr>
          <w:t>114</w:t>
        </w:r>
        <w:r w:rsidR="00912BAE">
          <w:rPr>
            <w:noProof/>
          </w:rPr>
          <w:fldChar w:fldCharType="end"/>
        </w:r>
      </w:hyperlink>
    </w:p>
    <w:p w14:paraId="6EC20E93" w14:textId="45BF1C99" w:rsidR="00733207" w:rsidRDefault="00E06378">
      <w:pPr>
        <w:pStyle w:val="TM3"/>
        <w:tabs>
          <w:tab w:val="right" w:leader="dot" w:pos="9630"/>
        </w:tabs>
        <w:rPr>
          <w:rFonts w:cstheme="minorBidi"/>
          <w:noProof/>
        </w:rPr>
      </w:pPr>
      <w:hyperlink w:anchor="_Toc175128533" w:history="1">
        <w:r w:rsidR="00912BAE">
          <w:rPr>
            <w:rStyle w:val="Lienhypertexte"/>
            <w:rFonts w:ascii="Rockwell" w:hAnsi="Rockwell"/>
            <w:i/>
            <w:noProof/>
          </w:rPr>
          <w:t>SECTION 2 : SAISINES</w:t>
        </w:r>
        <w:r w:rsidR="00912BAE">
          <w:rPr>
            <w:noProof/>
          </w:rPr>
          <w:tab/>
        </w:r>
        <w:r w:rsidR="00912BAE">
          <w:rPr>
            <w:noProof/>
          </w:rPr>
          <w:fldChar w:fldCharType="begin"/>
        </w:r>
        <w:r w:rsidR="00912BAE">
          <w:rPr>
            <w:noProof/>
          </w:rPr>
          <w:instrText xml:space="preserve"> PAGEREF _Toc175128533 \h </w:instrText>
        </w:r>
        <w:r w:rsidR="00912BAE">
          <w:rPr>
            <w:noProof/>
          </w:rPr>
        </w:r>
        <w:r w:rsidR="00912BAE">
          <w:rPr>
            <w:noProof/>
          </w:rPr>
          <w:fldChar w:fldCharType="separate"/>
        </w:r>
        <w:r w:rsidR="00261767">
          <w:rPr>
            <w:noProof/>
          </w:rPr>
          <w:t>115</w:t>
        </w:r>
        <w:r w:rsidR="00912BAE">
          <w:rPr>
            <w:noProof/>
          </w:rPr>
          <w:fldChar w:fldCharType="end"/>
        </w:r>
      </w:hyperlink>
    </w:p>
    <w:p w14:paraId="25B61D02" w14:textId="58EEB32A" w:rsidR="00733207" w:rsidRDefault="00E06378">
      <w:pPr>
        <w:pStyle w:val="TM4"/>
        <w:tabs>
          <w:tab w:val="right" w:leader="dot" w:pos="9630"/>
        </w:tabs>
        <w:rPr>
          <w:rFonts w:eastAsiaTheme="minorEastAsia"/>
          <w:noProof/>
          <w:lang w:eastAsia="fr-FR"/>
        </w:rPr>
      </w:pPr>
      <w:hyperlink w:anchor="_Toc175128534" w:history="1">
        <w:r w:rsidR="00912BAE">
          <w:rPr>
            <w:rStyle w:val="Lienhypertexte"/>
            <w:rFonts w:ascii="Rockwell" w:hAnsi="Rockwell"/>
            <w:b/>
            <w:noProof/>
          </w:rPr>
          <w:t>Paragraphe 1 : Diffamation, intolérance religieuse et responsabilité sociale</w:t>
        </w:r>
        <w:r w:rsidR="00912BAE">
          <w:rPr>
            <w:noProof/>
          </w:rPr>
          <w:tab/>
        </w:r>
        <w:r w:rsidR="00912BAE">
          <w:rPr>
            <w:noProof/>
          </w:rPr>
          <w:fldChar w:fldCharType="begin"/>
        </w:r>
        <w:r w:rsidR="00912BAE">
          <w:rPr>
            <w:noProof/>
          </w:rPr>
          <w:instrText xml:space="preserve"> PAGEREF _Toc175128534 \h </w:instrText>
        </w:r>
        <w:r w:rsidR="00912BAE">
          <w:rPr>
            <w:noProof/>
          </w:rPr>
        </w:r>
        <w:r w:rsidR="00912BAE">
          <w:rPr>
            <w:noProof/>
          </w:rPr>
          <w:fldChar w:fldCharType="separate"/>
        </w:r>
        <w:r w:rsidR="00261767">
          <w:rPr>
            <w:noProof/>
          </w:rPr>
          <w:t>115</w:t>
        </w:r>
        <w:r w:rsidR="00912BAE">
          <w:rPr>
            <w:noProof/>
          </w:rPr>
          <w:fldChar w:fldCharType="end"/>
        </w:r>
      </w:hyperlink>
    </w:p>
    <w:p w14:paraId="56839617" w14:textId="376788F9" w:rsidR="00733207" w:rsidRDefault="00E06378">
      <w:pPr>
        <w:pStyle w:val="TM4"/>
        <w:tabs>
          <w:tab w:val="right" w:leader="dot" w:pos="9630"/>
        </w:tabs>
        <w:rPr>
          <w:rFonts w:eastAsiaTheme="minorEastAsia"/>
          <w:noProof/>
          <w:lang w:eastAsia="fr-FR"/>
        </w:rPr>
      </w:pPr>
      <w:hyperlink w:anchor="_Toc175128535" w:history="1">
        <w:r w:rsidR="00912BAE">
          <w:rPr>
            <w:rStyle w:val="Lienhypertexte"/>
            <w:rFonts w:ascii="Rockwell" w:hAnsi="Rockwell"/>
            <w:b/>
            <w:noProof/>
          </w:rPr>
          <w:t xml:space="preserve">Paragraphe 2 </w:t>
        </w:r>
        <w:r w:rsidR="00912BAE">
          <w:rPr>
            <w:rStyle w:val="Lienhypertexte"/>
            <w:rFonts w:ascii="Rockwell" w:eastAsia="Times New Roman" w:hAnsi="Rockwell"/>
            <w:b/>
            <w:noProof/>
          </w:rPr>
          <w:t>: Diffusion de nouvelles fausses</w:t>
        </w:r>
        <w:r w:rsidR="00912BAE">
          <w:rPr>
            <w:noProof/>
          </w:rPr>
          <w:tab/>
        </w:r>
        <w:r w:rsidR="00912BAE">
          <w:rPr>
            <w:noProof/>
          </w:rPr>
          <w:fldChar w:fldCharType="begin"/>
        </w:r>
        <w:r w:rsidR="00912BAE">
          <w:rPr>
            <w:noProof/>
          </w:rPr>
          <w:instrText xml:space="preserve"> PAGEREF _Toc175128535 \h </w:instrText>
        </w:r>
        <w:r w:rsidR="00912BAE">
          <w:rPr>
            <w:noProof/>
          </w:rPr>
        </w:r>
        <w:r w:rsidR="00912BAE">
          <w:rPr>
            <w:noProof/>
          </w:rPr>
          <w:fldChar w:fldCharType="separate"/>
        </w:r>
        <w:r w:rsidR="00261767">
          <w:rPr>
            <w:noProof/>
          </w:rPr>
          <w:t>115</w:t>
        </w:r>
        <w:r w:rsidR="00912BAE">
          <w:rPr>
            <w:noProof/>
          </w:rPr>
          <w:fldChar w:fldCharType="end"/>
        </w:r>
      </w:hyperlink>
    </w:p>
    <w:p w14:paraId="1121CB52" w14:textId="3074CEC2" w:rsidR="00733207" w:rsidRDefault="00E06378">
      <w:pPr>
        <w:pStyle w:val="TM4"/>
        <w:tabs>
          <w:tab w:val="right" w:leader="dot" w:pos="9630"/>
        </w:tabs>
        <w:rPr>
          <w:rFonts w:eastAsiaTheme="minorEastAsia"/>
          <w:noProof/>
          <w:lang w:eastAsia="fr-FR"/>
        </w:rPr>
      </w:pPr>
      <w:hyperlink w:anchor="_Toc175128536" w:history="1">
        <w:r w:rsidR="00912BAE">
          <w:rPr>
            <w:rStyle w:val="Lienhypertexte"/>
            <w:rFonts w:ascii="Rockwell" w:hAnsi="Rockwell"/>
            <w:b/>
            <w:noProof/>
          </w:rPr>
          <w:t xml:space="preserve">Paragraphe 3 </w:t>
        </w:r>
        <w:r w:rsidR="00912BAE">
          <w:rPr>
            <w:rStyle w:val="Lienhypertexte"/>
            <w:rFonts w:ascii="Rockwell" w:eastAsia="Times New Roman" w:hAnsi="Rockwell"/>
            <w:b/>
            <w:noProof/>
          </w:rPr>
          <w:t xml:space="preserve">: </w:t>
        </w:r>
        <w:r w:rsidR="00912BAE">
          <w:rPr>
            <w:rStyle w:val="Lienhypertexte"/>
            <w:rFonts w:ascii="Rockwell" w:hAnsi="Rockwell"/>
            <w:b/>
            <w:noProof/>
          </w:rPr>
          <w:t>atteinte à la tolérance religieuse et à la sédition</w:t>
        </w:r>
        <w:r w:rsidR="00912BAE">
          <w:rPr>
            <w:noProof/>
          </w:rPr>
          <w:tab/>
        </w:r>
        <w:r w:rsidR="00912BAE">
          <w:rPr>
            <w:noProof/>
          </w:rPr>
          <w:fldChar w:fldCharType="begin"/>
        </w:r>
        <w:r w:rsidR="00912BAE">
          <w:rPr>
            <w:noProof/>
          </w:rPr>
          <w:instrText xml:space="preserve"> PAGEREF _Toc175128536 \h </w:instrText>
        </w:r>
        <w:r w:rsidR="00912BAE">
          <w:rPr>
            <w:noProof/>
          </w:rPr>
        </w:r>
        <w:r w:rsidR="00912BAE">
          <w:rPr>
            <w:noProof/>
          </w:rPr>
          <w:fldChar w:fldCharType="separate"/>
        </w:r>
        <w:r w:rsidR="00261767">
          <w:rPr>
            <w:noProof/>
          </w:rPr>
          <w:t>116</w:t>
        </w:r>
        <w:r w:rsidR="00912BAE">
          <w:rPr>
            <w:noProof/>
          </w:rPr>
          <w:fldChar w:fldCharType="end"/>
        </w:r>
      </w:hyperlink>
    </w:p>
    <w:p w14:paraId="5881CFE5" w14:textId="2611C781" w:rsidR="00733207" w:rsidRDefault="00E06378">
      <w:pPr>
        <w:pStyle w:val="TM4"/>
        <w:tabs>
          <w:tab w:val="right" w:leader="dot" w:pos="9630"/>
        </w:tabs>
        <w:rPr>
          <w:rFonts w:eastAsiaTheme="minorEastAsia"/>
          <w:noProof/>
          <w:lang w:eastAsia="fr-FR"/>
        </w:rPr>
      </w:pPr>
      <w:hyperlink w:anchor="_Toc175128537" w:history="1">
        <w:r w:rsidR="00912BAE">
          <w:rPr>
            <w:rStyle w:val="Lienhypertexte"/>
            <w:rFonts w:ascii="Rockwell" w:hAnsi="Rockwell"/>
            <w:b/>
            <w:noProof/>
          </w:rPr>
          <w:t xml:space="preserve">Paragraphe 4 </w:t>
        </w:r>
        <w:r w:rsidR="00912BAE">
          <w:rPr>
            <w:rStyle w:val="Lienhypertexte"/>
            <w:rFonts w:ascii="Rockwell" w:eastAsia="Times New Roman" w:hAnsi="Rockwell"/>
            <w:b/>
            <w:noProof/>
          </w:rPr>
          <w:t xml:space="preserve">: </w:t>
        </w:r>
        <w:r w:rsidR="00912BAE">
          <w:rPr>
            <w:rStyle w:val="Lienhypertexte"/>
            <w:rFonts w:ascii="Rockwell" w:hAnsi="Rockwell"/>
            <w:b/>
            <w:noProof/>
          </w:rPr>
          <w:t>diffamation, atteinte à l’honneur ou à la considération</w:t>
        </w:r>
        <w:r w:rsidR="00912BAE">
          <w:rPr>
            <w:noProof/>
          </w:rPr>
          <w:tab/>
        </w:r>
        <w:r w:rsidR="00912BAE">
          <w:rPr>
            <w:noProof/>
          </w:rPr>
          <w:fldChar w:fldCharType="begin"/>
        </w:r>
        <w:r w:rsidR="00912BAE">
          <w:rPr>
            <w:noProof/>
          </w:rPr>
          <w:instrText xml:space="preserve"> PAGEREF _Toc175128537 \h </w:instrText>
        </w:r>
        <w:r w:rsidR="00912BAE">
          <w:rPr>
            <w:noProof/>
          </w:rPr>
        </w:r>
        <w:r w:rsidR="00912BAE">
          <w:rPr>
            <w:noProof/>
          </w:rPr>
          <w:fldChar w:fldCharType="separate"/>
        </w:r>
        <w:r w:rsidR="00261767">
          <w:rPr>
            <w:noProof/>
          </w:rPr>
          <w:t>116</w:t>
        </w:r>
        <w:r w:rsidR="00912BAE">
          <w:rPr>
            <w:noProof/>
          </w:rPr>
          <w:fldChar w:fldCharType="end"/>
        </w:r>
      </w:hyperlink>
    </w:p>
    <w:p w14:paraId="07116C7F" w14:textId="15614E62" w:rsidR="00733207" w:rsidRDefault="00E06378">
      <w:pPr>
        <w:pStyle w:val="TM4"/>
        <w:tabs>
          <w:tab w:val="right" w:leader="dot" w:pos="9630"/>
        </w:tabs>
        <w:rPr>
          <w:rFonts w:eastAsiaTheme="minorEastAsia"/>
          <w:noProof/>
          <w:lang w:eastAsia="fr-FR"/>
        </w:rPr>
      </w:pPr>
      <w:hyperlink w:anchor="_Toc175128538" w:history="1">
        <w:r w:rsidR="00912BAE">
          <w:rPr>
            <w:rStyle w:val="Lienhypertexte"/>
            <w:rFonts w:ascii="Rockwell" w:hAnsi="Rockwell"/>
            <w:b/>
            <w:noProof/>
          </w:rPr>
          <w:t>Paragraphe 5 : atteinte à l’image et à la dignité de la personne</w:t>
        </w:r>
        <w:r w:rsidR="00912BAE">
          <w:rPr>
            <w:noProof/>
          </w:rPr>
          <w:tab/>
        </w:r>
        <w:r w:rsidR="00912BAE">
          <w:rPr>
            <w:noProof/>
          </w:rPr>
          <w:fldChar w:fldCharType="begin"/>
        </w:r>
        <w:r w:rsidR="00912BAE">
          <w:rPr>
            <w:noProof/>
          </w:rPr>
          <w:instrText xml:space="preserve"> PAGEREF _Toc175128538 \h </w:instrText>
        </w:r>
        <w:r w:rsidR="00912BAE">
          <w:rPr>
            <w:noProof/>
          </w:rPr>
        </w:r>
        <w:r w:rsidR="00912BAE">
          <w:rPr>
            <w:noProof/>
          </w:rPr>
          <w:fldChar w:fldCharType="separate"/>
        </w:r>
        <w:r w:rsidR="00261767">
          <w:rPr>
            <w:noProof/>
          </w:rPr>
          <w:t>117</w:t>
        </w:r>
        <w:r w:rsidR="00912BAE">
          <w:rPr>
            <w:noProof/>
          </w:rPr>
          <w:fldChar w:fldCharType="end"/>
        </w:r>
      </w:hyperlink>
    </w:p>
    <w:p w14:paraId="427BF19E" w14:textId="2688687B" w:rsidR="00733207" w:rsidRDefault="00E06378">
      <w:pPr>
        <w:pStyle w:val="TM4"/>
        <w:tabs>
          <w:tab w:val="right" w:leader="dot" w:pos="9630"/>
        </w:tabs>
        <w:rPr>
          <w:rFonts w:eastAsiaTheme="minorEastAsia"/>
          <w:noProof/>
          <w:lang w:eastAsia="fr-FR"/>
        </w:rPr>
      </w:pPr>
      <w:hyperlink w:anchor="_Toc175128539" w:history="1">
        <w:r w:rsidR="00912BAE">
          <w:rPr>
            <w:rStyle w:val="Lienhypertexte"/>
            <w:rFonts w:ascii="Rockwell" w:hAnsi="Rockwell"/>
            <w:b/>
            <w:noProof/>
          </w:rPr>
          <w:t>Paragraphe 6 : propos grossiers, obscènes et outrage aux bonnes mœurs</w:t>
        </w:r>
        <w:r w:rsidR="00912BAE">
          <w:rPr>
            <w:noProof/>
          </w:rPr>
          <w:tab/>
        </w:r>
        <w:r w:rsidR="00912BAE">
          <w:rPr>
            <w:noProof/>
          </w:rPr>
          <w:fldChar w:fldCharType="begin"/>
        </w:r>
        <w:r w:rsidR="00912BAE">
          <w:rPr>
            <w:noProof/>
          </w:rPr>
          <w:instrText xml:space="preserve"> PAGEREF _Toc175128539 \h </w:instrText>
        </w:r>
        <w:r w:rsidR="00912BAE">
          <w:rPr>
            <w:noProof/>
          </w:rPr>
        </w:r>
        <w:r w:rsidR="00912BAE">
          <w:rPr>
            <w:noProof/>
          </w:rPr>
          <w:fldChar w:fldCharType="separate"/>
        </w:r>
        <w:r w:rsidR="00261767">
          <w:rPr>
            <w:noProof/>
          </w:rPr>
          <w:t>118</w:t>
        </w:r>
        <w:r w:rsidR="00912BAE">
          <w:rPr>
            <w:noProof/>
          </w:rPr>
          <w:fldChar w:fldCharType="end"/>
        </w:r>
      </w:hyperlink>
    </w:p>
    <w:p w14:paraId="27F11E0E" w14:textId="722BE17C" w:rsidR="00733207" w:rsidRDefault="00E06378">
      <w:pPr>
        <w:pStyle w:val="TM4"/>
        <w:tabs>
          <w:tab w:val="right" w:leader="dot" w:pos="9630"/>
        </w:tabs>
        <w:rPr>
          <w:rFonts w:eastAsiaTheme="minorEastAsia"/>
          <w:noProof/>
          <w:lang w:eastAsia="fr-FR"/>
        </w:rPr>
      </w:pPr>
      <w:hyperlink w:anchor="_Toc175128540" w:history="1">
        <w:r w:rsidR="00912BAE">
          <w:rPr>
            <w:rStyle w:val="Lienhypertexte"/>
            <w:rFonts w:ascii="Rockwell" w:hAnsi="Rockwell"/>
            <w:b/>
            <w:noProof/>
          </w:rPr>
          <w:t>Paragraphe 7 : diffusion de nouvelles fausses, de pièces fabriquées, falsifiées ou mensongères</w:t>
        </w:r>
        <w:r w:rsidR="00912BAE">
          <w:rPr>
            <w:noProof/>
          </w:rPr>
          <w:tab/>
        </w:r>
        <w:r w:rsidR="00912BAE">
          <w:rPr>
            <w:noProof/>
          </w:rPr>
          <w:fldChar w:fldCharType="begin"/>
        </w:r>
        <w:r w:rsidR="00912BAE">
          <w:rPr>
            <w:noProof/>
          </w:rPr>
          <w:instrText xml:space="preserve"> PAGEREF _Toc175128540 \h </w:instrText>
        </w:r>
        <w:r w:rsidR="00912BAE">
          <w:rPr>
            <w:noProof/>
          </w:rPr>
        </w:r>
        <w:r w:rsidR="00912BAE">
          <w:rPr>
            <w:noProof/>
          </w:rPr>
          <w:fldChar w:fldCharType="separate"/>
        </w:r>
        <w:r w:rsidR="00261767">
          <w:rPr>
            <w:noProof/>
          </w:rPr>
          <w:t>118</w:t>
        </w:r>
        <w:r w:rsidR="00912BAE">
          <w:rPr>
            <w:noProof/>
          </w:rPr>
          <w:fldChar w:fldCharType="end"/>
        </w:r>
      </w:hyperlink>
    </w:p>
    <w:p w14:paraId="681AC8E3" w14:textId="1125EEDA" w:rsidR="00733207" w:rsidRDefault="00E06378">
      <w:pPr>
        <w:pStyle w:val="TM5"/>
        <w:tabs>
          <w:tab w:val="right" w:leader="dot" w:pos="9630"/>
        </w:tabs>
        <w:rPr>
          <w:rFonts w:eastAsiaTheme="minorEastAsia"/>
          <w:noProof/>
          <w:lang w:eastAsia="fr-FR"/>
        </w:rPr>
      </w:pPr>
      <w:hyperlink w:anchor="_Toc175128541" w:history="1">
        <w:r w:rsidR="00912BAE">
          <w:rPr>
            <w:rStyle w:val="Lienhypertexte"/>
            <w:rFonts w:ascii="Rockwell" w:eastAsia="Calibri" w:hAnsi="Rockwell"/>
            <w:b/>
            <w:noProof/>
          </w:rPr>
          <w:t>7</w:t>
        </w:r>
        <w:r w:rsidR="00912BAE">
          <w:rPr>
            <w:rStyle w:val="Lienhypertexte"/>
            <w:rFonts w:ascii="Rockwell" w:eastAsia="Calibri" w:hAnsi="Rockwell"/>
            <w:noProof/>
          </w:rPr>
          <w:t>.1. Cas de la télévision France 24</w:t>
        </w:r>
        <w:r w:rsidR="00912BAE">
          <w:rPr>
            <w:noProof/>
          </w:rPr>
          <w:tab/>
        </w:r>
        <w:r w:rsidR="00912BAE">
          <w:rPr>
            <w:noProof/>
          </w:rPr>
          <w:fldChar w:fldCharType="begin"/>
        </w:r>
        <w:r w:rsidR="00912BAE">
          <w:rPr>
            <w:noProof/>
          </w:rPr>
          <w:instrText xml:space="preserve"> PAGEREF _Toc175128541 \h </w:instrText>
        </w:r>
        <w:r w:rsidR="00912BAE">
          <w:rPr>
            <w:noProof/>
          </w:rPr>
        </w:r>
        <w:r w:rsidR="00912BAE">
          <w:rPr>
            <w:noProof/>
          </w:rPr>
          <w:fldChar w:fldCharType="separate"/>
        </w:r>
        <w:r w:rsidR="00261767">
          <w:rPr>
            <w:noProof/>
          </w:rPr>
          <w:t>118</w:t>
        </w:r>
        <w:r w:rsidR="00912BAE">
          <w:rPr>
            <w:noProof/>
          </w:rPr>
          <w:fldChar w:fldCharType="end"/>
        </w:r>
      </w:hyperlink>
    </w:p>
    <w:p w14:paraId="6699A971" w14:textId="76E5B4D2" w:rsidR="00733207" w:rsidRDefault="00E06378">
      <w:pPr>
        <w:pStyle w:val="TM5"/>
        <w:tabs>
          <w:tab w:val="right" w:leader="dot" w:pos="9630"/>
        </w:tabs>
        <w:rPr>
          <w:rFonts w:eastAsiaTheme="minorEastAsia"/>
          <w:noProof/>
          <w:lang w:eastAsia="fr-FR"/>
        </w:rPr>
      </w:pPr>
      <w:hyperlink w:anchor="_Toc175128542" w:history="1">
        <w:r w:rsidR="00912BAE">
          <w:rPr>
            <w:rStyle w:val="Lienhypertexte"/>
            <w:rFonts w:ascii="Rockwell" w:hAnsi="Rockwell"/>
            <w:noProof/>
          </w:rPr>
          <w:t>7.2. Cas du journal L’Evènement</w:t>
        </w:r>
        <w:r w:rsidR="00912BAE">
          <w:rPr>
            <w:noProof/>
          </w:rPr>
          <w:tab/>
        </w:r>
        <w:r w:rsidR="00912BAE">
          <w:rPr>
            <w:noProof/>
          </w:rPr>
          <w:fldChar w:fldCharType="begin"/>
        </w:r>
        <w:r w:rsidR="00912BAE">
          <w:rPr>
            <w:noProof/>
          </w:rPr>
          <w:instrText xml:space="preserve"> PAGEREF _Toc175128542 \h </w:instrText>
        </w:r>
        <w:r w:rsidR="00912BAE">
          <w:rPr>
            <w:noProof/>
          </w:rPr>
        </w:r>
        <w:r w:rsidR="00912BAE">
          <w:rPr>
            <w:noProof/>
          </w:rPr>
          <w:fldChar w:fldCharType="separate"/>
        </w:r>
        <w:r w:rsidR="00261767">
          <w:rPr>
            <w:noProof/>
          </w:rPr>
          <w:t>119</w:t>
        </w:r>
        <w:r w:rsidR="00912BAE">
          <w:rPr>
            <w:noProof/>
          </w:rPr>
          <w:fldChar w:fldCharType="end"/>
        </w:r>
      </w:hyperlink>
    </w:p>
    <w:p w14:paraId="3006535B" w14:textId="21C21106" w:rsidR="00733207" w:rsidRDefault="00E06378">
      <w:pPr>
        <w:pStyle w:val="TM4"/>
        <w:tabs>
          <w:tab w:val="right" w:leader="dot" w:pos="9630"/>
        </w:tabs>
        <w:rPr>
          <w:rFonts w:eastAsiaTheme="minorEastAsia"/>
          <w:noProof/>
          <w:lang w:eastAsia="fr-FR"/>
        </w:rPr>
      </w:pPr>
      <w:hyperlink w:anchor="_Toc175128543" w:history="1">
        <w:r w:rsidR="00912BAE">
          <w:rPr>
            <w:rStyle w:val="Lienhypertexte"/>
            <w:rFonts w:ascii="Rockwell" w:hAnsi="Rockwell"/>
            <w:b/>
            <w:noProof/>
          </w:rPr>
          <w:t xml:space="preserve">Paragraphe 8 : </w:t>
        </w:r>
        <w:r w:rsidR="00912BAE">
          <w:rPr>
            <w:rStyle w:val="Lienhypertexte"/>
            <w:rFonts w:ascii="Rockwell" w:eastAsia="Times New Roman" w:hAnsi="Rockwell"/>
            <w:b/>
            <w:noProof/>
          </w:rPr>
          <w:t>Diffusion de nouvelles fausses et déséquilibre de l’information</w:t>
        </w:r>
        <w:r w:rsidR="00912BAE">
          <w:rPr>
            <w:noProof/>
          </w:rPr>
          <w:tab/>
        </w:r>
        <w:r w:rsidR="00912BAE">
          <w:rPr>
            <w:noProof/>
          </w:rPr>
          <w:fldChar w:fldCharType="begin"/>
        </w:r>
        <w:r w:rsidR="00912BAE">
          <w:rPr>
            <w:noProof/>
          </w:rPr>
          <w:instrText xml:space="preserve"> PAGEREF _Toc175128543 \h </w:instrText>
        </w:r>
        <w:r w:rsidR="00912BAE">
          <w:rPr>
            <w:noProof/>
          </w:rPr>
        </w:r>
        <w:r w:rsidR="00912BAE">
          <w:rPr>
            <w:noProof/>
          </w:rPr>
          <w:fldChar w:fldCharType="separate"/>
        </w:r>
        <w:r w:rsidR="00261767">
          <w:rPr>
            <w:noProof/>
          </w:rPr>
          <w:t>120</w:t>
        </w:r>
        <w:r w:rsidR="00912BAE">
          <w:rPr>
            <w:noProof/>
          </w:rPr>
          <w:fldChar w:fldCharType="end"/>
        </w:r>
      </w:hyperlink>
    </w:p>
    <w:p w14:paraId="7DB894D5" w14:textId="7C856730" w:rsidR="00733207" w:rsidRDefault="00E06378">
      <w:pPr>
        <w:pStyle w:val="TM4"/>
        <w:tabs>
          <w:tab w:val="right" w:leader="dot" w:pos="9630"/>
        </w:tabs>
        <w:rPr>
          <w:rFonts w:eastAsiaTheme="minorEastAsia"/>
          <w:noProof/>
          <w:lang w:eastAsia="fr-FR"/>
        </w:rPr>
      </w:pPr>
      <w:hyperlink w:anchor="_Toc175128544" w:history="1">
        <w:r w:rsidR="00912BAE">
          <w:rPr>
            <w:rStyle w:val="Lienhypertexte"/>
            <w:rFonts w:ascii="Rockwell" w:hAnsi="Rockwell"/>
            <w:b/>
            <w:noProof/>
          </w:rPr>
          <w:t>Paragraphe 9 : Manque de professionnalisme dans le traitement de l’information</w:t>
        </w:r>
        <w:r w:rsidR="00912BAE">
          <w:rPr>
            <w:noProof/>
          </w:rPr>
          <w:tab/>
        </w:r>
        <w:r w:rsidR="00912BAE">
          <w:rPr>
            <w:noProof/>
          </w:rPr>
          <w:fldChar w:fldCharType="begin"/>
        </w:r>
        <w:r w:rsidR="00912BAE">
          <w:rPr>
            <w:noProof/>
          </w:rPr>
          <w:instrText xml:space="preserve"> PAGEREF _Toc175128544 \h </w:instrText>
        </w:r>
        <w:r w:rsidR="00912BAE">
          <w:rPr>
            <w:noProof/>
          </w:rPr>
        </w:r>
        <w:r w:rsidR="00912BAE">
          <w:rPr>
            <w:noProof/>
          </w:rPr>
          <w:fldChar w:fldCharType="separate"/>
        </w:r>
        <w:r w:rsidR="00261767">
          <w:rPr>
            <w:noProof/>
          </w:rPr>
          <w:t>121</w:t>
        </w:r>
        <w:r w:rsidR="00912BAE">
          <w:rPr>
            <w:noProof/>
          </w:rPr>
          <w:fldChar w:fldCharType="end"/>
        </w:r>
      </w:hyperlink>
    </w:p>
    <w:p w14:paraId="2D32BA39" w14:textId="355F3C62" w:rsidR="00733207" w:rsidRDefault="00E06378">
      <w:pPr>
        <w:pStyle w:val="TM4"/>
        <w:tabs>
          <w:tab w:val="right" w:leader="dot" w:pos="9630"/>
        </w:tabs>
        <w:rPr>
          <w:rFonts w:eastAsiaTheme="minorEastAsia"/>
          <w:noProof/>
          <w:lang w:eastAsia="fr-FR"/>
        </w:rPr>
      </w:pPr>
      <w:hyperlink w:anchor="_Toc175128545" w:history="1">
        <w:r w:rsidR="00912BAE">
          <w:rPr>
            <w:rStyle w:val="Lienhypertexte"/>
            <w:rFonts w:ascii="Rockwell" w:hAnsi="Rockwell"/>
            <w:b/>
            <w:noProof/>
          </w:rPr>
          <w:t>Paragraphe 10 : La désinformation</w:t>
        </w:r>
        <w:r w:rsidR="00912BAE">
          <w:rPr>
            <w:noProof/>
          </w:rPr>
          <w:tab/>
        </w:r>
        <w:r w:rsidR="00912BAE">
          <w:rPr>
            <w:noProof/>
          </w:rPr>
          <w:fldChar w:fldCharType="begin"/>
        </w:r>
        <w:r w:rsidR="00912BAE">
          <w:rPr>
            <w:noProof/>
          </w:rPr>
          <w:instrText xml:space="preserve"> PAGEREF _Toc175128545 \h </w:instrText>
        </w:r>
        <w:r w:rsidR="00912BAE">
          <w:rPr>
            <w:noProof/>
          </w:rPr>
        </w:r>
        <w:r w:rsidR="00912BAE">
          <w:rPr>
            <w:noProof/>
          </w:rPr>
          <w:fldChar w:fldCharType="separate"/>
        </w:r>
        <w:r w:rsidR="00261767">
          <w:rPr>
            <w:noProof/>
          </w:rPr>
          <w:t>121</w:t>
        </w:r>
        <w:r w:rsidR="00912BAE">
          <w:rPr>
            <w:noProof/>
          </w:rPr>
          <w:fldChar w:fldCharType="end"/>
        </w:r>
      </w:hyperlink>
    </w:p>
    <w:p w14:paraId="0E1EE684" w14:textId="44FEB4ED" w:rsidR="00733207" w:rsidRDefault="00E06378">
      <w:pPr>
        <w:pStyle w:val="TM1"/>
        <w:tabs>
          <w:tab w:val="right" w:leader="dot" w:pos="9630"/>
        </w:tabs>
        <w:rPr>
          <w:rFonts w:cstheme="minorBidi"/>
          <w:noProof/>
        </w:rPr>
      </w:pPr>
      <w:hyperlink w:anchor="_Toc175128546" w:history="1">
        <w:r w:rsidR="00912BAE">
          <w:rPr>
            <w:rStyle w:val="Lienhypertexte"/>
            <w:rFonts w:ascii="Rockwell" w:hAnsi="Rockwell"/>
            <w:b/>
            <w:noProof/>
          </w:rPr>
          <w:t>TROISIEME PARTIE : RENCONTRES, COOPERATION ET PARTENARIAT</w:t>
        </w:r>
        <w:r w:rsidR="00912BAE">
          <w:rPr>
            <w:noProof/>
          </w:rPr>
          <w:tab/>
        </w:r>
        <w:r w:rsidR="00912BAE">
          <w:rPr>
            <w:noProof/>
          </w:rPr>
          <w:fldChar w:fldCharType="begin"/>
        </w:r>
        <w:r w:rsidR="00912BAE">
          <w:rPr>
            <w:noProof/>
          </w:rPr>
          <w:instrText xml:space="preserve"> PAGEREF _Toc175128546 \h </w:instrText>
        </w:r>
        <w:r w:rsidR="00912BAE">
          <w:rPr>
            <w:noProof/>
          </w:rPr>
        </w:r>
        <w:r w:rsidR="00912BAE">
          <w:rPr>
            <w:noProof/>
          </w:rPr>
          <w:fldChar w:fldCharType="separate"/>
        </w:r>
        <w:r w:rsidR="00261767">
          <w:rPr>
            <w:noProof/>
          </w:rPr>
          <w:t>122</w:t>
        </w:r>
        <w:r w:rsidR="00912BAE">
          <w:rPr>
            <w:noProof/>
          </w:rPr>
          <w:fldChar w:fldCharType="end"/>
        </w:r>
      </w:hyperlink>
    </w:p>
    <w:p w14:paraId="527E0635" w14:textId="285D0C59" w:rsidR="00733207" w:rsidRDefault="00E06378">
      <w:pPr>
        <w:pStyle w:val="TM2"/>
        <w:rPr>
          <w:rFonts w:cstheme="minorBidi"/>
          <w:noProof/>
        </w:rPr>
      </w:pPr>
      <w:hyperlink w:anchor="_Toc175128547" w:history="1">
        <w:r w:rsidR="00912BAE">
          <w:rPr>
            <w:rStyle w:val="Lienhypertexte"/>
            <w:rFonts w:ascii="Rockwell" w:hAnsi="Rockwell"/>
            <w:b/>
            <w:noProof/>
          </w:rPr>
          <w:t>CHAPITRE I : RENCONTRES AU PLAN NATIONAL</w:t>
        </w:r>
        <w:r w:rsidR="00912BAE">
          <w:rPr>
            <w:noProof/>
          </w:rPr>
          <w:tab/>
          <w:t>…………………………………………….</w:t>
        </w:r>
        <w:r w:rsidR="00912BAE">
          <w:rPr>
            <w:noProof/>
          </w:rPr>
          <w:tab/>
        </w:r>
        <w:r w:rsidR="00912BAE">
          <w:rPr>
            <w:noProof/>
          </w:rPr>
          <w:fldChar w:fldCharType="begin"/>
        </w:r>
        <w:r w:rsidR="00912BAE">
          <w:rPr>
            <w:noProof/>
          </w:rPr>
          <w:instrText xml:space="preserve"> PAGEREF _Toc175128547 \h </w:instrText>
        </w:r>
        <w:r w:rsidR="00912BAE">
          <w:rPr>
            <w:noProof/>
          </w:rPr>
        </w:r>
        <w:r w:rsidR="00912BAE">
          <w:rPr>
            <w:noProof/>
          </w:rPr>
          <w:fldChar w:fldCharType="separate"/>
        </w:r>
        <w:r w:rsidR="00261767">
          <w:rPr>
            <w:noProof/>
          </w:rPr>
          <w:t>123</w:t>
        </w:r>
        <w:r w:rsidR="00912BAE">
          <w:rPr>
            <w:noProof/>
          </w:rPr>
          <w:fldChar w:fldCharType="end"/>
        </w:r>
      </w:hyperlink>
    </w:p>
    <w:p w14:paraId="47C0F832" w14:textId="604AE0C6" w:rsidR="00733207" w:rsidRDefault="00E06378">
      <w:pPr>
        <w:pStyle w:val="TM3"/>
        <w:tabs>
          <w:tab w:val="right" w:leader="dot" w:pos="9630"/>
        </w:tabs>
        <w:rPr>
          <w:rFonts w:cstheme="minorBidi"/>
          <w:noProof/>
        </w:rPr>
      </w:pPr>
      <w:hyperlink w:anchor="_Toc175128548" w:history="1">
        <w:r w:rsidR="00912BAE">
          <w:rPr>
            <w:rStyle w:val="Lienhypertexte"/>
            <w:rFonts w:ascii="Rockwell" w:hAnsi="Rockwell"/>
            <w:i/>
            <w:noProof/>
          </w:rPr>
          <w:t>SECTION 1 : AUDIENCES DU PRESIDENT</w:t>
        </w:r>
        <w:r w:rsidR="00912BAE">
          <w:rPr>
            <w:noProof/>
          </w:rPr>
          <w:tab/>
        </w:r>
        <w:r w:rsidR="00912BAE">
          <w:rPr>
            <w:noProof/>
          </w:rPr>
          <w:fldChar w:fldCharType="begin"/>
        </w:r>
        <w:r w:rsidR="00912BAE">
          <w:rPr>
            <w:noProof/>
          </w:rPr>
          <w:instrText xml:space="preserve"> PAGEREF _Toc175128548 \h </w:instrText>
        </w:r>
        <w:r w:rsidR="00912BAE">
          <w:rPr>
            <w:noProof/>
          </w:rPr>
        </w:r>
        <w:r w:rsidR="00912BAE">
          <w:rPr>
            <w:noProof/>
          </w:rPr>
          <w:fldChar w:fldCharType="separate"/>
        </w:r>
        <w:r w:rsidR="00261767">
          <w:rPr>
            <w:noProof/>
          </w:rPr>
          <w:t>123</w:t>
        </w:r>
        <w:r w:rsidR="00912BAE">
          <w:rPr>
            <w:noProof/>
          </w:rPr>
          <w:fldChar w:fldCharType="end"/>
        </w:r>
      </w:hyperlink>
    </w:p>
    <w:p w14:paraId="50FE60F1" w14:textId="5204C74C" w:rsidR="00733207" w:rsidRDefault="00E06378">
      <w:pPr>
        <w:pStyle w:val="TM4"/>
        <w:tabs>
          <w:tab w:val="right" w:leader="dot" w:pos="9630"/>
        </w:tabs>
        <w:rPr>
          <w:rFonts w:eastAsiaTheme="minorEastAsia"/>
          <w:noProof/>
          <w:lang w:eastAsia="fr-FR"/>
        </w:rPr>
      </w:pPr>
      <w:hyperlink w:anchor="_Toc175128549" w:history="1">
        <w:r w:rsidR="00912BAE">
          <w:rPr>
            <w:rStyle w:val="Lienhypertexte"/>
            <w:rFonts w:ascii="Rockwell" w:hAnsi="Rockwell"/>
            <w:b/>
            <w:noProof/>
          </w:rPr>
          <w:t>Paragraphe 1 : Avec les représentants de Canal+ Burkina</w:t>
        </w:r>
        <w:r w:rsidR="00912BAE">
          <w:rPr>
            <w:noProof/>
          </w:rPr>
          <w:tab/>
        </w:r>
        <w:r w:rsidR="00912BAE">
          <w:rPr>
            <w:noProof/>
          </w:rPr>
          <w:fldChar w:fldCharType="begin"/>
        </w:r>
        <w:r w:rsidR="00912BAE">
          <w:rPr>
            <w:noProof/>
          </w:rPr>
          <w:instrText xml:space="preserve"> PAGEREF _Toc175128549 \h </w:instrText>
        </w:r>
        <w:r w:rsidR="00912BAE">
          <w:rPr>
            <w:noProof/>
          </w:rPr>
        </w:r>
        <w:r w:rsidR="00912BAE">
          <w:rPr>
            <w:noProof/>
          </w:rPr>
          <w:fldChar w:fldCharType="separate"/>
        </w:r>
        <w:r w:rsidR="00261767">
          <w:rPr>
            <w:noProof/>
          </w:rPr>
          <w:t>123</w:t>
        </w:r>
        <w:r w:rsidR="00912BAE">
          <w:rPr>
            <w:noProof/>
          </w:rPr>
          <w:fldChar w:fldCharType="end"/>
        </w:r>
      </w:hyperlink>
    </w:p>
    <w:p w14:paraId="49D9E208" w14:textId="45C829E1" w:rsidR="00733207" w:rsidRDefault="00E06378">
      <w:pPr>
        <w:pStyle w:val="TM4"/>
        <w:tabs>
          <w:tab w:val="right" w:leader="dot" w:pos="9630"/>
        </w:tabs>
        <w:rPr>
          <w:rFonts w:eastAsiaTheme="minorEastAsia"/>
          <w:noProof/>
          <w:lang w:eastAsia="fr-FR"/>
        </w:rPr>
      </w:pPr>
      <w:hyperlink w:anchor="_Toc175128550" w:history="1">
        <w:r w:rsidR="00912BAE">
          <w:rPr>
            <w:rStyle w:val="Lienhypertexte"/>
            <w:rFonts w:ascii="Rockwell" w:hAnsi="Rockwell"/>
            <w:b/>
            <w:noProof/>
          </w:rPr>
          <w:t>Paragraphe 2 : </w:t>
        </w:r>
        <w:r w:rsidR="00912BAE">
          <w:rPr>
            <w:rStyle w:val="Lienhypertexte"/>
            <w:rFonts w:ascii="Rockwell" w:eastAsia="Calibri" w:hAnsi="Rockwell"/>
            <w:b/>
            <w:noProof/>
          </w:rPr>
          <w:t>Avec la délégation du système des Nations unies</w:t>
        </w:r>
        <w:r w:rsidR="00912BAE">
          <w:rPr>
            <w:noProof/>
          </w:rPr>
          <w:tab/>
        </w:r>
        <w:r w:rsidR="00912BAE">
          <w:rPr>
            <w:noProof/>
          </w:rPr>
          <w:fldChar w:fldCharType="begin"/>
        </w:r>
        <w:r w:rsidR="00912BAE">
          <w:rPr>
            <w:noProof/>
          </w:rPr>
          <w:instrText xml:space="preserve"> PAGEREF _Toc175128550 \h </w:instrText>
        </w:r>
        <w:r w:rsidR="00912BAE">
          <w:rPr>
            <w:noProof/>
          </w:rPr>
        </w:r>
        <w:r w:rsidR="00912BAE">
          <w:rPr>
            <w:noProof/>
          </w:rPr>
          <w:fldChar w:fldCharType="separate"/>
        </w:r>
        <w:r w:rsidR="00261767">
          <w:rPr>
            <w:noProof/>
          </w:rPr>
          <w:t>124</w:t>
        </w:r>
        <w:r w:rsidR="00912BAE">
          <w:rPr>
            <w:noProof/>
          </w:rPr>
          <w:fldChar w:fldCharType="end"/>
        </w:r>
      </w:hyperlink>
    </w:p>
    <w:p w14:paraId="46C116A3" w14:textId="3171F456" w:rsidR="00733207" w:rsidRDefault="00E06378">
      <w:pPr>
        <w:pStyle w:val="TM4"/>
        <w:tabs>
          <w:tab w:val="right" w:leader="dot" w:pos="9630"/>
        </w:tabs>
        <w:rPr>
          <w:rFonts w:eastAsiaTheme="minorEastAsia"/>
          <w:noProof/>
          <w:lang w:eastAsia="fr-FR"/>
        </w:rPr>
      </w:pPr>
      <w:hyperlink w:anchor="_Toc175128551" w:history="1">
        <w:r w:rsidR="00912BAE">
          <w:rPr>
            <w:rStyle w:val="Lienhypertexte"/>
            <w:rFonts w:ascii="Rockwell" w:hAnsi="Rockwell"/>
            <w:b/>
            <w:noProof/>
          </w:rPr>
          <w:t xml:space="preserve">Paragraphe 3 : </w:t>
        </w:r>
        <w:r w:rsidR="00912BAE">
          <w:rPr>
            <w:rStyle w:val="Lienhypertexte"/>
            <w:rFonts w:ascii="Rockwell" w:eastAsia="Calibri" w:hAnsi="Rockwell"/>
            <w:b/>
            <w:noProof/>
          </w:rPr>
          <w:t>Des échanges avec l’ARCEP sur des sujets d’intérêt commun</w:t>
        </w:r>
        <w:r w:rsidR="00912BAE">
          <w:rPr>
            <w:noProof/>
          </w:rPr>
          <w:tab/>
        </w:r>
        <w:r w:rsidR="00912BAE">
          <w:rPr>
            <w:noProof/>
          </w:rPr>
          <w:fldChar w:fldCharType="begin"/>
        </w:r>
        <w:r w:rsidR="00912BAE">
          <w:rPr>
            <w:noProof/>
          </w:rPr>
          <w:instrText xml:space="preserve"> PAGEREF _Toc175128551 \h </w:instrText>
        </w:r>
        <w:r w:rsidR="00912BAE">
          <w:rPr>
            <w:noProof/>
          </w:rPr>
        </w:r>
        <w:r w:rsidR="00912BAE">
          <w:rPr>
            <w:noProof/>
          </w:rPr>
          <w:fldChar w:fldCharType="separate"/>
        </w:r>
        <w:r w:rsidR="00261767">
          <w:rPr>
            <w:noProof/>
          </w:rPr>
          <w:t>124</w:t>
        </w:r>
        <w:r w:rsidR="00912BAE">
          <w:rPr>
            <w:noProof/>
          </w:rPr>
          <w:fldChar w:fldCharType="end"/>
        </w:r>
      </w:hyperlink>
    </w:p>
    <w:p w14:paraId="788E3ADC" w14:textId="52EBC8A2" w:rsidR="00733207" w:rsidRDefault="00E06378">
      <w:pPr>
        <w:pStyle w:val="TM4"/>
        <w:tabs>
          <w:tab w:val="right" w:leader="dot" w:pos="9630"/>
        </w:tabs>
        <w:rPr>
          <w:rFonts w:eastAsiaTheme="minorEastAsia"/>
          <w:noProof/>
          <w:lang w:eastAsia="fr-FR"/>
        </w:rPr>
      </w:pPr>
      <w:hyperlink w:anchor="_Toc175128552" w:history="1">
        <w:r w:rsidR="00912BAE">
          <w:rPr>
            <w:rStyle w:val="Lienhypertexte"/>
            <w:rFonts w:ascii="Rockwell" w:hAnsi="Rockwell"/>
            <w:b/>
            <w:noProof/>
          </w:rPr>
          <w:t xml:space="preserve">Paragraphe 4 : </w:t>
        </w:r>
        <w:r w:rsidR="00912BAE">
          <w:rPr>
            <w:rStyle w:val="Lienhypertexte"/>
            <w:rFonts w:ascii="Rockwell" w:eastAsia="Calibri" w:hAnsi="Rockwell"/>
            <w:b/>
            <w:noProof/>
          </w:rPr>
          <w:t>Avec le Directeur général de la SBT</w:t>
        </w:r>
        <w:r w:rsidR="00912BAE">
          <w:rPr>
            <w:noProof/>
          </w:rPr>
          <w:tab/>
        </w:r>
        <w:r w:rsidR="00912BAE">
          <w:rPr>
            <w:noProof/>
          </w:rPr>
          <w:fldChar w:fldCharType="begin"/>
        </w:r>
        <w:r w:rsidR="00912BAE">
          <w:rPr>
            <w:noProof/>
          </w:rPr>
          <w:instrText xml:space="preserve"> PAGEREF _Toc175128552 \h </w:instrText>
        </w:r>
        <w:r w:rsidR="00912BAE">
          <w:rPr>
            <w:noProof/>
          </w:rPr>
        </w:r>
        <w:r w:rsidR="00912BAE">
          <w:rPr>
            <w:noProof/>
          </w:rPr>
          <w:fldChar w:fldCharType="separate"/>
        </w:r>
        <w:r w:rsidR="00261767">
          <w:rPr>
            <w:noProof/>
          </w:rPr>
          <w:t>125</w:t>
        </w:r>
        <w:r w:rsidR="00912BAE">
          <w:rPr>
            <w:noProof/>
          </w:rPr>
          <w:fldChar w:fldCharType="end"/>
        </w:r>
      </w:hyperlink>
    </w:p>
    <w:p w14:paraId="03750D5A" w14:textId="16783DA8" w:rsidR="00733207" w:rsidRDefault="00E06378">
      <w:pPr>
        <w:pStyle w:val="TM4"/>
        <w:tabs>
          <w:tab w:val="right" w:leader="dot" w:pos="9630"/>
        </w:tabs>
        <w:rPr>
          <w:rFonts w:eastAsiaTheme="minorEastAsia"/>
          <w:noProof/>
          <w:lang w:eastAsia="fr-FR"/>
        </w:rPr>
      </w:pPr>
      <w:hyperlink w:anchor="_Toc175128553" w:history="1">
        <w:r w:rsidR="00912BAE">
          <w:rPr>
            <w:rStyle w:val="Lienhypertexte"/>
            <w:rFonts w:ascii="Rockwell" w:hAnsi="Rockwell"/>
            <w:b/>
            <w:noProof/>
          </w:rPr>
          <w:t xml:space="preserve">Paragraphe 5 : </w:t>
        </w:r>
        <w:r w:rsidR="00912BAE">
          <w:rPr>
            <w:rStyle w:val="Lienhypertexte"/>
            <w:rFonts w:ascii="Rockwell" w:eastAsia="Calibri" w:hAnsi="Rockwell"/>
            <w:b/>
            <w:noProof/>
          </w:rPr>
          <w:t>Avec une délégation de la SEP</w:t>
        </w:r>
        <w:r w:rsidR="00912BAE">
          <w:rPr>
            <w:noProof/>
          </w:rPr>
          <w:tab/>
        </w:r>
        <w:r w:rsidR="00912BAE">
          <w:rPr>
            <w:noProof/>
          </w:rPr>
          <w:fldChar w:fldCharType="begin"/>
        </w:r>
        <w:r w:rsidR="00912BAE">
          <w:rPr>
            <w:noProof/>
          </w:rPr>
          <w:instrText xml:space="preserve"> PAGEREF _Toc175128553 \h </w:instrText>
        </w:r>
        <w:r w:rsidR="00912BAE">
          <w:rPr>
            <w:noProof/>
          </w:rPr>
        </w:r>
        <w:r w:rsidR="00912BAE">
          <w:rPr>
            <w:noProof/>
          </w:rPr>
          <w:fldChar w:fldCharType="separate"/>
        </w:r>
        <w:r w:rsidR="00261767">
          <w:rPr>
            <w:noProof/>
          </w:rPr>
          <w:t>125</w:t>
        </w:r>
        <w:r w:rsidR="00912BAE">
          <w:rPr>
            <w:noProof/>
          </w:rPr>
          <w:fldChar w:fldCharType="end"/>
        </w:r>
      </w:hyperlink>
    </w:p>
    <w:p w14:paraId="3C8DD9E3" w14:textId="023984E4" w:rsidR="00733207" w:rsidRDefault="00E06378">
      <w:pPr>
        <w:pStyle w:val="TM4"/>
        <w:tabs>
          <w:tab w:val="right" w:leader="dot" w:pos="9630"/>
        </w:tabs>
        <w:rPr>
          <w:rFonts w:eastAsiaTheme="minorEastAsia"/>
          <w:noProof/>
          <w:lang w:eastAsia="fr-FR"/>
        </w:rPr>
      </w:pPr>
      <w:hyperlink w:anchor="_Toc175128554" w:history="1">
        <w:r w:rsidR="00912BAE">
          <w:rPr>
            <w:rStyle w:val="Lienhypertexte"/>
            <w:rFonts w:ascii="Rockwell" w:hAnsi="Rockwell"/>
            <w:b/>
            <w:noProof/>
          </w:rPr>
          <w:t>Paragraphe 6 :</w:t>
        </w:r>
        <w:r w:rsidR="00912BAE">
          <w:rPr>
            <w:rStyle w:val="Lienhypertexte"/>
            <w:rFonts w:ascii="Rockwell" w:eastAsia="Calibri" w:hAnsi="Rockwell"/>
            <w:b/>
            <w:noProof/>
          </w:rPr>
          <w:t xml:space="preserve"> Avec le Directeur de la Communication de la Présidence du Faso</w:t>
        </w:r>
        <w:r w:rsidR="00912BAE">
          <w:rPr>
            <w:noProof/>
          </w:rPr>
          <w:tab/>
        </w:r>
        <w:r w:rsidR="00912BAE">
          <w:rPr>
            <w:noProof/>
          </w:rPr>
          <w:fldChar w:fldCharType="begin"/>
        </w:r>
        <w:r w:rsidR="00912BAE">
          <w:rPr>
            <w:noProof/>
          </w:rPr>
          <w:instrText xml:space="preserve"> PAGEREF _Toc175128554 \h </w:instrText>
        </w:r>
        <w:r w:rsidR="00912BAE">
          <w:rPr>
            <w:noProof/>
          </w:rPr>
        </w:r>
        <w:r w:rsidR="00912BAE">
          <w:rPr>
            <w:noProof/>
          </w:rPr>
          <w:fldChar w:fldCharType="separate"/>
        </w:r>
        <w:r w:rsidR="00261767">
          <w:rPr>
            <w:noProof/>
          </w:rPr>
          <w:t>126</w:t>
        </w:r>
        <w:r w:rsidR="00912BAE">
          <w:rPr>
            <w:noProof/>
          </w:rPr>
          <w:fldChar w:fldCharType="end"/>
        </w:r>
      </w:hyperlink>
    </w:p>
    <w:p w14:paraId="28ECA90A" w14:textId="1D4716C4" w:rsidR="00733207" w:rsidRDefault="00E06378">
      <w:pPr>
        <w:pStyle w:val="TM4"/>
        <w:tabs>
          <w:tab w:val="right" w:leader="dot" w:pos="9630"/>
        </w:tabs>
        <w:rPr>
          <w:rFonts w:eastAsiaTheme="minorEastAsia"/>
          <w:noProof/>
          <w:lang w:eastAsia="fr-FR"/>
        </w:rPr>
      </w:pPr>
      <w:hyperlink w:anchor="_Toc175128555" w:history="1">
        <w:r w:rsidR="00912BAE">
          <w:rPr>
            <w:rStyle w:val="Lienhypertexte"/>
            <w:rFonts w:ascii="Rockwell" w:hAnsi="Rockwell"/>
            <w:b/>
            <w:noProof/>
          </w:rPr>
          <w:t xml:space="preserve">Paragraphe 7 : </w:t>
        </w:r>
        <w:r w:rsidR="00912BAE">
          <w:rPr>
            <w:rStyle w:val="Lienhypertexte"/>
            <w:rFonts w:ascii="Rockwell" w:eastAsia="Calibri" w:hAnsi="Rockwell"/>
            <w:b/>
            <w:noProof/>
          </w:rPr>
          <w:t>Avec le Président de la communauté Ahmadiyya</w:t>
        </w:r>
        <w:r w:rsidR="00912BAE">
          <w:rPr>
            <w:noProof/>
          </w:rPr>
          <w:tab/>
        </w:r>
        <w:r w:rsidR="00912BAE">
          <w:rPr>
            <w:noProof/>
          </w:rPr>
          <w:fldChar w:fldCharType="begin"/>
        </w:r>
        <w:r w:rsidR="00912BAE">
          <w:rPr>
            <w:noProof/>
          </w:rPr>
          <w:instrText xml:space="preserve"> PAGEREF _Toc175128555 \h </w:instrText>
        </w:r>
        <w:r w:rsidR="00912BAE">
          <w:rPr>
            <w:noProof/>
          </w:rPr>
        </w:r>
        <w:r w:rsidR="00912BAE">
          <w:rPr>
            <w:noProof/>
          </w:rPr>
          <w:fldChar w:fldCharType="separate"/>
        </w:r>
        <w:r w:rsidR="00261767">
          <w:rPr>
            <w:noProof/>
          </w:rPr>
          <w:t>126</w:t>
        </w:r>
        <w:r w:rsidR="00912BAE">
          <w:rPr>
            <w:noProof/>
          </w:rPr>
          <w:fldChar w:fldCharType="end"/>
        </w:r>
      </w:hyperlink>
    </w:p>
    <w:p w14:paraId="1A1DBABA" w14:textId="4A8AA5E4" w:rsidR="00733207" w:rsidRDefault="00E06378">
      <w:pPr>
        <w:pStyle w:val="TM4"/>
        <w:tabs>
          <w:tab w:val="right" w:leader="dot" w:pos="9630"/>
        </w:tabs>
        <w:rPr>
          <w:rFonts w:eastAsiaTheme="minorEastAsia"/>
          <w:noProof/>
          <w:lang w:eastAsia="fr-FR"/>
        </w:rPr>
      </w:pPr>
      <w:hyperlink w:anchor="_Toc175128556" w:history="1">
        <w:r w:rsidR="00912BAE">
          <w:rPr>
            <w:rStyle w:val="Lienhypertexte"/>
            <w:rFonts w:ascii="Rockwell" w:hAnsi="Rockwell"/>
            <w:b/>
            <w:noProof/>
          </w:rPr>
          <w:t xml:space="preserve">Paragraphe 8 : </w:t>
        </w:r>
        <w:r w:rsidR="00912BAE">
          <w:rPr>
            <w:rStyle w:val="Lienhypertexte"/>
            <w:rFonts w:ascii="Rockwell" w:eastAsia="Calibri" w:hAnsi="Rockwell"/>
            <w:b/>
            <w:noProof/>
          </w:rPr>
          <w:t xml:space="preserve">Avec un animateur de la </w:t>
        </w:r>
        <w:r w:rsidR="00912BAE">
          <w:rPr>
            <w:rStyle w:val="Lienhypertexte"/>
            <w:rFonts w:ascii="Rockwell" w:eastAsia="Calibri" w:hAnsi="Rockwell" w:cs="Times New Roman"/>
            <w:b/>
            <w:noProof/>
          </w:rPr>
          <w:t>radio Wat FM</w:t>
        </w:r>
        <w:r w:rsidR="00912BAE">
          <w:rPr>
            <w:noProof/>
          </w:rPr>
          <w:tab/>
        </w:r>
        <w:r w:rsidR="00912BAE">
          <w:rPr>
            <w:noProof/>
          </w:rPr>
          <w:fldChar w:fldCharType="begin"/>
        </w:r>
        <w:r w:rsidR="00912BAE">
          <w:rPr>
            <w:noProof/>
          </w:rPr>
          <w:instrText xml:space="preserve"> PAGEREF _Toc175128556 \h </w:instrText>
        </w:r>
        <w:r w:rsidR="00912BAE">
          <w:rPr>
            <w:noProof/>
          </w:rPr>
        </w:r>
        <w:r w:rsidR="00912BAE">
          <w:rPr>
            <w:noProof/>
          </w:rPr>
          <w:fldChar w:fldCharType="separate"/>
        </w:r>
        <w:r w:rsidR="00261767">
          <w:rPr>
            <w:noProof/>
          </w:rPr>
          <w:t>127</w:t>
        </w:r>
        <w:r w:rsidR="00912BAE">
          <w:rPr>
            <w:noProof/>
          </w:rPr>
          <w:fldChar w:fldCharType="end"/>
        </w:r>
      </w:hyperlink>
    </w:p>
    <w:p w14:paraId="01914019" w14:textId="108DB60E" w:rsidR="00733207" w:rsidRDefault="00E06378">
      <w:pPr>
        <w:pStyle w:val="TM4"/>
        <w:tabs>
          <w:tab w:val="right" w:leader="dot" w:pos="9630"/>
        </w:tabs>
        <w:rPr>
          <w:rFonts w:eastAsiaTheme="minorEastAsia"/>
          <w:noProof/>
          <w:lang w:eastAsia="fr-FR"/>
        </w:rPr>
      </w:pPr>
      <w:hyperlink w:anchor="_Toc175128557" w:history="1">
        <w:r w:rsidR="00912BAE">
          <w:rPr>
            <w:rStyle w:val="Lienhypertexte"/>
            <w:rFonts w:ascii="Rockwell" w:hAnsi="Rockwell"/>
            <w:b/>
            <w:noProof/>
          </w:rPr>
          <w:t xml:space="preserve">Paragraphe 9 : </w:t>
        </w:r>
        <w:r w:rsidR="00912BAE">
          <w:rPr>
            <w:rStyle w:val="Lienhypertexte"/>
            <w:rFonts w:ascii="Rockwell" w:eastAsia="Calibri" w:hAnsi="Rockwell"/>
            <w:b/>
            <w:noProof/>
          </w:rPr>
          <w:t>Avec le lauréat de la 25</w:t>
        </w:r>
        <w:r w:rsidR="00912BAE">
          <w:rPr>
            <w:rStyle w:val="Lienhypertexte"/>
            <w:rFonts w:ascii="Rockwell" w:eastAsia="Calibri" w:hAnsi="Rockwell"/>
            <w:b/>
            <w:noProof/>
            <w:vertAlign w:val="superscript"/>
          </w:rPr>
          <w:t>e</w:t>
        </w:r>
        <w:r w:rsidR="00912BAE">
          <w:rPr>
            <w:rStyle w:val="Lienhypertexte"/>
            <w:rFonts w:ascii="Rockwell" w:eastAsia="Calibri" w:hAnsi="Rockwell"/>
            <w:b/>
            <w:noProof/>
          </w:rPr>
          <w:t xml:space="preserve"> édition des prix Galian et des journalistes écrivains</w:t>
        </w:r>
        <w:r w:rsidR="00912BAE">
          <w:rPr>
            <w:noProof/>
          </w:rPr>
          <w:tab/>
        </w:r>
        <w:r w:rsidR="00912BAE">
          <w:rPr>
            <w:noProof/>
          </w:rPr>
          <w:fldChar w:fldCharType="begin"/>
        </w:r>
        <w:r w:rsidR="00912BAE">
          <w:rPr>
            <w:noProof/>
          </w:rPr>
          <w:instrText xml:space="preserve"> PAGEREF _Toc175128557 \h </w:instrText>
        </w:r>
        <w:r w:rsidR="00912BAE">
          <w:rPr>
            <w:noProof/>
          </w:rPr>
        </w:r>
        <w:r w:rsidR="00912BAE">
          <w:rPr>
            <w:noProof/>
          </w:rPr>
          <w:fldChar w:fldCharType="separate"/>
        </w:r>
        <w:r w:rsidR="00261767">
          <w:rPr>
            <w:noProof/>
          </w:rPr>
          <w:t>127</w:t>
        </w:r>
        <w:r w:rsidR="00912BAE">
          <w:rPr>
            <w:noProof/>
          </w:rPr>
          <w:fldChar w:fldCharType="end"/>
        </w:r>
      </w:hyperlink>
    </w:p>
    <w:p w14:paraId="3C54C058" w14:textId="75ACE750" w:rsidR="00733207" w:rsidRDefault="00E06378">
      <w:pPr>
        <w:pStyle w:val="TM4"/>
        <w:tabs>
          <w:tab w:val="right" w:leader="dot" w:pos="9630"/>
        </w:tabs>
        <w:rPr>
          <w:rFonts w:eastAsiaTheme="minorEastAsia"/>
          <w:noProof/>
          <w:lang w:eastAsia="fr-FR"/>
        </w:rPr>
      </w:pPr>
      <w:hyperlink w:anchor="_Toc175128558" w:history="1">
        <w:r w:rsidR="00912BAE">
          <w:rPr>
            <w:rStyle w:val="Lienhypertexte"/>
            <w:rFonts w:ascii="Rockwell" w:hAnsi="Rockwell"/>
            <w:b/>
            <w:noProof/>
          </w:rPr>
          <w:t xml:space="preserve">Paragraphe 10 : </w:t>
        </w:r>
        <w:r w:rsidR="00912BAE">
          <w:rPr>
            <w:rStyle w:val="Lienhypertexte"/>
            <w:rFonts w:ascii="Rockwell" w:eastAsia="Calibri" w:hAnsi="Rockwell"/>
            <w:b/>
            <w:noProof/>
          </w:rPr>
          <w:t>Le Président reçoit une délégation de la Banque africaine de développement (BAD)</w:t>
        </w:r>
        <w:r w:rsidR="00912BAE">
          <w:rPr>
            <w:noProof/>
          </w:rPr>
          <w:tab/>
        </w:r>
        <w:r w:rsidR="00912BAE">
          <w:rPr>
            <w:noProof/>
          </w:rPr>
          <w:fldChar w:fldCharType="begin"/>
        </w:r>
        <w:r w:rsidR="00912BAE">
          <w:rPr>
            <w:noProof/>
          </w:rPr>
          <w:instrText xml:space="preserve"> PAGEREF _Toc175128558 \h </w:instrText>
        </w:r>
        <w:r w:rsidR="00912BAE">
          <w:rPr>
            <w:noProof/>
          </w:rPr>
        </w:r>
        <w:r w:rsidR="00912BAE">
          <w:rPr>
            <w:noProof/>
          </w:rPr>
          <w:fldChar w:fldCharType="separate"/>
        </w:r>
        <w:r w:rsidR="00261767">
          <w:rPr>
            <w:noProof/>
          </w:rPr>
          <w:t>128</w:t>
        </w:r>
        <w:r w:rsidR="00912BAE">
          <w:rPr>
            <w:noProof/>
          </w:rPr>
          <w:fldChar w:fldCharType="end"/>
        </w:r>
      </w:hyperlink>
    </w:p>
    <w:p w14:paraId="1A63D1D4" w14:textId="2E979619" w:rsidR="00733207" w:rsidRDefault="00E06378">
      <w:pPr>
        <w:pStyle w:val="TM3"/>
        <w:tabs>
          <w:tab w:val="right" w:leader="dot" w:pos="9630"/>
        </w:tabs>
        <w:rPr>
          <w:rFonts w:cstheme="minorBidi"/>
          <w:noProof/>
        </w:rPr>
      </w:pPr>
      <w:hyperlink w:anchor="_Toc175128559" w:history="1">
        <w:r w:rsidR="00912BAE">
          <w:rPr>
            <w:rStyle w:val="Lienhypertexte"/>
            <w:rFonts w:ascii="Rockwell" w:hAnsi="Rockwell"/>
            <w:i/>
            <w:noProof/>
          </w:rPr>
          <w:t>SECTION 2 : TOURNEES DANS LES MEDIAS ET VISITES DE COURTOISIE</w:t>
        </w:r>
        <w:r w:rsidR="00912BAE">
          <w:rPr>
            <w:noProof/>
          </w:rPr>
          <w:tab/>
        </w:r>
        <w:r w:rsidR="00912BAE">
          <w:rPr>
            <w:noProof/>
          </w:rPr>
          <w:fldChar w:fldCharType="begin"/>
        </w:r>
        <w:r w:rsidR="00912BAE">
          <w:rPr>
            <w:noProof/>
          </w:rPr>
          <w:instrText xml:space="preserve"> PAGEREF _Toc175128559 \h </w:instrText>
        </w:r>
        <w:r w:rsidR="00912BAE">
          <w:rPr>
            <w:noProof/>
          </w:rPr>
        </w:r>
        <w:r w:rsidR="00912BAE">
          <w:rPr>
            <w:noProof/>
          </w:rPr>
          <w:fldChar w:fldCharType="separate"/>
        </w:r>
        <w:r w:rsidR="00261767">
          <w:rPr>
            <w:noProof/>
          </w:rPr>
          <w:t>129</w:t>
        </w:r>
        <w:r w:rsidR="00912BAE">
          <w:rPr>
            <w:noProof/>
          </w:rPr>
          <w:fldChar w:fldCharType="end"/>
        </w:r>
      </w:hyperlink>
    </w:p>
    <w:p w14:paraId="02757980" w14:textId="7F6D3A41" w:rsidR="00733207" w:rsidRDefault="00E06378">
      <w:pPr>
        <w:pStyle w:val="TM4"/>
        <w:tabs>
          <w:tab w:val="right" w:leader="dot" w:pos="9630"/>
        </w:tabs>
        <w:rPr>
          <w:rFonts w:eastAsiaTheme="minorEastAsia"/>
          <w:noProof/>
          <w:lang w:eastAsia="fr-FR"/>
        </w:rPr>
      </w:pPr>
      <w:hyperlink w:anchor="_Toc175128560" w:history="1">
        <w:r w:rsidR="00912BAE">
          <w:rPr>
            <w:rStyle w:val="Lienhypertexte"/>
            <w:rFonts w:ascii="Rockwell" w:eastAsia="Calibri" w:hAnsi="Rockwell"/>
            <w:b/>
            <w:noProof/>
          </w:rPr>
          <w:t>Paragraphe1 : Tournées dans les médias et participation à des événements médiatiques</w:t>
        </w:r>
        <w:r w:rsidR="00912BAE">
          <w:rPr>
            <w:noProof/>
          </w:rPr>
          <w:tab/>
        </w:r>
        <w:r w:rsidR="00912BAE">
          <w:rPr>
            <w:noProof/>
          </w:rPr>
          <w:fldChar w:fldCharType="begin"/>
        </w:r>
        <w:r w:rsidR="00912BAE">
          <w:rPr>
            <w:noProof/>
          </w:rPr>
          <w:instrText xml:space="preserve"> PAGEREF _Toc175128560 \h </w:instrText>
        </w:r>
        <w:r w:rsidR="00912BAE">
          <w:rPr>
            <w:noProof/>
          </w:rPr>
        </w:r>
        <w:r w:rsidR="00912BAE">
          <w:rPr>
            <w:noProof/>
          </w:rPr>
          <w:fldChar w:fldCharType="separate"/>
        </w:r>
        <w:r w:rsidR="00261767">
          <w:rPr>
            <w:noProof/>
          </w:rPr>
          <w:t>129</w:t>
        </w:r>
        <w:r w:rsidR="00912BAE">
          <w:rPr>
            <w:noProof/>
          </w:rPr>
          <w:fldChar w:fldCharType="end"/>
        </w:r>
      </w:hyperlink>
    </w:p>
    <w:p w14:paraId="6FC2E1EA" w14:textId="7C717220" w:rsidR="00733207" w:rsidRDefault="00E06378">
      <w:pPr>
        <w:pStyle w:val="TM4"/>
        <w:tabs>
          <w:tab w:val="right" w:leader="dot" w:pos="9630"/>
        </w:tabs>
        <w:rPr>
          <w:rFonts w:eastAsiaTheme="minorEastAsia"/>
          <w:noProof/>
          <w:lang w:eastAsia="fr-FR"/>
        </w:rPr>
      </w:pPr>
      <w:hyperlink w:anchor="_Toc175128561" w:history="1">
        <w:r w:rsidR="00912BAE">
          <w:rPr>
            <w:rStyle w:val="Lienhypertexte"/>
            <w:rFonts w:ascii="Rockwell" w:hAnsi="Rockwell" w:cs="Times New Roman"/>
            <w:b/>
            <w:noProof/>
          </w:rPr>
          <w:t>Paragraphe 2 : Visites de courtoisie</w:t>
        </w:r>
        <w:r w:rsidR="00912BAE">
          <w:rPr>
            <w:noProof/>
          </w:rPr>
          <w:tab/>
        </w:r>
        <w:r w:rsidR="00912BAE">
          <w:rPr>
            <w:noProof/>
          </w:rPr>
          <w:fldChar w:fldCharType="begin"/>
        </w:r>
        <w:r w:rsidR="00912BAE">
          <w:rPr>
            <w:noProof/>
          </w:rPr>
          <w:instrText xml:space="preserve"> PAGEREF _Toc175128561 \h </w:instrText>
        </w:r>
        <w:r w:rsidR="00912BAE">
          <w:rPr>
            <w:noProof/>
          </w:rPr>
        </w:r>
        <w:r w:rsidR="00912BAE">
          <w:rPr>
            <w:noProof/>
          </w:rPr>
          <w:fldChar w:fldCharType="separate"/>
        </w:r>
        <w:r w:rsidR="00261767">
          <w:rPr>
            <w:noProof/>
          </w:rPr>
          <w:t>132</w:t>
        </w:r>
        <w:r w:rsidR="00912BAE">
          <w:rPr>
            <w:noProof/>
          </w:rPr>
          <w:fldChar w:fldCharType="end"/>
        </w:r>
      </w:hyperlink>
    </w:p>
    <w:p w14:paraId="2261B39D" w14:textId="39998A4B" w:rsidR="00733207" w:rsidRDefault="00E06378">
      <w:pPr>
        <w:pStyle w:val="TM5"/>
        <w:tabs>
          <w:tab w:val="right" w:leader="dot" w:pos="9630"/>
        </w:tabs>
        <w:rPr>
          <w:rFonts w:eastAsiaTheme="minorEastAsia"/>
          <w:noProof/>
          <w:lang w:eastAsia="fr-FR"/>
        </w:rPr>
      </w:pPr>
      <w:hyperlink w:anchor="_Toc175128562" w:history="1">
        <w:r w:rsidR="00912BAE">
          <w:rPr>
            <w:rStyle w:val="Lienhypertexte"/>
            <w:rFonts w:ascii="Rockwell" w:hAnsi="Rockwell"/>
            <w:noProof/>
          </w:rPr>
          <w:t>2.1.</w:t>
        </w:r>
        <w:r w:rsidR="00912BAE">
          <w:rPr>
            <w:rStyle w:val="Lienhypertexte"/>
            <w:rFonts w:ascii="Rockwell" w:eastAsia="Calibri" w:hAnsi="Rockwell"/>
            <w:noProof/>
          </w:rPr>
          <w:t xml:space="preserve"> A Madame la ministre en charge de la Justice</w:t>
        </w:r>
        <w:r w:rsidR="00912BAE">
          <w:rPr>
            <w:noProof/>
          </w:rPr>
          <w:tab/>
        </w:r>
        <w:r w:rsidR="00912BAE">
          <w:rPr>
            <w:noProof/>
          </w:rPr>
          <w:fldChar w:fldCharType="begin"/>
        </w:r>
        <w:r w:rsidR="00912BAE">
          <w:rPr>
            <w:noProof/>
          </w:rPr>
          <w:instrText xml:space="preserve"> PAGEREF _Toc175128562 \h </w:instrText>
        </w:r>
        <w:r w:rsidR="00912BAE">
          <w:rPr>
            <w:noProof/>
          </w:rPr>
        </w:r>
        <w:r w:rsidR="00912BAE">
          <w:rPr>
            <w:noProof/>
          </w:rPr>
          <w:fldChar w:fldCharType="separate"/>
        </w:r>
        <w:r w:rsidR="00261767">
          <w:rPr>
            <w:noProof/>
          </w:rPr>
          <w:t>132</w:t>
        </w:r>
        <w:r w:rsidR="00912BAE">
          <w:rPr>
            <w:noProof/>
          </w:rPr>
          <w:fldChar w:fldCharType="end"/>
        </w:r>
      </w:hyperlink>
    </w:p>
    <w:p w14:paraId="19346448" w14:textId="36846E97" w:rsidR="00733207" w:rsidRDefault="00E06378">
      <w:pPr>
        <w:pStyle w:val="TM5"/>
        <w:tabs>
          <w:tab w:val="left" w:pos="1540"/>
          <w:tab w:val="right" w:leader="dot" w:pos="9630"/>
        </w:tabs>
        <w:rPr>
          <w:rFonts w:eastAsiaTheme="minorEastAsia"/>
          <w:noProof/>
          <w:lang w:eastAsia="fr-FR"/>
        </w:rPr>
      </w:pPr>
      <w:hyperlink w:anchor="_Toc175128563" w:history="1">
        <w:r w:rsidR="00912BAE">
          <w:rPr>
            <w:rStyle w:val="Lienhypertexte"/>
            <w:rFonts w:ascii="Rockwell" w:hAnsi="Rockwell"/>
            <w:noProof/>
          </w:rPr>
          <w:t>2.1.</w:t>
        </w:r>
        <w:r w:rsidR="00912BAE">
          <w:rPr>
            <w:rFonts w:eastAsiaTheme="minorEastAsia"/>
            <w:noProof/>
            <w:lang w:eastAsia="fr-FR"/>
          </w:rPr>
          <w:tab/>
        </w:r>
        <w:r w:rsidR="00912BAE">
          <w:rPr>
            <w:rStyle w:val="Lienhypertexte"/>
            <w:rFonts w:ascii="Rockwell" w:eastAsia="Calibri" w:hAnsi="Rockwell"/>
            <w:noProof/>
          </w:rPr>
          <w:t xml:space="preserve">A la </w:t>
        </w:r>
        <w:r w:rsidR="00912BAE">
          <w:rPr>
            <w:rStyle w:val="Lienhypertexte"/>
            <w:rFonts w:ascii="Rockwell" w:hAnsi="Rockwell"/>
            <w:noProof/>
          </w:rPr>
          <w:t>Brigade numérique de veille, d’alerte et d’assistance de la Gendarmerie nationale (BNVAA)</w:t>
        </w:r>
        <w:r w:rsidR="00912BAE">
          <w:rPr>
            <w:noProof/>
          </w:rPr>
          <w:tab/>
        </w:r>
        <w:r w:rsidR="00912BAE">
          <w:rPr>
            <w:noProof/>
          </w:rPr>
          <w:fldChar w:fldCharType="begin"/>
        </w:r>
        <w:r w:rsidR="00912BAE">
          <w:rPr>
            <w:noProof/>
          </w:rPr>
          <w:instrText xml:space="preserve"> PAGEREF _Toc175128563 \h </w:instrText>
        </w:r>
        <w:r w:rsidR="00912BAE">
          <w:rPr>
            <w:noProof/>
          </w:rPr>
        </w:r>
        <w:r w:rsidR="00912BAE">
          <w:rPr>
            <w:noProof/>
          </w:rPr>
          <w:fldChar w:fldCharType="separate"/>
        </w:r>
        <w:r w:rsidR="00261767">
          <w:rPr>
            <w:noProof/>
          </w:rPr>
          <w:t>133</w:t>
        </w:r>
        <w:r w:rsidR="00912BAE">
          <w:rPr>
            <w:noProof/>
          </w:rPr>
          <w:fldChar w:fldCharType="end"/>
        </w:r>
      </w:hyperlink>
    </w:p>
    <w:p w14:paraId="09F7D442" w14:textId="74A7A4C1" w:rsidR="00733207" w:rsidRDefault="00E06378">
      <w:pPr>
        <w:pStyle w:val="TM2"/>
        <w:rPr>
          <w:rFonts w:cstheme="minorBidi"/>
          <w:noProof/>
        </w:rPr>
      </w:pPr>
      <w:hyperlink w:anchor="_Toc175128564" w:history="1">
        <w:r w:rsidR="00912BAE">
          <w:rPr>
            <w:rStyle w:val="Lienhypertexte"/>
            <w:rFonts w:ascii="Rockwell" w:hAnsi="Rockwell"/>
            <w:b/>
            <w:noProof/>
          </w:rPr>
          <w:t>CHAPITRE II : COOPERATION ET PARTENARIAT</w:t>
        </w:r>
        <w:r w:rsidR="00912BAE">
          <w:rPr>
            <w:noProof/>
          </w:rPr>
          <w:tab/>
        </w:r>
        <w:r w:rsidR="00912BAE">
          <w:rPr>
            <w:noProof/>
          </w:rPr>
          <w:fldChar w:fldCharType="begin"/>
        </w:r>
        <w:r w:rsidR="00912BAE">
          <w:rPr>
            <w:noProof/>
          </w:rPr>
          <w:instrText xml:space="preserve"> PAGEREF _Toc175128564 \h </w:instrText>
        </w:r>
        <w:r w:rsidR="00912BAE">
          <w:rPr>
            <w:noProof/>
          </w:rPr>
        </w:r>
        <w:r w:rsidR="00912BAE">
          <w:rPr>
            <w:noProof/>
          </w:rPr>
          <w:fldChar w:fldCharType="separate"/>
        </w:r>
        <w:r w:rsidR="00261767">
          <w:rPr>
            <w:noProof/>
          </w:rPr>
          <w:t>134</w:t>
        </w:r>
        <w:r w:rsidR="00912BAE">
          <w:rPr>
            <w:noProof/>
          </w:rPr>
          <w:fldChar w:fldCharType="end"/>
        </w:r>
      </w:hyperlink>
    </w:p>
    <w:p w14:paraId="0396A100" w14:textId="6A02F700" w:rsidR="00733207" w:rsidRDefault="00E06378">
      <w:pPr>
        <w:pStyle w:val="TM3"/>
        <w:tabs>
          <w:tab w:val="right" w:leader="dot" w:pos="9630"/>
        </w:tabs>
        <w:rPr>
          <w:rFonts w:cstheme="minorBidi"/>
          <w:noProof/>
        </w:rPr>
      </w:pPr>
      <w:hyperlink w:anchor="_Toc175128565" w:history="1">
        <w:r w:rsidR="00912BAE">
          <w:rPr>
            <w:rStyle w:val="Lienhypertexte"/>
            <w:rFonts w:ascii="Rockwell" w:hAnsi="Rockwell"/>
            <w:i/>
            <w:noProof/>
          </w:rPr>
          <w:t>SECTION 1 : COOPERATION AU PLAN NATIONAL</w:t>
        </w:r>
        <w:r w:rsidR="00912BAE">
          <w:rPr>
            <w:noProof/>
          </w:rPr>
          <w:tab/>
        </w:r>
        <w:r w:rsidR="00912BAE">
          <w:rPr>
            <w:noProof/>
          </w:rPr>
          <w:fldChar w:fldCharType="begin"/>
        </w:r>
        <w:r w:rsidR="00912BAE">
          <w:rPr>
            <w:noProof/>
          </w:rPr>
          <w:instrText xml:space="preserve"> PAGEREF _Toc175128565 \h </w:instrText>
        </w:r>
        <w:r w:rsidR="00912BAE">
          <w:rPr>
            <w:noProof/>
          </w:rPr>
        </w:r>
        <w:r w:rsidR="00912BAE">
          <w:rPr>
            <w:noProof/>
          </w:rPr>
          <w:fldChar w:fldCharType="separate"/>
        </w:r>
        <w:r w:rsidR="00261767">
          <w:rPr>
            <w:noProof/>
          </w:rPr>
          <w:t>134</w:t>
        </w:r>
        <w:r w:rsidR="00912BAE">
          <w:rPr>
            <w:noProof/>
          </w:rPr>
          <w:fldChar w:fldCharType="end"/>
        </w:r>
      </w:hyperlink>
    </w:p>
    <w:p w14:paraId="44AB393E" w14:textId="38303BF0" w:rsidR="00733207" w:rsidRDefault="00E06378">
      <w:pPr>
        <w:pStyle w:val="TM4"/>
        <w:tabs>
          <w:tab w:val="right" w:leader="dot" w:pos="9630"/>
        </w:tabs>
        <w:rPr>
          <w:rFonts w:eastAsiaTheme="minorEastAsia"/>
          <w:noProof/>
          <w:lang w:eastAsia="fr-FR"/>
        </w:rPr>
      </w:pPr>
      <w:hyperlink w:anchor="_Toc175128566" w:history="1">
        <w:r w:rsidR="00912BAE">
          <w:rPr>
            <w:rStyle w:val="Lienhypertexte"/>
            <w:rFonts w:ascii="Rockwell" w:hAnsi="Rockwell" w:cs="Times New Roman"/>
            <w:b/>
            <w:noProof/>
          </w:rPr>
          <w:t>Paragraphe 1 : coopération avec le Japon</w:t>
        </w:r>
        <w:r w:rsidR="00912BAE">
          <w:rPr>
            <w:noProof/>
          </w:rPr>
          <w:tab/>
        </w:r>
        <w:r w:rsidR="00912BAE">
          <w:rPr>
            <w:noProof/>
          </w:rPr>
          <w:fldChar w:fldCharType="begin"/>
        </w:r>
        <w:r w:rsidR="00912BAE">
          <w:rPr>
            <w:noProof/>
          </w:rPr>
          <w:instrText xml:space="preserve"> PAGEREF _Toc175128566 \h </w:instrText>
        </w:r>
        <w:r w:rsidR="00912BAE">
          <w:rPr>
            <w:noProof/>
          </w:rPr>
        </w:r>
        <w:r w:rsidR="00912BAE">
          <w:rPr>
            <w:noProof/>
          </w:rPr>
          <w:fldChar w:fldCharType="separate"/>
        </w:r>
        <w:r w:rsidR="00261767">
          <w:rPr>
            <w:noProof/>
          </w:rPr>
          <w:t>134</w:t>
        </w:r>
        <w:r w:rsidR="00912BAE">
          <w:rPr>
            <w:noProof/>
          </w:rPr>
          <w:fldChar w:fldCharType="end"/>
        </w:r>
      </w:hyperlink>
    </w:p>
    <w:p w14:paraId="77BFDADC" w14:textId="354C8C90" w:rsidR="00733207" w:rsidRDefault="00E06378">
      <w:pPr>
        <w:pStyle w:val="TM4"/>
        <w:tabs>
          <w:tab w:val="right" w:leader="dot" w:pos="9630"/>
        </w:tabs>
        <w:rPr>
          <w:rFonts w:eastAsiaTheme="minorEastAsia"/>
          <w:noProof/>
          <w:lang w:eastAsia="fr-FR"/>
        </w:rPr>
      </w:pPr>
      <w:hyperlink w:anchor="_Toc175128567" w:history="1">
        <w:r w:rsidR="00912BAE">
          <w:rPr>
            <w:rStyle w:val="Lienhypertexte"/>
            <w:rFonts w:ascii="Rockwell" w:hAnsi="Rockwell"/>
            <w:b/>
            <w:noProof/>
          </w:rPr>
          <w:t>Paragraphe 2 : coopération avec le Programme des Nations Unies pour le Développement (PNUD)</w:t>
        </w:r>
        <w:r w:rsidR="00912BAE">
          <w:rPr>
            <w:noProof/>
          </w:rPr>
          <w:tab/>
        </w:r>
        <w:r w:rsidR="00912BAE">
          <w:rPr>
            <w:noProof/>
          </w:rPr>
          <w:fldChar w:fldCharType="begin"/>
        </w:r>
        <w:r w:rsidR="00912BAE">
          <w:rPr>
            <w:noProof/>
          </w:rPr>
          <w:instrText xml:space="preserve"> PAGEREF _Toc175128567 \h </w:instrText>
        </w:r>
        <w:r w:rsidR="00912BAE">
          <w:rPr>
            <w:noProof/>
          </w:rPr>
        </w:r>
        <w:r w:rsidR="00912BAE">
          <w:rPr>
            <w:noProof/>
          </w:rPr>
          <w:fldChar w:fldCharType="separate"/>
        </w:r>
        <w:r w:rsidR="00261767">
          <w:rPr>
            <w:noProof/>
          </w:rPr>
          <w:t>135</w:t>
        </w:r>
        <w:r w:rsidR="00912BAE">
          <w:rPr>
            <w:noProof/>
          </w:rPr>
          <w:fldChar w:fldCharType="end"/>
        </w:r>
      </w:hyperlink>
    </w:p>
    <w:p w14:paraId="163C13E0" w14:textId="6A5B6B3F" w:rsidR="00733207" w:rsidRDefault="00E06378">
      <w:pPr>
        <w:pStyle w:val="TM3"/>
        <w:tabs>
          <w:tab w:val="right" w:leader="dot" w:pos="9630"/>
        </w:tabs>
        <w:rPr>
          <w:rFonts w:cstheme="minorBidi"/>
          <w:noProof/>
        </w:rPr>
      </w:pPr>
      <w:hyperlink w:anchor="_Toc175128568" w:history="1">
        <w:r w:rsidR="00912BAE">
          <w:rPr>
            <w:rStyle w:val="Lienhypertexte"/>
            <w:rFonts w:ascii="Rockwell" w:hAnsi="Rockwell"/>
            <w:i/>
            <w:noProof/>
          </w:rPr>
          <w:t>SECTION 2 : COOPERATION AU NIVEAU SOUS-REGIONAL ET REGIONAL</w:t>
        </w:r>
        <w:r w:rsidR="00912BAE">
          <w:rPr>
            <w:noProof/>
          </w:rPr>
          <w:tab/>
        </w:r>
        <w:r w:rsidR="00912BAE">
          <w:rPr>
            <w:noProof/>
          </w:rPr>
          <w:fldChar w:fldCharType="begin"/>
        </w:r>
        <w:r w:rsidR="00912BAE">
          <w:rPr>
            <w:noProof/>
          </w:rPr>
          <w:instrText xml:space="preserve"> PAGEREF _Toc175128568 \h </w:instrText>
        </w:r>
        <w:r w:rsidR="00912BAE">
          <w:rPr>
            <w:noProof/>
          </w:rPr>
        </w:r>
        <w:r w:rsidR="00912BAE">
          <w:rPr>
            <w:noProof/>
          </w:rPr>
          <w:fldChar w:fldCharType="separate"/>
        </w:r>
        <w:r w:rsidR="00261767">
          <w:rPr>
            <w:noProof/>
          </w:rPr>
          <w:t>136</w:t>
        </w:r>
        <w:r w:rsidR="00912BAE">
          <w:rPr>
            <w:noProof/>
          </w:rPr>
          <w:fldChar w:fldCharType="end"/>
        </w:r>
      </w:hyperlink>
    </w:p>
    <w:p w14:paraId="19D325DC" w14:textId="4008CA9F" w:rsidR="00733207" w:rsidRDefault="00E06378">
      <w:pPr>
        <w:pStyle w:val="TM4"/>
        <w:tabs>
          <w:tab w:val="right" w:leader="dot" w:pos="9630"/>
        </w:tabs>
        <w:rPr>
          <w:rFonts w:eastAsiaTheme="minorEastAsia"/>
          <w:noProof/>
          <w:lang w:eastAsia="fr-FR"/>
        </w:rPr>
      </w:pPr>
      <w:hyperlink w:anchor="_Toc175128569" w:history="1">
        <w:r w:rsidR="00912BAE">
          <w:rPr>
            <w:rStyle w:val="Lienhypertexte"/>
            <w:rFonts w:ascii="Rockwell" w:hAnsi="Rockwell" w:cs="Times New Roman"/>
            <w:b/>
            <w:noProof/>
          </w:rPr>
          <w:t>Paragraphe 1 : participation du CSC aux activités des réseaux</w:t>
        </w:r>
        <w:r w:rsidR="00912BAE">
          <w:rPr>
            <w:noProof/>
          </w:rPr>
          <w:tab/>
        </w:r>
        <w:r w:rsidR="00912BAE">
          <w:rPr>
            <w:noProof/>
          </w:rPr>
          <w:fldChar w:fldCharType="begin"/>
        </w:r>
        <w:r w:rsidR="00912BAE">
          <w:rPr>
            <w:noProof/>
          </w:rPr>
          <w:instrText xml:space="preserve"> PAGEREF _Toc175128569 \h </w:instrText>
        </w:r>
        <w:r w:rsidR="00912BAE">
          <w:rPr>
            <w:noProof/>
          </w:rPr>
        </w:r>
        <w:r w:rsidR="00912BAE">
          <w:rPr>
            <w:noProof/>
          </w:rPr>
          <w:fldChar w:fldCharType="separate"/>
        </w:r>
        <w:r w:rsidR="00261767">
          <w:rPr>
            <w:noProof/>
          </w:rPr>
          <w:t>136</w:t>
        </w:r>
        <w:r w:rsidR="00912BAE">
          <w:rPr>
            <w:noProof/>
          </w:rPr>
          <w:fldChar w:fldCharType="end"/>
        </w:r>
      </w:hyperlink>
    </w:p>
    <w:p w14:paraId="54602636" w14:textId="1F1D6540" w:rsidR="00733207" w:rsidRDefault="00E06378">
      <w:pPr>
        <w:pStyle w:val="TM5"/>
        <w:tabs>
          <w:tab w:val="left" w:pos="1540"/>
          <w:tab w:val="right" w:leader="dot" w:pos="9630"/>
        </w:tabs>
        <w:rPr>
          <w:rFonts w:eastAsiaTheme="minorEastAsia"/>
          <w:noProof/>
          <w:lang w:eastAsia="fr-FR"/>
        </w:rPr>
      </w:pPr>
      <w:hyperlink w:anchor="_Toc175128570" w:history="1">
        <w:r w:rsidR="00912BAE">
          <w:rPr>
            <w:rStyle w:val="Lienhypertexte"/>
            <w:rFonts w:ascii="Rockwell" w:hAnsi="Rockwell"/>
            <w:noProof/>
          </w:rPr>
          <w:t>1.1.</w:t>
        </w:r>
        <w:r w:rsidR="00912BAE">
          <w:rPr>
            <w:rFonts w:eastAsiaTheme="minorEastAsia"/>
            <w:noProof/>
            <w:lang w:eastAsia="fr-FR"/>
          </w:rPr>
          <w:tab/>
        </w:r>
        <w:r w:rsidR="00912BAE">
          <w:rPr>
            <w:rStyle w:val="Lienhypertexte"/>
            <w:rFonts w:ascii="Rockwell" w:hAnsi="Rockwell"/>
            <w:noProof/>
          </w:rPr>
          <w:t>Participation à la conférence internationale de Fès au Maroc</w:t>
        </w:r>
        <w:r w:rsidR="00912BAE">
          <w:rPr>
            <w:noProof/>
          </w:rPr>
          <w:tab/>
        </w:r>
        <w:r w:rsidR="00912BAE">
          <w:rPr>
            <w:noProof/>
          </w:rPr>
          <w:fldChar w:fldCharType="begin"/>
        </w:r>
        <w:r w:rsidR="00912BAE">
          <w:rPr>
            <w:noProof/>
          </w:rPr>
          <w:instrText xml:space="preserve"> PAGEREF _Toc175128570 \h </w:instrText>
        </w:r>
        <w:r w:rsidR="00912BAE">
          <w:rPr>
            <w:noProof/>
          </w:rPr>
        </w:r>
        <w:r w:rsidR="00912BAE">
          <w:rPr>
            <w:noProof/>
          </w:rPr>
          <w:fldChar w:fldCharType="separate"/>
        </w:r>
        <w:r w:rsidR="00261767">
          <w:rPr>
            <w:noProof/>
          </w:rPr>
          <w:t>136</w:t>
        </w:r>
        <w:r w:rsidR="00912BAE">
          <w:rPr>
            <w:noProof/>
          </w:rPr>
          <w:fldChar w:fldCharType="end"/>
        </w:r>
      </w:hyperlink>
    </w:p>
    <w:p w14:paraId="07A6D5CA" w14:textId="6CCA3F37" w:rsidR="00733207" w:rsidRDefault="00E06378">
      <w:pPr>
        <w:pStyle w:val="TM5"/>
        <w:tabs>
          <w:tab w:val="left" w:pos="1540"/>
          <w:tab w:val="right" w:leader="dot" w:pos="9630"/>
        </w:tabs>
        <w:rPr>
          <w:rFonts w:eastAsiaTheme="minorEastAsia"/>
          <w:noProof/>
          <w:lang w:eastAsia="fr-FR"/>
        </w:rPr>
      </w:pPr>
      <w:hyperlink w:anchor="_Toc175128571" w:history="1">
        <w:r w:rsidR="00912BAE">
          <w:rPr>
            <w:rStyle w:val="Lienhypertexte"/>
            <w:rFonts w:ascii="Rockwell" w:hAnsi="Rockwell"/>
            <w:noProof/>
          </w:rPr>
          <w:t>1.2.</w:t>
        </w:r>
        <w:r w:rsidR="00912BAE">
          <w:rPr>
            <w:rFonts w:eastAsiaTheme="minorEastAsia"/>
            <w:noProof/>
            <w:lang w:eastAsia="fr-FR"/>
          </w:rPr>
          <w:tab/>
        </w:r>
        <w:r w:rsidR="00912BAE">
          <w:rPr>
            <w:rStyle w:val="Lienhypertexte"/>
            <w:rFonts w:ascii="Rockwell" w:hAnsi="Rockwell"/>
            <w:noProof/>
          </w:rPr>
          <w:t>Participation au colloque international d’Abidjan</w:t>
        </w:r>
        <w:r w:rsidR="00912BAE">
          <w:rPr>
            <w:noProof/>
          </w:rPr>
          <w:tab/>
        </w:r>
        <w:r w:rsidR="00912BAE">
          <w:rPr>
            <w:noProof/>
          </w:rPr>
          <w:fldChar w:fldCharType="begin"/>
        </w:r>
        <w:r w:rsidR="00912BAE">
          <w:rPr>
            <w:noProof/>
          </w:rPr>
          <w:instrText xml:space="preserve"> PAGEREF _Toc175128571 \h </w:instrText>
        </w:r>
        <w:r w:rsidR="00912BAE">
          <w:rPr>
            <w:noProof/>
          </w:rPr>
        </w:r>
        <w:r w:rsidR="00912BAE">
          <w:rPr>
            <w:noProof/>
          </w:rPr>
          <w:fldChar w:fldCharType="separate"/>
        </w:r>
        <w:r w:rsidR="00261767">
          <w:rPr>
            <w:noProof/>
          </w:rPr>
          <w:t>137</w:t>
        </w:r>
        <w:r w:rsidR="00912BAE">
          <w:rPr>
            <w:noProof/>
          </w:rPr>
          <w:fldChar w:fldCharType="end"/>
        </w:r>
      </w:hyperlink>
    </w:p>
    <w:p w14:paraId="266456A3" w14:textId="158C2913" w:rsidR="00733207" w:rsidRDefault="00E06378">
      <w:pPr>
        <w:pStyle w:val="TM5"/>
        <w:tabs>
          <w:tab w:val="left" w:pos="1540"/>
          <w:tab w:val="right" w:leader="dot" w:pos="9630"/>
        </w:tabs>
        <w:rPr>
          <w:rFonts w:eastAsiaTheme="minorEastAsia"/>
          <w:noProof/>
          <w:lang w:eastAsia="fr-FR"/>
        </w:rPr>
      </w:pPr>
      <w:hyperlink w:anchor="_Toc175128572" w:history="1">
        <w:r w:rsidR="00912BAE">
          <w:rPr>
            <w:rStyle w:val="Lienhypertexte"/>
            <w:rFonts w:ascii="Rockwell" w:hAnsi="Rockwell"/>
            <w:noProof/>
          </w:rPr>
          <w:t>1.3.</w:t>
        </w:r>
        <w:r w:rsidR="00912BAE">
          <w:rPr>
            <w:rFonts w:eastAsiaTheme="minorEastAsia"/>
            <w:noProof/>
            <w:lang w:eastAsia="fr-FR"/>
          </w:rPr>
          <w:tab/>
        </w:r>
        <w:r w:rsidR="00912BAE">
          <w:rPr>
            <w:rStyle w:val="Lienhypertexte"/>
            <w:rFonts w:ascii="Rockwell" w:hAnsi="Rockwell"/>
            <w:noProof/>
          </w:rPr>
          <w:t>Participation au colloque international du REFRAM sur le cadre juridique de la régulation des contenus en ligne</w:t>
        </w:r>
        <w:r w:rsidR="00912BAE">
          <w:rPr>
            <w:noProof/>
          </w:rPr>
          <w:tab/>
        </w:r>
        <w:r w:rsidR="00912BAE">
          <w:rPr>
            <w:noProof/>
          </w:rPr>
          <w:fldChar w:fldCharType="begin"/>
        </w:r>
        <w:r w:rsidR="00912BAE">
          <w:rPr>
            <w:noProof/>
          </w:rPr>
          <w:instrText xml:space="preserve"> PAGEREF _Toc175128572 \h </w:instrText>
        </w:r>
        <w:r w:rsidR="00912BAE">
          <w:rPr>
            <w:noProof/>
          </w:rPr>
        </w:r>
        <w:r w:rsidR="00912BAE">
          <w:rPr>
            <w:noProof/>
          </w:rPr>
          <w:fldChar w:fldCharType="separate"/>
        </w:r>
        <w:r w:rsidR="00261767">
          <w:rPr>
            <w:noProof/>
          </w:rPr>
          <w:t>138</w:t>
        </w:r>
        <w:r w:rsidR="00912BAE">
          <w:rPr>
            <w:noProof/>
          </w:rPr>
          <w:fldChar w:fldCharType="end"/>
        </w:r>
      </w:hyperlink>
    </w:p>
    <w:p w14:paraId="725C8427" w14:textId="4FC75B33" w:rsidR="00733207" w:rsidRDefault="00E06378">
      <w:pPr>
        <w:pStyle w:val="TM4"/>
        <w:tabs>
          <w:tab w:val="right" w:leader="dot" w:pos="9630"/>
        </w:tabs>
        <w:rPr>
          <w:rFonts w:eastAsiaTheme="minorEastAsia"/>
          <w:noProof/>
          <w:lang w:eastAsia="fr-FR"/>
        </w:rPr>
      </w:pPr>
      <w:hyperlink w:anchor="_Toc175128573" w:history="1">
        <w:r w:rsidR="00912BAE">
          <w:rPr>
            <w:rStyle w:val="Lienhypertexte"/>
            <w:rFonts w:ascii="Rockwell" w:hAnsi="Rockwell" w:cs="Times New Roman"/>
            <w:b/>
            <w:noProof/>
          </w:rPr>
          <w:t>Paragraphe 2 : Coopération avec les instances de régulation dans l’espace sous régional</w:t>
        </w:r>
        <w:r w:rsidR="00912BAE">
          <w:rPr>
            <w:noProof/>
          </w:rPr>
          <w:tab/>
        </w:r>
        <w:r w:rsidR="00912BAE">
          <w:rPr>
            <w:noProof/>
          </w:rPr>
          <w:fldChar w:fldCharType="begin"/>
        </w:r>
        <w:r w:rsidR="00912BAE">
          <w:rPr>
            <w:noProof/>
          </w:rPr>
          <w:instrText xml:space="preserve"> PAGEREF _Toc175128573 \h </w:instrText>
        </w:r>
        <w:r w:rsidR="00912BAE">
          <w:rPr>
            <w:noProof/>
          </w:rPr>
        </w:r>
        <w:r w:rsidR="00912BAE">
          <w:rPr>
            <w:noProof/>
          </w:rPr>
          <w:fldChar w:fldCharType="separate"/>
        </w:r>
        <w:r w:rsidR="00261767">
          <w:rPr>
            <w:noProof/>
          </w:rPr>
          <w:t>139</w:t>
        </w:r>
        <w:r w:rsidR="00912BAE">
          <w:rPr>
            <w:noProof/>
          </w:rPr>
          <w:fldChar w:fldCharType="end"/>
        </w:r>
      </w:hyperlink>
    </w:p>
    <w:p w14:paraId="6246BD4F" w14:textId="50DB2169" w:rsidR="00733207" w:rsidRDefault="00E06378">
      <w:pPr>
        <w:pStyle w:val="TM5"/>
        <w:tabs>
          <w:tab w:val="left" w:pos="1540"/>
          <w:tab w:val="right" w:leader="dot" w:pos="9630"/>
        </w:tabs>
        <w:rPr>
          <w:rFonts w:eastAsiaTheme="minorEastAsia"/>
          <w:noProof/>
          <w:lang w:eastAsia="fr-FR"/>
        </w:rPr>
      </w:pPr>
      <w:hyperlink w:anchor="_Toc175128574" w:history="1">
        <w:r w:rsidR="00912BAE">
          <w:rPr>
            <w:rStyle w:val="Lienhypertexte"/>
            <w:rFonts w:ascii="Rockwell" w:hAnsi="Rockwell"/>
            <w:noProof/>
          </w:rPr>
          <w:t>2.1</w:t>
        </w:r>
        <w:r w:rsidR="00912BAE">
          <w:rPr>
            <w:rFonts w:eastAsiaTheme="minorEastAsia"/>
            <w:noProof/>
            <w:lang w:eastAsia="fr-FR"/>
          </w:rPr>
          <w:tab/>
        </w:r>
        <w:r w:rsidR="00912BAE">
          <w:rPr>
            <w:rStyle w:val="Lienhypertexte"/>
            <w:rFonts w:ascii="Rockwell" w:hAnsi="Rockwell"/>
            <w:noProof/>
          </w:rPr>
          <w:t>. Visite de travail à la Haute Autorité de la Communication Audiovisuelle (HACA) de Côte-d’Ivoire</w:t>
        </w:r>
        <w:r w:rsidR="00912BAE">
          <w:rPr>
            <w:noProof/>
          </w:rPr>
          <w:tab/>
        </w:r>
        <w:r w:rsidR="00912BAE">
          <w:rPr>
            <w:noProof/>
          </w:rPr>
          <w:fldChar w:fldCharType="begin"/>
        </w:r>
        <w:r w:rsidR="00912BAE">
          <w:rPr>
            <w:noProof/>
          </w:rPr>
          <w:instrText xml:space="preserve"> PAGEREF _Toc175128574 \h </w:instrText>
        </w:r>
        <w:r w:rsidR="00912BAE">
          <w:rPr>
            <w:noProof/>
          </w:rPr>
        </w:r>
        <w:r w:rsidR="00912BAE">
          <w:rPr>
            <w:noProof/>
          </w:rPr>
          <w:fldChar w:fldCharType="separate"/>
        </w:r>
        <w:r w:rsidR="00261767">
          <w:rPr>
            <w:noProof/>
          </w:rPr>
          <w:t>139</w:t>
        </w:r>
        <w:r w:rsidR="00912BAE">
          <w:rPr>
            <w:noProof/>
          </w:rPr>
          <w:fldChar w:fldCharType="end"/>
        </w:r>
      </w:hyperlink>
    </w:p>
    <w:p w14:paraId="4ED96454" w14:textId="1DE09A5C" w:rsidR="00733207" w:rsidRDefault="00E06378">
      <w:pPr>
        <w:pStyle w:val="TM5"/>
        <w:tabs>
          <w:tab w:val="right" w:leader="dot" w:pos="9630"/>
        </w:tabs>
        <w:rPr>
          <w:rFonts w:eastAsiaTheme="minorEastAsia"/>
          <w:noProof/>
          <w:lang w:eastAsia="fr-FR"/>
        </w:rPr>
      </w:pPr>
      <w:hyperlink w:anchor="_Toc175128575" w:history="1">
        <w:r w:rsidR="00912BAE">
          <w:rPr>
            <w:rStyle w:val="Lienhypertexte"/>
            <w:rFonts w:ascii="Rockwell" w:hAnsi="Rockwell"/>
            <w:noProof/>
          </w:rPr>
          <w:t>2.2. Organisation d’une table ronde</w:t>
        </w:r>
        <w:r w:rsidR="00912BAE">
          <w:rPr>
            <w:noProof/>
          </w:rPr>
          <w:tab/>
        </w:r>
        <w:r w:rsidR="00912BAE">
          <w:rPr>
            <w:noProof/>
          </w:rPr>
          <w:fldChar w:fldCharType="begin"/>
        </w:r>
        <w:r w:rsidR="00912BAE">
          <w:rPr>
            <w:noProof/>
          </w:rPr>
          <w:instrText xml:space="preserve"> PAGEREF _Toc175128575 \h </w:instrText>
        </w:r>
        <w:r w:rsidR="00912BAE">
          <w:rPr>
            <w:noProof/>
          </w:rPr>
        </w:r>
        <w:r w:rsidR="00912BAE">
          <w:rPr>
            <w:noProof/>
          </w:rPr>
          <w:fldChar w:fldCharType="separate"/>
        </w:r>
        <w:r w:rsidR="00261767">
          <w:rPr>
            <w:noProof/>
          </w:rPr>
          <w:t>141</w:t>
        </w:r>
        <w:r w:rsidR="00912BAE">
          <w:rPr>
            <w:noProof/>
          </w:rPr>
          <w:fldChar w:fldCharType="end"/>
        </w:r>
      </w:hyperlink>
    </w:p>
    <w:p w14:paraId="04EAC230" w14:textId="338796CA" w:rsidR="00733207" w:rsidRDefault="00E06378">
      <w:pPr>
        <w:pStyle w:val="TM5"/>
        <w:tabs>
          <w:tab w:val="right" w:leader="dot" w:pos="9630"/>
        </w:tabs>
        <w:rPr>
          <w:rFonts w:eastAsiaTheme="minorEastAsia"/>
          <w:noProof/>
          <w:lang w:eastAsia="fr-FR"/>
        </w:rPr>
      </w:pPr>
      <w:hyperlink w:anchor="_Toc175128576" w:history="1">
        <w:r w:rsidR="00912BAE">
          <w:rPr>
            <w:rStyle w:val="Lienhypertexte"/>
            <w:rFonts w:ascii="Rockwell" w:hAnsi="Rockwell"/>
            <w:noProof/>
          </w:rPr>
          <w:t>2.3. Participation au forum tripartite des instances de régulation des médias du Burkina Faso, de la Guinée et du Mali</w:t>
        </w:r>
        <w:r w:rsidR="00912BAE">
          <w:rPr>
            <w:noProof/>
          </w:rPr>
          <w:tab/>
        </w:r>
        <w:r w:rsidR="00912BAE">
          <w:rPr>
            <w:noProof/>
          </w:rPr>
          <w:fldChar w:fldCharType="begin"/>
        </w:r>
        <w:r w:rsidR="00912BAE">
          <w:rPr>
            <w:noProof/>
          </w:rPr>
          <w:instrText xml:space="preserve"> PAGEREF _Toc175128576 \h </w:instrText>
        </w:r>
        <w:r w:rsidR="00912BAE">
          <w:rPr>
            <w:noProof/>
          </w:rPr>
        </w:r>
        <w:r w:rsidR="00912BAE">
          <w:rPr>
            <w:noProof/>
          </w:rPr>
          <w:fldChar w:fldCharType="separate"/>
        </w:r>
        <w:r w:rsidR="00261767">
          <w:rPr>
            <w:noProof/>
          </w:rPr>
          <w:t>142</w:t>
        </w:r>
        <w:r w:rsidR="00912BAE">
          <w:rPr>
            <w:noProof/>
          </w:rPr>
          <w:fldChar w:fldCharType="end"/>
        </w:r>
      </w:hyperlink>
    </w:p>
    <w:p w14:paraId="3D284C7B" w14:textId="4ECD1D17" w:rsidR="00733207" w:rsidRDefault="00E06378">
      <w:pPr>
        <w:pStyle w:val="TM4"/>
        <w:tabs>
          <w:tab w:val="right" w:leader="dot" w:pos="9630"/>
        </w:tabs>
        <w:rPr>
          <w:rFonts w:eastAsiaTheme="minorEastAsia"/>
          <w:noProof/>
          <w:lang w:eastAsia="fr-FR"/>
        </w:rPr>
      </w:pPr>
      <w:hyperlink w:anchor="_Toc175128577" w:history="1">
        <w:r w:rsidR="00912BAE">
          <w:rPr>
            <w:rStyle w:val="Lienhypertexte"/>
            <w:rFonts w:ascii="Rockwell" w:hAnsi="Rockwell"/>
            <w:b/>
            <w:noProof/>
          </w:rPr>
          <w:t>Paragraphe 3 : Participation à d’autres rencontres d’intérêt</w:t>
        </w:r>
        <w:r w:rsidR="00912BAE">
          <w:rPr>
            <w:noProof/>
          </w:rPr>
          <w:tab/>
        </w:r>
        <w:r w:rsidR="00912BAE">
          <w:rPr>
            <w:noProof/>
          </w:rPr>
          <w:fldChar w:fldCharType="begin"/>
        </w:r>
        <w:r w:rsidR="00912BAE">
          <w:rPr>
            <w:noProof/>
          </w:rPr>
          <w:instrText xml:space="preserve"> PAGEREF _Toc175128577 \h </w:instrText>
        </w:r>
        <w:r w:rsidR="00912BAE">
          <w:rPr>
            <w:noProof/>
          </w:rPr>
        </w:r>
        <w:r w:rsidR="00912BAE">
          <w:rPr>
            <w:noProof/>
          </w:rPr>
          <w:fldChar w:fldCharType="separate"/>
        </w:r>
        <w:r w:rsidR="00261767">
          <w:rPr>
            <w:noProof/>
          </w:rPr>
          <w:t>142</w:t>
        </w:r>
        <w:r w:rsidR="00912BAE">
          <w:rPr>
            <w:noProof/>
          </w:rPr>
          <w:fldChar w:fldCharType="end"/>
        </w:r>
      </w:hyperlink>
    </w:p>
    <w:p w14:paraId="4E0AE87E" w14:textId="22DEDC4E" w:rsidR="00733207" w:rsidRDefault="00E06378">
      <w:pPr>
        <w:pStyle w:val="TM5"/>
        <w:tabs>
          <w:tab w:val="right" w:leader="dot" w:pos="9630"/>
        </w:tabs>
        <w:rPr>
          <w:rFonts w:eastAsiaTheme="minorEastAsia"/>
          <w:noProof/>
          <w:lang w:eastAsia="fr-FR"/>
        </w:rPr>
      </w:pPr>
      <w:hyperlink w:anchor="_Toc175128578" w:history="1">
        <w:r w:rsidR="00912BAE">
          <w:rPr>
            <w:rStyle w:val="Lienhypertexte"/>
            <w:rFonts w:ascii="Rockwell" w:hAnsi="Rockwell"/>
            <w:noProof/>
          </w:rPr>
          <w:t>3.1. Le colloque régional en République du Sénégal</w:t>
        </w:r>
        <w:r w:rsidR="00912BAE">
          <w:rPr>
            <w:noProof/>
          </w:rPr>
          <w:tab/>
        </w:r>
        <w:r w:rsidR="00912BAE">
          <w:rPr>
            <w:noProof/>
          </w:rPr>
          <w:fldChar w:fldCharType="begin"/>
        </w:r>
        <w:r w:rsidR="00912BAE">
          <w:rPr>
            <w:noProof/>
          </w:rPr>
          <w:instrText xml:space="preserve"> PAGEREF _Toc175128578 \h </w:instrText>
        </w:r>
        <w:r w:rsidR="00912BAE">
          <w:rPr>
            <w:noProof/>
          </w:rPr>
        </w:r>
        <w:r w:rsidR="00912BAE">
          <w:rPr>
            <w:noProof/>
          </w:rPr>
          <w:fldChar w:fldCharType="separate"/>
        </w:r>
        <w:r w:rsidR="00261767">
          <w:rPr>
            <w:noProof/>
          </w:rPr>
          <w:t>142</w:t>
        </w:r>
        <w:r w:rsidR="00912BAE">
          <w:rPr>
            <w:noProof/>
          </w:rPr>
          <w:fldChar w:fldCharType="end"/>
        </w:r>
      </w:hyperlink>
    </w:p>
    <w:p w14:paraId="13861380" w14:textId="16657803" w:rsidR="00733207" w:rsidRDefault="00E06378">
      <w:pPr>
        <w:pStyle w:val="TM3"/>
        <w:tabs>
          <w:tab w:val="right" w:leader="dot" w:pos="9630"/>
        </w:tabs>
        <w:rPr>
          <w:rFonts w:cstheme="minorBidi"/>
          <w:noProof/>
        </w:rPr>
      </w:pPr>
      <w:hyperlink w:anchor="_Toc175128579" w:history="1">
        <w:r w:rsidR="00912BAE">
          <w:rPr>
            <w:rStyle w:val="Lienhypertexte"/>
            <w:rFonts w:ascii="Rockwell" w:hAnsi="Rockwell"/>
            <w:i/>
            <w:noProof/>
          </w:rPr>
          <w:t>SECTION 3 : PARTENARIAT AU NIVEAU NATIONAL</w:t>
        </w:r>
        <w:r w:rsidR="00912BAE">
          <w:rPr>
            <w:noProof/>
          </w:rPr>
          <w:tab/>
        </w:r>
        <w:r w:rsidR="00912BAE">
          <w:rPr>
            <w:noProof/>
          </w:rPr>
          <w:fldChar w:fldCharType="begin"/>
        </w:r>
        <w:r w:rsidR="00912BAE">
          <w:rPr>
            <w:noProof/>
          </w:rPr>
          <w:instrText xml:space="preserve"> PAGEREF _Toc175128579 \h </w:instrText>
        </w:r>
        <w:r w:rsidR="00912BAE">
          <w:rPr>
            <w:noProof/>
          </w:rPr>
        </w:r>
        <w:r w:rsidR="00912BAE">
          <w:rPr>
            <w:noProof/>
          </w:rPr>
          <w:fldChar w:fldCharType="separate"/>
        </w:r>
        <w:r w:rsidR="00261767">
          <w:rPr>
            <w:noProof/>
          </w:rPr>
          <w:t>143</w:t>
        </w:r>
        <w:r w:rsidR="00912BAE">
          <w:rPr>
            <w:noProof/>
          </w:rPr>
          <w:fldChar w:fldCharType="end"/>
        </w:r>
      </w:hyperlink>
    </w:p>
    <w:p w14:paraId="19A6D44B" w14:textId="3ED000BC" w:rsidR="00733207" w:rsidRDefault="00E06378">
      <w:pPr>
        <w:pStyle w:val="TM4"/>
        <w:tabs>
          <w:tab w:val="right" w:leader="dot" w:pos="9630"/>
        </w:tabs>
        <w:rPr>
          <w:rFonts w:eastAsiaTheme="minorEastAsia"/>
          <w:noProof/>
          <w:lang w:eastAsia="fr-FR"/>
        </w:rPr>
      </w:pPr>
      <w:hyperlink w:anchor="_Toc175128580" w:history="1">
        <w:r w:rsidR="00912BAE">
          <w:rPr>
            <w:rStyle w:val="Lienhypertexte"/>
            <w:rFonts w:ascii="Rockwell" w:hAnsi="Rockwell"/>
            <w:b/>
            <w:noProof/>
          </w:rPr>
          <w:t>Paragraphe 1 : Participation aux rencontres de la Commission de l’Informatique et des Libertés (CIL)</w:t>
        </w:r>
        <w:r w:rsidR="00912BAE">
          <w:rPr>
            <w:noProof/>
          </w:rPr>
          <w:tab/>
        </w:r>
        <w:r w:rsidR="00912BAE">
          <w:rPr>
            <w:noProof/>
          </w:rPr>
          <w:fldChar w:fldCharType="begin"/>
        </w:r>
        <w:r w:rsidR="00912BAE">
          <w:rPr>
            <w:noProof/>
          </w:rPr>
          <w:instrText xml:space="preserve"> PAGEREF _Toc175128580 \h </w:instrText>
        </w:r>
        <w:r w:rsidR="00912BAE">
          <w:rPr>
            <w:noProof/>
          </w:rPr>
        </w:r>
        <w:r w:rsidR="00912BAE">
          <w:rPr>
            <w:noProof/>
          </w:rPr>
          <w:fldChar w:fldCharType="separate"/>
        </w:r>
        <w:r w:rsidR="00261767">
          <w:rPr>
            <w:noProof/>
          </w:rPr>
          <w:t>143</w:t>
        </w:r>
        <w:r w:rsidR="00912BAE">
          <w:rPr>
            <w:noProof/>
          </w:rPr>
          <w:fldChar w:fldCharType="end"/>
        </w:r>
      </w:hyperlink>
    </w:p>
    <w:p w14:paraId="302AFCF7" w14:textId="6A48C360" w:rsidR="00733207" w:rsidRDefault="00E06378">
      <w:pPr>
        <w:pStyle w:val="TM4"/>
        <w:tabs>
          <w:tab w:val="right" w:leader="dot" w:pos="9630"/>
        </w:tabs>
        <w:rPr>
          <w:rFonts w:eastAsiaTheme="minorEastAsia"/>
          <w:noProof/>
          <w:lang w:eastAsia="fr-FR"/>
        </w:rPr>
      </w:pPr>
      <w:hyperlink w:anchor="_Toc175128581" w:history="1">
        <w:r w:rsidR="00912BAE">
          <w:rPr>
            <w:rStyle w:val="Lienhypertexte"/>
            <w:rFonts w:ascii="Rockwell" w:hAnsi="Rockwell"/>
            <w:b/>
            <w:noProof/>
          </w:rPr>
          <w:t>Paragraphe 2 : Participation aux rencontres du Ministère de la communication, de la culture, des arts et du tourisme (MCCAT)</w:t>
        </w:r>
        <w:r w:rsidR="00912BAE">
          <w:rPr>
            <w:noProof/>
          </w:rPr>
          <w:tab/>
        </w:r>
        <w:r w:rsidR="00912BAE">
          <w:rPr>
            <w:noProof/>
          </w:rPr>
          <w:fldChar w:fldCharType="begin"/>
        </w:r>
        <w:r w:rsidR="00912BAE">
          <w:rPr>
            <w:noProof/>
          </w:rPr>
          <w:instrText xml:space="preserve"> PAGEREF _Toc175128581 \h </w:instrText>
        </w:r>
        <w:r w:rsidR="00912BAE">
          <w:rPr>
            <w:noProof/>
          </w:rPr>
        </w:r>
        <w:r w:rsidR="00912BAE">
          <w:rPr>
            <w:noProof/>
          </w:rPr>
          <w:fldChar w:fldCharType="separate"/>
        </w:r>
        <w:r w:rsidR="00261767">
          <w:rPr>
            <w:noProof/>
          </w:rPr>
          <w:t>144</w:t>
        </w:r>
        <w:r w:rsidR="00912BAE">
          <w:rPr>
            <w:noProof/>
          </w:rPr>
          <w:fldChar w:fldCharType="end"/>
        </w:r>
      </w:hyperlink>
    </w:p>
    <w:p w14:paraId="7C3760A6" w14:textId="73268D90" w:rsidR="00733207" w:rsidRDefault="00E06378">
      <w:pPr>
        <w:pStyle w:val="TM4"/>
        <w:tabs>
          <w:tab w:val="right" w:leader="dot" w:pos="9630"/>
        </w:tabs>
        <w:rPr>
          <w:rFonts w:eastAsiaTheme="minorEastAsia"/>
          <w:noProof/>
          <w:lang w:eastAsia="fr-FR"/>
        </w:rPr>
      </w:pPr>
      <w:hyperlink w:anchor="_Toc175128582" w:history="1">
        <w:r w:rsidR="00912BAE">
          <w:rPr>
            <w:rStyle w:val="Lienhypertexte"/>
            <w:rFonts w:ascii="Rockwell" w:hAnsi="Rockwell"/>
            <w:b/>
            <w:noProof/>
          </w:rPr>
          <w:t>Paragraphe 3 : Autres activités</w:t>
        </w:r>
        <w:r w:rsidR="00912BAE">
          <w:rPr>
            <w:noProof/>
          </w:rPr>
          <w:tab/>
        </w:r>
        <w:r w:rsidR="00912BAE">
          <w:rPr>
            <w:noProof/>
          </w:rPr>
          <w:fldChar w:fldCharType="begin"/>
        </w:r>
        <w:r w:rsidR="00912BAE">
          <w:rPr>
            <w:noProof/>
          </w:rPr>
          <w:instrText xml:space="preserve"> PAGEREF _Toc175128582 \h </w:instrText>
        </w:r>
        <w:r w:rsidR="00912BAE">
          <w:rPr>
            <w:noProof/>
          </w:rPr>
        </w:r>
        <w:r w:rsidR="00912BAE">
          <w:rPr>
            <w:noProof/>
          </w:rPr>
          <w:fldChar w:fldCharType="separate"/>
        </w:r>
        <w:r w:rsidR="00261767">
          <w:rPr>
            <w:noProof/>
          </w:rPr>
          <w:t>145</w:t>
        </w:r>
        <w:r w:rsidR="00912BAE">
          <w:rPr>
            <w:noProof/>
          </w:rPr>
          <w:fldChar w:fldCharType="end"/>
        </w:r>
      </w:hyperlink>
    </w:p>
    <w:p w14:paraId="7383C719" w14:textId="4CC8C775" w:rsidR="00733207" w:rsidRDefault="00E06378">
      <w:pPr>
        <w:pStyle w:val="TM1"/>
        <w:tabs>
          <w:tab w:val="right" w:leader="dot" w:pos="9630"/>
        </w:tabs>
        <w:rPr>
          <w:rFonts w:cstheme="minorBidi"/>
          <w:noProof/>
        </w:rPr>
      </w:pPr>
      <w:hyperlink w:anchor="_Toc175128583" w:history="1">
        <w:r w:rsidR="00912BAE">
          <w:rPr>
            <w:rStyle w:val="Lienhypertexte"/>
            <w:rFonts w:ascii="Rockwell" w:hAnsi="Rockwell"/>
            <w:b/>
            <w:noProof/>
          </w:rPr>
          <w:t>QUATRIEME PARTIE : GESTION DES RESSOURCES HUMAINES, FINANCIERES ET DES MATIERES</w:t>
        </w:r>
        <w:r w:rsidR="00912BAE">
          <w:rPr>
            <w:noProof/>
          </w:rPr>
          <w:tab/>
        </w:r>
        <w:r w:rsidR="00912BAE">
          <w:rPr>
            <w:noProof/>
          </w:rPr>
          <w:fldChar w:fldCharType="begin"/>
        </w:r>
        <w:r w:rsidR="00912BAE">
          <w:rPr>
            <w:noProof/>
          </w:rPr>
          <w:instrText xml:space="preserve"> PAGEREF _Toc175128583 \h </w:instrText>
        </w:r>
        <w:r w:rsidR="00912BAE">
          <w:rPr>
            <w:noProof/>
          </w:rPr>
        </w:r>
        <w:r w:rsidR="00912BAE">
          <w:rPr>
            <w:noProof/>
          </w:rPr>
          <w:fldChar w:fldCharType="separate"/>
        </w:r>
        <w:r w:rsidR="00261767">
          <w:rPr>
            <w:noProof/>
          </w:rPr>
          <w:t>147</w:t>
        </w:r>
        <w:r w:rsidR="00912BAE">
          <w:rPr>
            <w:noProof/>
          </w:rPr>
          <w:fldChar w:fldCharType="end"/>
        </w:r>
      </w:hyperlink>
    </w:p>
    <w:p w14:paraId="217A0198" w14:textId="3A00EBB3" w:rsidR="00733207" w:rsidRDefault="00E06378">
      <w:pPr>
        <w:pStyle w:val="TM2"/>
        <w:rPr>
          <w:rFonts w:cstheme="minorBidi"/>
          <w:noProof/>
        </w:rPr>
      </w:pPr>
      <w:hyperlink w:anchor="_Toc175128584" w:history="1">
        <w:r w:rsidR="00912BAE">
          <w:rPr>
            <w:rStyle w:val="Lienhypertexte"/>
            <w:rFonts w:ascii="Rockwell" w:hAnsi="Rockwell"/>
            <w:b/>
            <w:noProof/>
          </w:rPr>
          <w:t>CHAPITRE I : GESTION DES RESSOURCES HUMAINES</w:t>
        </w:r>
        <w:r w:rsidR="00912BAE">
          <w:rPr>
            <w:noProof/>
          </w:rPr>
          <w:tab/>
        </w:r>
        <w:r w:rsidR="00912BAE">
          <w:rPr>
            <w:noProof/>
          </w:rPr>
          <w:fldChar w:fldCharType="begin"/>
        </w:r>
        <w:r w:rsidR="00912BAE">
          <w:rPr>
            <w:noProof/>
          </w:rPr>
          <w:instrText xml:space="preserve"> PAGEREF _Toc175128584 \h </w:instrText>
        </w:r>
        <w:r w:rsidR="00912BAE">
          <w:rPr>
            <w:noProof/>
          </w:rPr>
        </w:r>
        <w:r w:rsidR="00912BAE">
          <w:rPr>
            <w:noProof/>
          </w:rPr>
          <w:fldChar w:fldCharType="separate"/>
        </w:r>
        <w:r w:rsidR="00261767">
          <w:rPr>
            <w:noProof/>
          </w:rPr>
          <w:t>148</w:t>
        </w:r>
        <w:r w:rsidR="00912BAE">
          <w:rPr>
            <w:noProof/>
          </w:rPr>
          <w:fldChar w:fldCharType="end"/>
        </w:r>
      </w:hyperlink>
    </w:p>
    <w:p w14:paraId="609BF344" w14:textId="4D56389B" w:rsidR="00733207" w:rsidRDefault="00E06378">
      <w:pPr>
        <w:pStyle w:val="TM3"/>
        <w:tabs>
          <w:tab w:val="right" w:leader="dot" w:pos="9630"/>
        </w:tabs>
        <w:rPr>
          <w:rFonts w:cstheme="minorBidi"/>
          <w:noProof/>
        </w:rPr>
      </w:pPr>
      <w:hyperlink w:anchor="_Toc175128585" w:history="1">
        <w:r w:rsidR="00912BAE">
          <w:rPr>
            <w:rStyle w:val="Lienhypertexte"/>
            <w:rFonts w:ascii="Rockwell" w:hAnsi="Rockwell"/>
            <w:i/>
            <w:noProof/>
          </w:rPr>
          <w:t>SECTION 1 : GESTION ADMINISTRATIVE</w:t>
        </w:r>
        <w:r w:rsidR="00912BAE">
          <w:rPr>
            <w:noProof/>
          </w:rPr>
          <w:tab/>
        </w:r>
        <w:r w:rsidR="00912BAE">
          <w:rPr>
            <w:noProof/>
          </w:rPr>
          <w:fldChar w:fldCharType="begin"/>
        </w:r>
        <w:r w:rsidR="00912BAE">
          <w:rPr>
            <w:noProof/>
          </w:rPr>
          <w:instrText xml:space="preserve"> PAGEREF _Toc175128585 \h </w:instrText>
        </w:r>
        <w:r w:rsidR="00912BAE">
          <w:rPr>
            <w:noProof/>
          </w:rPr>
        </w:r>
        <w:r w:rsidR="00912BAE">
          <w:rPr>
            <w:noProof/>
          </w:rPr>
          <w:fldChar w:fldCharType="separate"/>
        </w:r>
        <w:r w:rsidR="00261767">
          <w:rPr>
            <w:noProof/>
          </w:rPr>
          <w:t>148</w:t>
        </w:r>
        <w:r w:rsidR="00912BAE">
          <w:rPr>
            <w:noProof/>
          </w:rPr>
          <w:fldChar w:fldCharType="end"/>
        </w:r>
      </w:hyperlink>
    </w:p>
    <w:p w14:paraId="59D069BE" w14:textId="791905ED" w:rsidR="00733207" w:rsidRDefault="00E06378">
      <w:pPr>
        <w:pStyle w:val="TM3"/>
        <w:tabs>
          <w:tab w:val="right" w:leader="dot" w:pos="9630"/>
        </w:tabs>
        <w:rPr>
          <w:rFonts w:cstheme="minorBidi"/>
          <w:noProof/>
        </w:rPr>
      </w:pPr>
      <w:hyperlink w:anchor="_Toc175128586" w:history="1">
        <w:r w:rsidR="00912BAE">
          <w:rPr>
            <w:rStyle w:val="Lienhypertexte"/>
            <w:rFonts w:ascii="Rockwell" w:hAnsi="Rockwell"/>
            <w:i/>
            <w:noProof/>
          </w:rPr>
          <w:t>SECTION 2 : DISTINCTIONS HONORIFIQUES, RENFORCEMENT DES CAPACITES DU PERSONNEL ET ACTIVITES SOCIALES</w:t>
        </w:r>
        <w:r w:rsidR="00912BAE">
          <w:rPr>
            <w:noProof/>
          </w:rPr>
          <w:tab/>
        </w:r>
        <w:r w:rsidR="00912BAE">
          <w:rPr>
            <w:noProof/>
          </w:rPr>
          <w:fldChar w:fldCharType="begin"/>
        </w:r>
        <w:r w:rsidR="00912BAE">
          <w:rPr>
            <w:noProof/>
          </w:rPr>
          <w:instrText xml:space="preserve"> PAGEREF _Toc175128586 \h </w:instrText>
        </w:r>
        <w:r w:rsidR="00912BAE">
          <w:rPr>
            <w:noProof/>
          </w:rPr>
        </w:r>
        <w:r w:rsidR="00912BAE">
          <w:rPr>
            <w:noProof/>
          </w:rPr>
          <w:fldChar w:fldCharType="separate"/>
        </w:r>
        <w:r w:rsidR="00261767">
          <w:rPr>
            <w:noProof/>
          </w:rPr>
          <w:t>153</w:t>
        </w:r>
        <w:r w:rsidR="00912BAE">
          <w:rPr>
            <w:noProof/>
          </w:rPr>
          <w:fldChar w:fldCharType="end"/>
        </w:r>
      </w:hyperlink>
    </w:p>
    <w:p w14:paraId="2B758966" w14:textId="613EC192" w:rsidR="00733207" w:rsidRDefault="00E06378">
      <w:pPr>
        <w:pStyle w:val="TM4"/>
        <w:tabs>
          <w:tab w:val="right" w:leader="dot" w:pos="9630"/>
        </w:tabs>
        <w:rPr>
          <w:rFonts w:eastAsiaTheme="minorEastAsia"/>
          <w:noProof/>
          <w:lang w:eastAsia="fr-FR"/>
        </w:rPr>
      </w:pPr>
      <w:hyperlink w:anchor="_Toc175128587" w:history="1">
        <w:r w:rsidR="00912BAE">
          <w:rPr>
            <w:rStyle w:val="Lienhypertexte"/>
            <w:rFonts w:ascii="Rockwell" w:hAnsi="Rockwell"/>
            <w:b/>
            <w:noProof/>
          </w:rPr>
          <w:t>Paragraphe 1 : Distinctions honorifiques</w:t>
        </w:r>
        <w:r w:rsidR="00912BAE">
          <w:rPr>
            <w:noProof/>
          </w:rPr>
          <w:tab/>
        </w:r>
        <w:r w:rsidR="00912BAE">
          <w:rPr>
            <w:noProof/>
          </w:rPr>
          <w:fldChar w:fldCharType="begin"/>
        </w:r>
        <w:r w:rsidR="00912BAE">
          <w:rPr>
            <w:noProof/>
          </w:rPr>
          <w:instrText xml:space="preserve"> PAGEREF _Toc175128587 \h </w:instrText>
        </w:r>
        <w:r w:rsidR="00912BAE">
          <w:rPr>
            <w:noProof/>
          </w:rPr>
        </w:r>
        <w:r w:rsidR="00912BAE">
          <w:rPr>
            <w:noProof/>
          </w:rPr>
          <w:fldChar w:fldCharType="separate"/>
        </w:r>
        <w:r w:rsidR="00261767">
          <w:rPr>
            <w:noProof/>
          </w:rPr>
          <w:t>153</w:t>
        </w:r>
        <w:r w:rsidR="00912BAE">
          <w:rPr>
            <w:noProof/>
          </w:rPr>
          <w:fldChar w:fldCharType="end"/>
        </w:r>
      </w:hyperlink>
    </w:p>
    <w:p w14:paraId="5724CCB2" w14:textId="44583C28" w:rsidR="00733207" w:rsidRDefault="00E06378">
      <w:pPr>
        <w:pStyle w:val="TM4"/>
        <w:tabs>
          <w:tab w:val="right" w:leader="dot" w:pos="9630"/>
        </w:tabs>
        <w:rPr>
          <w:rFonts w:eastAsiaTheme="minorEastAsia"/>
          <w:noProof/>
          <w:lang w:eastAsia="fr-FR"/>
        </w:rPr>
      </w:pPr>
      <w:hyperlink w:anchor="_Toc175128588" w:history="1">
        <w:r w:rsidR="00912BAE">
          <w:rPr>
            <w:rStyle w:val="Lienhypertexte"/>
            <w:rFonts w:ascii="Rockwell" w:hAnsi="Rockwell"/>
            <w:b/>
            <w:noProof/>
          </w:rPr>
          <w:t>Paragraphe 2 : Renforcement des capacités du personnel</w:t>
        </w:r>
        <w:r w:rsidR="00912BAE">
          <w:rPr>
            <w:noProof/>
          </w:rPr>
          <w:tab/>
        </w:r>
        <w:r w:rsidR="00912BAE">
          <w:rPr>
            <w:noProof/>
          </w:rPr>
          <w:fldChar w:fldCharType="begin"/>
        </w:r>
        <w:r w:rsidR="00912BAE">
          <w:rPr>
            <w:noProof/>
          </w:rPr>
          <w:instrText xml:space="preserve"> PAGEREF _Toc175128588 \h </w:instrText>
        </w:r>
        <w:r w:rsidR="00912BAE">
          <w:rPr>
            <w:noProof/>
          </w:rPr>
        </w:r>
        <w:r w:rsidR="00912BAE">
          <w:rPr>
            <w:noProof/>
          </w:rPr>
          <w:fldChar w:fldCharType="separate"/>
        </w:r>
        <w:r w:rsidR="00261767">
          <w:rPr>
            <w:noProof/>
          </w:rPr>
          <w:t>156</w:t>
        </w:r>
        <w:r w:rsidR="00912BAE">
          <w:rPr>
            <w:noProof/>
          </w:rPr>
          <w:fldChar w:fldCharType="end"/>
        </w:r>
      </w:hyperlink>
    </w:p>
    <w:p w14:paraId="39CD9CCF" w14:textId="1B08C68E" w:rsidR="00733207" w:rsidRDefault="00E06378">
      <w:pPr>
        <w:pStyle w:val="TM5"/>
        <w:tabs>
          <w:tab w:val="right" w:leader="dot" w:pos="9630"/>
        </w:tabs>
        <w:rPr>
          <w:rFonts w:eastAsiaTheme="minorEastAsia"/>
          <w:noProof/>
          <w:lang w:eastAsia="fr-FR"/>
        </w:rPr>
      </w:pPr>
      <w:hyperlink w:anchor="_Toc175128589" w:history="1">
        <w:r w:rsidR="00912BAE">
          <w:rPr>
            <w:rStyle w:val="Lienhypertexte"/>
            <w:rFonts w:ascii="Rockwell" w:hAnsi="Rockwell"/>
            <w:noProof/>
          </w:rPr>
          <w:t>2.1. Formation sur le thème : « Enjeux et utilisation optimale des réseaux sociaux »</w:t>
        </w:r>
        <w:r w:rsidR="00912BAE">
          <w:rPr>
            <w:noProof/>
          </w:rPr>
          <w:tab/>
        </w:r>
        <w:r w:rsidR="00912BAE">
          <w:rPr>
            <w:noProof/>
          </w:rPr>
          <w:fldChar w:fldCharType="begin"/>
        </w:r>
        <w:r w:rsidR="00912BAE">
          <w:rPr>
            <w:noProof/>
          </w:rPr>
          <w:instrText xml:space="preserve"> PAGEREF _Toc175128589 \h </w:instrText>
        </w:r>
        <w:r w:rsidR="00912BAE">
          <w:rPr>
            <w:noProof/>
          </w:rPr>
        </w:r>
        <w:r w:rsidR="00912BAE">
          <w:rPr>
            <w:noProof/>
          </w:rPr>
          <w:fldChar w:fldCharType="separate"/>
        </w:r>
        <w:r w:rsidR="00261767">
          <w:rPr>
            <w:noProof/>
          </w:rPr>
          <w:t>156</w:t>
        </w:r>
        <w:r w:rsidR="00912BAE">
          <w:rPr>
            <w:noProof/>
          </w:rPr>
          <w:fldChar w:fldCharType="end"/>
        </w:r>
      </w:hyperlink>
    </w:p>
    <w:p w14:paraId="20058A5E" w14:textId="044FD5C9" w:rsidR="00733207" w:rsidRDefault="00E06378">
      <w:pPr>
        <w:pStyle w:val="TM5"/>
        <w:tabs>
          <w:tab w:val="right" w:leader="dot" w:pos="9630"/>
        </w:tabs>
        <w:rPr>
          <w:rFonts w:eastAsiaTheme="minorEastAsia"/>
          <w:noProof/>
          <w:lang w:eastAsia="fr-FR"/>
        </w:rPr>
      </w:pPr>
      <w:hyperlink w:anchor="_Toc175128590" w:history="1">
        <w:r w:rsidR="00912BAE">
          <w:rPr>
            <w:rStyle w:val="Lienhypertexte"/>
            <w:rFonts w:ascii="Rockwell" w:hAnsi="Rockwell"/>
            <w:noProof/>
          </w:rPr>
          <w:t>2.2. Formation sur le thème : « Intranet du CSC : BITRIX »</w:t>
        </w:r>
        <w:r w:rsidR="00912BAE">
          <w:rPr>
            <w:noProof/>
          </w:rPr>
          <w:tab/>
        </w:r>
        <w:r w:rsidR="00912BAE">
          <w:rPr>
            <w:noProof/>
          </w:rPr>
          <w:fldChar w:fldCharType="begin"/>
        </w:r>
        <w:r w:rsidR="00912BAE">
          <w:rPr>
            <w:noProof/>
          </w:rPr>
          <w:instrText xml:space="preserve"> PAGEREF _Toc175128590 \h </w:instrText>
        </w:r>
        <w:r w:rsidR="00912BAE">
          <w:rPr>
            <w:noProof/>
          </w:rPr>
        </w:r>
        <w:r w:rsidR="00912BAE">
          <w:rPr>
            <w:noProof/>
          </w:rPr>
          <w:fldChar w:fldCharType="separate"/>
        </w:r>
        <w:r w:rsidR="00261767">
          <w:rPr>
            <w:noProof/>
          </w:rPr>
          <w:t>157</w:t>
        </w:r>
        <w:r w:rsidR="00912BAE">
          <w:rPr>
            <w:noProof/>
          </w:rPr>
          <w:fldChar w:fldCharType="end"/>
        </w:r>
      </w:hyperlink>
    </w:p>
    <w:p w14:paraId="0F99F179" w14:textId="68787425" w:rsidR="00733207" w:rsidRDefault="00E06378">
      <w:pPr>
        <w:pStyle w:val="TM5"/>
        <w:tabs>
          <w:tab w:val="left" w:pos="1540"/>
          <w:tab w:val="right" w:leader="dot" w:pos="9630"/>
        </w:tabs>
        <w:rPr>
          <w:rFonts w:eastAsiaTheme="minorEastAsia"/>
          <w:noProof/>
          <w:lang w:eastAsia="fr-FR"/>
        </w:rPr>
      </w:pPr>
      <w:hyperlink w:anchor="_Toc175128591" w:history="1">
        <w:r w:rsidR="00912BAE">
          <w:rPr>
            <w:rStyle w:val="Lienhypertexte"/>
            <w:rFonts w:ascii="Rockwell" w:hAnsi="Rockwell"/>
            <w:noProof/>
          </w:rPr>
          <w:t>2.3.</w:t>
        </w:r>
        <w:r w:rsidR="00912BAE">
          <w:rPr>
            <w:rFonts w:eastAsiaTheme="minorEastAsia"/>
            <w:noProof/>
            <w:lang w:eastAsia="fr-FR"/>
          </w:rPr>
          <w:tab/>
        </w:r>
        <w:r w:rsidR="00912BAE">
          <w:rPr>
            <w:rStyle w:val="Lienhypertexte"/>
            <w:rFonts w:ascii="Rockwell" w:hAnsi="Rockwell"/>
            <w:noProof/>
          </w:rPr>
          <w:t>Renforcement des capacités des acteurs sur la budgétisation par programme et relecture de la maquette du programme et du dispositif de performance du CSC</w:t>
        </w:r>
        <w:r w:rsidR="00912BAE">
          <w:rPr>
            <w:noProof/>
          </w:rPr>
          <w:tab/>
        </w:r>
        <w:r w:rsidR="00912BAE">
          <w:rPr>
            <w:noProof/>
          </w:rPr>
          <w:fldChar w:fldCharType="begin"/>
        </w:r>
        <w:r w:rsidR="00912BAE">
          <w:rPr>
            <w:noProof/>
          </w:rPr>
          <w:instrText xml:space="preserve"> PAGEREF _Toc175128591 \h </w:instrText>
        </w:r>
        <w:r w:rsidR="00912BAE">
          <w:rPr>
            <w:noProof/>
          </w:rPr>
        </w:r>
        <w:r w:rsidR="00912BAE">
          <w:rPr>
            <w:noProof/>
          </w:rPr>
          <w:fldChar w:fldCharType="separate"/>
        </w:r>
        <w:r w:rsidR="00261767">
          <w:rPr>
            <w:noProof/>
          </w:rPr>
          <w:t>157</w:t>
        </w:r>
        <w:r w:rsidR="00912BAE">
          <w:rPr>
            <w:noProof/>
          </w:rPr>
          <w:fldChar w:fldCharType="end"/>
        </w:r>
      </w:hyperlink>
    </w:p>
    <w:p w14:paraId="1FD160B6" w14:textId="283B7D42" w:rsidR="00733207" w:rsidRDefault="00E06378">
      <w:pPr>
        <w:pStyle w:val="TM5"/>
        <w:tabs>
          <w:tab w:val="right" w:leader="dot" w:pos="9630"/>
        </w:tabs>
        <w:rPr>
          <w:rFonts w:eastAsiaTheme="minorEastAsia"/>
          <w:noProof/>
          <w:lang w:eastAsia="fr-FR"/>
        </w:rPr>
      </w:pPr>
      <w:hyperlink w:anchor="_Toc175128592" w:history="1">
        <w:r w:rsidR="00912BAE">
          <w:rPr>
            <w:rStyle w:val="Lienhypertexte"/>
            <w:rFonts w:ascii="Rockwell" w:hAnsi="Rockwell"/>
            <w:noProof/>
          </w:rPr>
          <w:t>2.4. Formation sur les quatre (04) outils de régulation et de contribution à la consolidation de la cohésion sociale</w:t>
        </w:r>
        <w:r w:rsidR="00912BAE">
          <w:rPr>
            <w:noProof/>
          </w:rPr>
          <w:tab/>
        </w:r>
        <w:r w:rsidR="00912BAE">
          <w:rPr>
            <w:noProof/>
          </w:rPr>
          <w:fldChar w:fldCharType="begin"/>
        </w:r>
        <w:r w:rsidR="00912BAE">
          <w:rPr>
            <w:noProof/>
          </w:rPr>
          <w:instrText xml:space="preserve"> PAGEREF _Toc175128592 \h </w:instrText>
        </w:r>
        <w:r w:rsidR="00912BAE">
          <w:rPr>
            <w:noProof/>
          </w:rPr>
        </w:r>
        <w:r w:rsidR="00912BAE">
          <w:rPr>
            <w:noProof/>
          </w:rPr>
          <w:fldChar w:fldCharType="separate"/>
        </w:r>
        <w:r w:rsidR="00261767">
          <w:rPr>
            <w:noProof/>
          </w:rPr>
          <w:t>157</w:t>
        </w:r>
        <w:r w:rsidR="00912BAE">
          <w:rPr>
            <w:noProof/>
          </w:rPr>
          <w:fldChar w:fldCharType="end"/>
        </w:r>
      </w:hyperlink>
    </w:p>
    <w:p w14:paraId="3E77F0F9" w14:textId="537B5091" w:rsidR="00733207" w:rsidRDefault="00E06378">
      <w:pPr>
        <w:pStyle w:val="TM5"/>
        <w:tabs>
          <w:tab w:val="right" w:leader="dot" w:pos="9630"/>
        </w:tabs>
        <w:rPr>
          <w:rFonts w:eastAsiaTheme="minorEastAsia"/>
          <w:noProof/>
          <w:lang w:eastAsia="fr-FR"/>
        </w:rPr>
      </w:pPr>
      <w:hyperlink w:anchor="_Toc175128593" w:history="1">
        <w:r w:rsidR="00912BAE">
          <w:rPr>
            <w:rStyle w:val="Lienhypertexte"/>
            <w:rFonts w:ascii="Rockwell" w:hAnsi="Rockwell"/>
            <w:noProof/>
          </w:rPr>
          <w:t>2.5. Formation sur le thème : « Team building »</w:t>
        </w:r>
        <w:r w:rsidR="00912BAE">
          <w:rPr>
            <w:noProof/>
          </w:rPr>
          <w:tab/>
        </w:r>
        <w:r w:rsidR="00912BAE">
          <w:rPr>
            <w:noProof/>
          </w:rPr>
          <w:fldChar w:fldCharType="begin"/>
        </w:r>
        <w:r w:rsidR="00912BAE">
          <w:rPr>
            <w:noProof/>
          </w:rPr>
          <w:instrText xml:space="preserve"> PAGEREF _Toc175128593 \h </w:instrText>
        </w:r>
        <w:r w:rsidR="00912BAE">
          <w:rPr>
            <w:noProof/>
          </w:rPr>
        </w:r>
        <w:r w:rsidR="00912BAE">
          <w:rPr>
            <w:noProof/>
          </w:rPr>
          <w:fldChar w:fldCharType="separate"/>
        </w:r>
        <w:r w:rsidR="00261767">
          <w:rPr>
            <w:noProof/>
          </w:rPr>
          <w:t>158</w:t>
        </w:r>
        <w:r w:rsidR="00912BAE">
          <w:rPr>
            <w:noProof/>
          </w:rPr>
          <w:fldChar w:fldCharType="end"/>
        </w:r>
      </w:hyperlink>
    </w:p>
    <w:p w14:paraId="1A64458B" w14:textId="193A1E86" w:rsidR="00733207" w:rsidRDefault="00E06378">
      <w:pPr>
        <w:pStyle w:val="TM4"/>
        <w:tabs>
          <w:tab w:val="right" w:leader="dot" w:pos="9630"/>
        </w:tabs>
        <w:rPr>
          <w:rFonts w:eastAsiaTheme="minorEastAsia"/>
          <w:noProof/>
          <w:lang w:eastAsia="fr-FR"/>
        </w:rPr>
      </w:pPr>
      <w:hyperlink w:anchor="_Toc175128594" w:history="1">
        <w:r w:rsidR="00912BAE">
          <w:rPr>
            <w:rStyle w:val="Lienhypertexte"/>
            <w:rFonts w:ascii="Rockwell" w:hAnsi="Rockwell"/>
            <w:b/>
            <w:noProof/>
          </w:rPr>
          <w:t>Paragraphe 3 : Activités sociales</w:t>
        </w:r>
        <w:r w:rsidR="00912BAE">
          <w:rPr>
            <w:noProof/>
          </w:rPr>
          <w:tab/>
        </w:r>
        <w:r w:rsidR="00912BAE">
          <w:rPr>
            <w:noProof/>
          </w:rPr>
          <w:fldChar w:fldCharType="begin"/>
        </w:r>
        <w:r w:rsidR="00912BAE">
          <w:rPr>
            <w:noProof/>
          </w:rPr>
          <w:instrText xml:space="preserve"> PAGEREF _Toc175128594 \h </w:instrText>
        </w:r>
        <w:r w:rsidR="00912BAE">
          <w:rPr>
            <w:noProof/>
          </w:rPr>
        </w:r>
        <w:r w:rsidR="00912BAE">
          <w:rPr>
            <w:noProof/>
          </w:rPr>
          <w:fldChar w:fldCharType="separate"/>
        </w:r>
        <w:r w:rsidR="00261767">
          <w:rPr>
            <w:noProof/>
          </w:rPr>
          <w:t>159</w:t>
        </w:r>
        <w:r w:rsidR="00912BAE">
          <w:rPr>
            <w:noProof/>
          </w:rPr>
          <w:fldChar w:fldCharType="end"/>
        </w:r>
      </w:hyperlink>
    </w:p>
    <w:p w14:paraId="13CCAB1C" w14:textId="7254A73B" w:rsidR="00733207" w:rsidRDefault="00E06378">
      <w:pPr>
        <w:pStyle w:val="TM5"/>
        <w:tabs>
          <w:tab w:val="right" w:leader="dot" w:pos="9630"/>
        </w:tabs>
        <w:rPr>
          <w:rFonts w:eastAsiaTheme="minorEastAsia"/>
          <w:noProof/>
          <w:lang w:eastAsia="fr-FR"/>
        </w:rPr>
      </w:pPr>
      <w:hyperlink w:anchor="_Toc175128595" w:history="1">
        <w:r w:rsidR="00912BAE">
          <w:rPr>
            <w:rStyle w:val="Lienhypertexte"/>
            <w:rFonts w:ascii="Rockwell" w:hAnsi="Rockwell"/>
            <w:noProof/>
          </w:rPr>
          <w:t>3.1. Visite des lieux de travail et visite médicale annuelle des travailleurs</w:t>
        </w:r>
        <w:r w:rsidR="00912BAE">
          <w:rPr>
            <w:noProof/>
          </w:rPr>
          <w:tab/>
        </w:r>
        <w:r w:rsidR="00912BAE">
          <w:rPr>
            <w:noProof/>
          </w:rPr>
          <w:fldChar w:fldCharType="begin"/>
        </w:r>
        <w:r w:rsidR="00912BAE">
          <w:rPr>
            <w:noProof/>
          </w:rPr>
          <w:instrText xml:space="preserve"> PAGEREF _Toc175128595 \h </w:instrText>
        </w:r>
        <w:r w:rsidR="00912BAE">
          <w:rPr>
            <w:noProof/>
          </w:rPr>
        </w:r>
        <w:r w:rsidR="00912BAE">
          <w:rPr>
            <w:noProof/>
          </w:rPr>
          <w:fldChar w:fldCharType="separate"/>
        </w:r>
        <w:r w:rsidR="00261767">
          <w:rPr>
            <w:noProof/>
          </w:rPr>
          <w:t>159</w:t>
        </w:r>
        <w:r w:rsidR="00912BAE">
          <w:rPr>
            <w:noProof/>
          </w:rPr>
          <w:fldChar w:fldCharType="end"/>
        </w:r>
      </w:hyperlink>
    </w:p>
    <w:p w14:paraId="2DCCFAD5" w14:textId="3FB63537" w:rsidR="00733207" w:rsidRDefault="00E06378">
      <w:pPr>
        <w:pStyle w:val="TM5"/>
        <w:tabs>
          <w:tab w:val="right" w:leader="dot" w:pos="9630"/>
        </w:tabs>
        <w:rPr>
          <w:rFonts w:eastAsiaTheme="minorEastAsia"/>
          <w:noProof/>
          <w:lang w:eastAsia="fr-FR"/>
        </w:rPr>
      </w:pPr>
      <w:hyperlink w:anchor="_Toc175128596" w:history="1">
        <w:r w:rsidR="00912BAE">
          <w:rPr>
            <w:rStyle w:val="Lienhypertexte"/>
            <w:rFonts w:ascii="Rockwell" w:hAnsi="Rockwell"/>
            <w:noProof/>
          </w:rPr>
          <w:t>3.2. Journée de collecte de sang</w:t>
        </w:r>
        <w:r w:rsidR="00912BAE">
          <w:rPr>
            <w:noProof/>
          </w:rPr>
          <w:tab/>
        </w:r>
        <w:r w:rsidR="00912BAE">
          <w:rPr>
            <w:noProof/>
          </w:rPr>
          <w:fldChar w:fldCharType="begin"/>
        </w:r>
        <w:r w:rsidR="00912BAE">
          <w:rPr>
            <w:noProof/>
          </w:rPr>
          <w:instrText xml:space="preserve"> PAGEREF _Toc175128596 \h </w:instrText>
        </w:r>
        <w:r w:rsidR="00912BAE">
          <w:rPr>
            <w:noProof/>
          </w:rPr>
        </w:r>
        <w:r w:rsidR="00912BAE">
          <w:rPr>
            <w:noProof/>
          </w:rPr>
          <w:fldChar w:fldCharType="separate"/>
        </w:r>
        <w:r w:rsidR="00261767">
          <w:rPr>
            <w:noProof/>
          </w:rPr>
          <w:t>159</w:t>
        </w:r>
        <w:r w:rsidR="00912BAE">
          <w:rPr>
            <w:noProof/>
          </w:rPr>
          <w:fldChar w:fldCharType="end"/>
        </w:r>
      </w:hyperlink>
    </w:p>
    <w:p w14:paraId="2BBF96EB" w14:textId="37442C39" w:rsidR="00733207" w:rsidRDefault="00E06378">
      <w:pPr>
        <w:pStyle w:val="TM2"/>
        <w:rPr>
          <w:rFonts w:cstheme="minorBidi"/>
          <w:noProof/>
        </w:rPr>
      </w:pPr>
      <w:hyperlink w:anchor="_Toc175128597" w:history="1">
        <w:r w:rsidR="00912BAE">
          <w:rPr>
            <w:rStyle w:val="Lienhypertexte"/>
            <w:rFonts w:ascii="Rockwell" w:hAnsi="Rockwell"/>
            <w:b/>
            <w:noProof/>
          </w:rPr>
          <w:t>CHAPITRE II : GESTION FINANCIERE ET DES MATIERES</w:t>
        </w:r>
        <w:r w:rsidR="00912BAE">
          <w:rPr>
            <w:noProof/>
          </w:rPr>
          <w:tab/>
        </w:r>
        <w:r w:rsidR="00912BAE">
          <w:rPr>
            <w:noProof/>
          </w:rPr>
          <w:fldChar w:fldCharType="begin"/>
        </w:r>
        <w:r w:rsidR="00912BAE">
          <w:rPr>
            <w:noProof/>
          </w:rPr>
          <w:instrText xml:space="preserve"> PAGEREF _Toc175128597 \h </w:instrText>
        </w:r>
        <w:r w:rsidR="00912BAE">
          <w:rPr>
            <w:noProof/>
          </w:rPr>
        </w:r>
        <w:r w:rsidR="00912BAE">
          <w:rPr>
            <w:noProof/>
          </w:rPr>
          <w:fldChar w:fldCharType="separate"/>
        </w:r>
        <w:r w:rsidR="00261767">
          <w:rPr>
            <w:noProof/>
          </w:rPr>
          <w:t>160</w:t>
        </w:r>
        <w:r w:rsidR="00912BAE">
          <w:rPr>
            <w:noProof/>
          </w:rPr>
          <w:fldChar w:fldCharType="end"/>
        </w:r>
      </w:hyperlink>
    </w:p>
    <w:p w14:paraId="700D9188" w14:textId="7F6E9C15" w:rsidR="00733207" w:rsidRDefault="00E06378">
      <w:pPr>
        <w:pStyle w:val="TM3"/>
        <w:tabs>
          <w:tab w:val="right" w:leader="dot" w:pos="9630"/>
        </w:tabs>
        <w:rPr>
          <w:rFonts w:cstheme="minorBidi"/>
          <w:noProof/>
        </w:rPr>
      </w:pPr>
      <w:hyperlink w:anchor="_Toc175128598" w:history="1">
        <w:r w:rsidR="00912BAE">
          <w:rPr>
            <w:rStyle w:val="Lienhypertexte"/>
            <w:rFonts w:ascii="Rockwell" w:hAnsi="Rockwell"/>
            <w:i/>
            <w:noProof/>
          </w:rPr>
          <w:t>SECTION 1 : GESTION FINANCIERE</w:t>
        </w:r>
        <w:r w:rsidR="00912BAE">
          <w:rPr>
            <w:noProof/>
          </w:rPr>
          <w:tab/>
        </w:r>
        <w:r w:rsidR="00912BAE">
          <w:rPr>
            <w:noProof/>
          </w:rPr>
          <w:fldChar w:fldCharType="begin"/>
        </w:r>
        <w:r w:rsidR="00912BAE">
          <w:rPr>
            <w:noProof/>
          </w:rPr>
          <w:instrText xml:space="preserve"> PAGEREF _Toc175128598 \h </w:instrText>
        </w:r>
        <w:r w:rsidR="00912BAE">
          <w:rPr>
            <w:noProof/>
          </w:rPr>
        </w:r>
        <w:r w:rsidR="00912BAE">
          <w:rPr>
            <w:noProof/>
          </w:rPr>
          <w:fldChar w:fldCharType="separate"/>
        </w:r>
        <w:r w:rsidR="00261767">
          <w:rPr>
            <w:noProof/>
          </w:rPr>
          <w:t>160</w:t>
        </w:r>
        <w:r w:rsidR="00912BAE">
          <w:rPr>
            <w:noProof/>
          </w:rPr>
          <w:fldChar w:fldCharType="end"/>
        </w:r>
      </w:hyperlink>
    </w:p>
    <w:p w14:paraId="5394F847" w14:textId="717E5B69" w:rsidR="00733207" w:rsidRDefault="00E06378">
      <w:pPr>
        <w:pStyle w:val="TM4"/>
        <w:tabs>
          <w:tab w:val="right" w:leader="dot" w:pos="9630"/>
        </w:tabs>
        <w:rPr>
          <w:rFonts w:eastAsiaTheme="minorEastAsia"/>
          <w:noProof/>
          <w:lang w:eastAsia="fr-FR"/>
        </w:rPr>
      </w:pPr>
      <w:hyperlink w:anchor="_Toc175128599" w:history="1">
        <w:r w:rsidR="00912BAE">
          <w:rPr>
            <w:rStyle w:val="Lienhypertexte"/>
            <w:rFonts w:ascii="Rockwell" w:hAnsi="Rockwell"/>
            <w:b/>
            <w:noProof/>
          </w:rPr>
          <w:t>Paragraphe 1 : Exécution des dépenses</w:t>
        </w:r>
        <w:r w:rsidR="00912BAE">
          <w:rPr>
            <w:noProof/>
          </w:rPr>
          <w:tab/>
        </w:r>
        <w:r w:rsidR="00912BAE">
          <w:rPr>
            <w:noProof/>
          </w:rPr>
          <w:fldChar w:fldCharType="begin"/>
        </w:r>
        <w:r w:rsidR="00912BAE">
          <w:rPr>
            <w:noProof/>
          </w:rPr>
          <w:instrText xml:space="preserve"> PAGEREF _Toc175128599 \h </w:instrText>
        </w:r>
        <w:r w:rsidR="00912BAE">
          <w:rPr>
            <w:noProof/>
          </w:rPr>
        </w:r>
        <w:r w:rsidR="00912BAE">
          <w:rPr>
            <w:noProof/>
          </w:rPr>
          <w:fldChar w:fldCharType="separate"/>
        </w:r>
        <w:r w:rsidR="00261767">
          <w:rPr>
            <w:noProof/>
          </w:rPr>
          <w:t>160</w:t>
        </w:r>
        <w:r w:rsidR="00912BAE">
          <w:rPr>
            <w:noProof/>
          </w:rPr>
          <w:fldChar w:fldCharType="end"/>
        </w:r>
      </w:hyperlink>
    </w:p>
    <w:p w14:paraId="1505AEF6" w14:textId="644FF48E" w:rsidR="00733207" w:rsidRDefault="00E06378">
      <w:pPr>
        <w:pStyle w:val="TM4"/>
        <w:tabs>
          <w:tab w:val="right" w:leader="dot" w:pos="9630"/>
        </w:tabs>
        <w:rPr>
          <w:rFonts w:eastAsiaTheme="minorEastAsia"/>
          <w:noProof/>
          <w:lang w:eastAsia="fr-FR"/>
        </w:rPr>
      </w:pPr>
      <w:hyperlink w:anchor="_Toc175128600" w:history="1">
        <w:r w:rsidR="00912BAE">
          <w:rPr>
            <w:rStyle w:val="Lienhypertexte"/>
            <w:rFonts w:ascii="Rockwell" w:hAnsi="Rockwell"/>
            <w:b/>
            <w:noProof/>
          </w:rPr>
          <w:t>Paragraphe 2 : Elaboration de l’avant-projet de budget programme 2024-2026</w:t>
        </w:r>
        <w:r w:rsidR="00912BAE">
          <w:rPr>
            <w:noProof/>
          </w:rPr>
          <w:tab/>
        </w:r>
        <w:r w:rsidR="00912BAE">
          <w:rPr>
            <w:noProof/>
          </w:rPr>
          <w:fldChar w:fldCharType="begin"/>
        </w:r>
        <w:r w:rsidR="00912BAE">
          <w:rPr>
            <w:noProof/>
          </w:rPr>
          <w:instrText xml:space="preserve"> PAGEREF _Toc175128600 \h </w:instrText>
        </w:r>
        <w:r w:rsidR="00912BAE">
          <w:rPr>
            <w:noProof/>
          </w:rPr>
        </w:r>
        <w:r w:rsidR="00912BAE">
          <w:rPr>
            <w:noProof/>
          </w:rPr>
          <w:fldChar w:fldCharType="separate"/>
        </w:r>
        <w:r w:rsidR="00261767">
          <w:rPr>
            <w:noProof/>
          </w:rPr>
          <w:t>162</w:t>
        </w:r>
        <w:r w:rsidR="00912BAE">
          <w:rPr>
            <w:noProof/>
          </w:rPr>
          <w:fldChar w:fldCharType="end"/>
        </w:r>
      </w:hyperlink>
    </w:p>
    <w:p w14:paraId="1615CDD0" w14:textId="5BE25953" w:rsidR="00733207" w:rsidRDefault="00E06378">
      <w:pPr>
        <w:pStyle w:val="TM3"/>
        <w:tabs>
          <w:tab w:val="right" w:leader="dot" w:pos="9630"/>
        </w:tabs>
        <w:rPr>
          <w:rFonts w:cstheme="minorBidi"/>
          <w:noProof/>
        </w:rPr>
      </w:pPr>
      <w:hyperlink w:anchor="_Toc175128601" w:history="1">
        <w:r w:rsidR="00912BAE">
          <w:rPr>
            <w:rStyle w:val="Lienhypertexte"/>
            <w:rFonts w:ascii="Rockwell" w:hAnsi="Rockwell"/>
            <w:i/>
            <w:noProof/>
          </w:rPr>
          <w:t>SECTION 2 : GESTION DES MATIERES</w:t>
        </w:r>
        <w:r w:rsidR="00912BAE">
          <w:rPr>
            <w:noProof/>
          </w:rPr>
          <w:tab/>
        </w:r>
        <w:r w:rsidR="00912BAE">
          <w:rPr>
            <w:noProof/>
          </w:rPr>
          <w:fldChar w:fldCharType="begin"/>
        </w:r>
        <w:r w:rsidR="00912BAE">
          <w:rPr>
            <w:noProof/>
          </w:rPr>
          <w:instrText xml:space="preserve"> PAGEREF _Toc175128601 \h </w:instrText>
        </w:r>
        <w:r w:rsidR="00912BAE">
          <w:rPr>
            <w:noProof/>
          </w:rPr>
        </w:r>
        <w:r w:rsidR="00912BAE">
          <w:rPr>
            <w:noProof/>
          </w:rPr>
          <w:fldChar w:fldCharType="separate"/>
        </w:r>
        <w:r w:rsidR="00261767">
          <w:rPr>
            <w:noProof/>
          </w:rPr>
          <w:t>163</w:t>
        </w:r>
        <w:r w:rsidR="00912BAE">
          <w:rPr>
            <w:noProof/>
          </w:rPr>
          <w:fldChar w:fldCharType="end"/>
        </w:r>
      </w:hyperlink>
    </w:p>
    <w:p w14:paraId="5D85721D" w14:textId="3B60ECEF" w:rsidR="00733207" w:rsidRDefault="00E06378">
      <w:pPr>
        <w:pStyle w:val="TM1"/>
        <w:tabs>
          <w:tab w:val="right" w:leader="dot" w:pos="9630"/>
        </w:tabs>
        <w:rPr>
          <w:rFonts w:cstheme="minorBidi"/>
          <w:noProof/>
        </w:rPr>
      </w:pPr>
      <w:hyperlink w:anchor="_Toc175128602" w:history="1">
        <w:r w:rsidR="00912BAE">
          <w:rPr>
            <w:rStyle w:val="Lienhypertexte"/>
            <w:rFonts w:ascii="Rockwell" w:hAnsi="Rockwell"/>
            <w:b/>
            <w:noProof/>
          </w:rPr>
          <w:t>CINQUIEME PARTIE : ACQUIS, PERSPECTIVES ET RECOMMANDATIONS</w:t>
        </w:r>
        <w:r w:rsidR="00912BAE">
          <w:rPr>
            <w:noProof/>
          </w:rPr>
          <w:tab/>
        </w:r>
        <w:r w:rsidR="00912BAE">
          <w:rPr>
            <w:noProof/>
          </w:rPr>
          <w:fldChar w:fldCharType="begin"/>
        </w:r>
        <w:r w:rsidR="00912BAE">
          <w:rPr>
            <w:noProof/>
          </w:rPr>
          <w:instrText xml:space="preserve"> PAGEREF _Toc175128602 \h </w:instrText>
        </w:r>
        <w:r w:rsidR="00912BAE">
          <w:rPr>
            <w:noProof/>
          </w:rPr>
        </w:r>
        <w:r w:rsidR="00912BAE">
          <w:rPr>
            <w:noProof/>
          </w:rPr>
          <w:fldChar w:fldCharType="separate"/>
        </w:r>
        <w:r w:rsidR="00261767">
          <w:rPr>
            <w:noProof/>
          </w:rPr>
          <w:t>165</w:t>
        </w:r>
        <w:r w:rsidR="00912BAE">
          <w:rPr>
            <w:noProof/>
          </w:rPr>
          <w:fldChar w:fldCharType="end"/>
        </w:r>
      </w:hyperlink>
    </w:p>
    <w:p w14:paraId="63779C4C" w14:textId="56B5DC6C" w:rsidR="00733207" w:rsidRDefault="00E06378">
      <w:pPr>
        <w:pStyle w:val="TM2"/>
        <w:rPr>
          <w:rFonts w:cstheme="minorBidi"/>
          <w:noProof/>
        </w:rPr>
      </w:pPr>
      <w:hyperlink w:anchor="_Toc175128603" w:history="1">
        <w:r w:rsidR="00912BAE">
          <w:rPr>
            <w:rStyle w:val="Lienhypertexte"/>
            <w:rFonts w:ascii="Rockwell" w:hAnsi="Rockwell"/>
            <w:b/>
            <w:noProof/>
          </w:rPr>
          <w:t>CHAPITRE I : ACQUIS</w:t>
        </w:r>
        <w:r w:rsidR="00912BAE">
          <w:rPr>
            <w:noProof/>
          </w:rPr>
          <w:tab/>
        </w:r>
        <w:r w:rsidR="00912BAE">
          <w:rPr>
            <w:noProof/>
          </w:rPr>
          <w:fldChar w:fldCharType="begin"/>
        </w:r>
        <w:r w:rsidR="00912BAE">
          <w:rPr>
            <w:noProof/>
          </w:rPr>
          <w:instrText xml:space="preserve"> PAGEREF _Toc175128603 \h </w:instrText>
        </w:r>
        <w:r w:rsidR="00912BAE">
          <w:rPr>
            <w:noProof/>
          </w:rPr>
        </w:r>
        <w:r w:rsidR="00912BAE">
          <w:rPr>
            <w:noProof/>
          </w:rPr>
          <w:fldChar w:fldCharType="separate"/>
        </w:r>
        <w:r w:rsidR="00261767">
          <w:rPr>
            <w:noProof/>
          </w:rPr>
          <w:t>166</w:t>
        </w:r>
        <w:r w:rsidR="00912BAE">
          <w:rPr>
            <w:noProof/>
          </w:rPr>
          <w:fldChar w:fldCharType="end"/>
        </w:r>
      </w:hyperlink>
    </w:p>
    <w:p w14:paraId="7EB400AC" w14:textId="625640EC" w:rsidR="00733207" w:rsidRDefault="00E06378">
      <w:pPr>
        <w:pStyle w:val="TM3"/>
        <w:tabs>
          <w:tab w:val="right" w:leader="dot" w:pos="9630"/>
        </w:tabs>
        <w:rPr>
          <w:rFonts w:cstheme="minorBidi"/>
          <w:noProof/>
        </w:rPr>
      </w:pPr>
      <w:hyperlink w:anchor="_Toc175128604" w:history="1">
        <w:r w:rsidR="00912BAE">
          <w:rPr>
            <w:rStyle w:val="Lienhypertexte"/>
            <w:rFonts w:ascii="Rockwell" w:eastAsia="Arial Narrow" w:hAnsi="Rockwell"/>
            <w:i/>
            <w:noProof/>
          </w:rPr>
          <w:t>SECTION 1 : ACQUIS D’ORDRE ADMINISTRATIF ET ORGANISATIONNEL</w:t>
        </w:r>
        <w:r w:rsidR="00912BAE">
          <w:rPr>
            <w:noProof/>
          </w:rPr>
          <w:tab/>
        </w:r>
        <w:r w:rsidR="00912BAE">
          <w:rPr>
            <w:noProof/>
          </w:rPr>
          <w:fldChar w:fldCharType="begin"/>
        </w:r>
        <w:r w:rsidR="00912BAE">
          <w:rPr>
            <w:noProof/>
          </w:rPr>
          <w:instrText xml:space="preserve"> PAGEREF _Toc175128604 \h </w:instrText>
        </w:r>
        <w:r w:rsidR="00912BAE">
          <w:rPr>
            <w:noProof/>
          </w:rPr>
        </w:r>
        <w:r w:rsidR="00912BAE">
          <w:rPr>
            <w:noProof/>
          </w:rPr>
          <w:fldChar w:fldCharType="separate"/>
        </w:r>
        <w:r w:rsidR="00261767">
          <w:rPr>
            <w:noProof/>
          </w:rPr>
          <w:t>166</w:t>
        </w:r>
        <w:r w:rsidR="00912BAE">
          <w:rPr>
            <w:noProof/>
          </w:rPr>
          <w:fldChar w:fldCharType="end"/>
        </w:r>
      </w:hyperlink>
    </w:p>
    <w:p w14:paraId="5A8ACA5B" w14:textId="44A756DF" w:rsidR="00733207" w:rsidRDefault="00E06378">
      <w:pPr>
        <w:pStyle w:val="TM3"/>
        <w:tabs>
          <w:tab w:val="right" w:leader="dot" w:pos="9630"/>
        </w:tabs>
        <w:rPr>
          <w:rFonts w:cstheme="minorBidi"/>
          <w:noProof/>
        </w:rPr>
      </w:pPr>
      <w:hyperlink w:anchor="_Toc175128605" w:history="1">
        <w:r w:rsidR="00912BAE">
          <w:rPr>
            <w:rStyle w:val="Lienhypertexte"/>
            <w:rFonts w:ascii="Rockwell" w:eastAsia="Arial Narrow" w:hAnsi="Rockwell"/>
            <w:i/>
            <w:noProof/>
          </w:rPr>
          <w:t>SECTION 2 : ACQUIS D’ORDRE MATERIEL ET TECHNOLOGIQUE</w:t>
        </w:r>
        <w:r w:rsidR="00912BAE">
          <w:rPr>
            <w:noProof/>
          </w:rPr>
          <w:tab/>
        </w:r>
        <w:r w:rsidR="00912BAE">
          <w:rPr>
            <w:noProof/>
          </w:rPr>
          <w:fldChar w:fldCharType="begin"/>
        </w:r>
        <w:r w:rsidR="00912BAE">
          <w:rPr>
            <w:noProof/>
          </w:rPr>
          <w:instrText xml:space="preserve"> PAGEREF _Toc175128605 \h </w:instrText>
        </w:r>
        <w:r w:rsidR="00912BAE">
          <w:rPr>
            <w:noProof/>
          </w:rPr>
        </w:r>
        <w:r w:rsidR="00912BAE">
          <w:rPr>
            <w:noProof/>
          </w:rPr>
          <w:fldChar w:fldCharType="separate"/>
        </w:r>
        <w:r w:rsidR="00261767">
          <w:rPr>
            <w:noProof/>
          </w:rPr>
          <w:t>167</w:t>
        </w:r>
        <w:r w:rsidR="00912BAE">
          <w:rPr>
            <w:noProof/>
          </w:rPr>
          <w:fldChar w:fldCharType="end"/>
        </w:r>
      </w:hyperlink>
    </w:p>
    <w:p w14:paraId="1981F946" w14:textId="265701E1" w:rsidR="00733207" w:rsidRDefault="00E06378">
      <w:pPr>
        <w:pStyle w:val="TM2"/>
        <w:rPr>
          <w:rFonts w:cstheme="minorBidi"/>
          <w:noProof/>
        </w:rPr>
      </w:pPr>
      <w:hyperlink w:anchor="_Toc175128606" w:history="1">
        <w:r w:rsidR="00912BAE">
          <w:rPr>
            <w:rStyle w:val="Lienhypertexte"/>
            <w:rFonts w:ascii="Rockwell" w:hAnsi="Rockwell"/>
            <w:b/>
            <w:noProof/>
          </w:rPr>
          <w:t>CHAPITRE II : PERSPECTIVES ET RECOMMANDATIONS</w:t>
        </w:r>
        <w:r w:rsidR="00912BAE">
          <w:rPr>
            <w:noProof/>
          </w:rPr>
          <w:tab/>
        </w:r>
        <w:r w:rsidR="00912BAE">
          <w:rPr>
            <w:noProof/>
          </w:rPr>
          <w:fldChar w:fldCharType="begin"/>
        </w:r>
        <w:r w:rsidR="00912BAE">
          <w:rPr>
            <w:noProof/>
          </w:rPr>
          <w:instrText xml:space="preserve"> PAGEREF _Toc175128606 \h </w:instrText>
        </w:r>
        <w:r w:rsidR="00912BAE">
          <w:rPr>
            <w:noProof/>
          </w:rPr>
        </w:r>
        <w:r w:rsidR="00912BAE">
          <w:rPr>
            <w:noProof/>
          </w:rPr>
          <w:fldChar w:fldCharType="separate"/>
        </w:r>
        <w:r w:rsidR="00261767">
          <w:rPr>
            <w:noProof/>
          </w:rPr>
          <w:t>169</w:t>
        </w:r>
        <w:r w:rsidR="00912BAE">
          <w:rPr>
            <w:noProof/>
          </w:rPr>
          <w:fldChar w:fldCharType="end"/>
        </w:r>
      </w:hyperlink>
    </w:p>
    <w:p w14:paraId="2A44C1B5" w14:textId="7A781548" w:rsidR="00733207" w:rsidRDefault="00E06378">
      <w:pPr>
        <w:pStyle w:val="TM3"/>
        <w:tabs>
          <w:tab w:val="right" w:leader="dot" w:pos="9630"/>
        </w:tabs>
        <w:rPr>
          <w:rFonts w:cstheme="minorBidi"/>
          <w:noProof/>
        </w:rPr>
      </w:pPr>
      <w:hyperlink w:anchor="_Toc175128607" w:history="1">
        <w:r w:rsidR="00912BAE">
          <w:rPr>
            <w:rStyle w:val="Lienhypertexte"/>
            <w:rFonts w:ascii="Rockwell" w:hAnsi="Rockwell"/>
            <w:i/>
            <w:noProof/>
          </w:rPr>
          <w:t>SECTION 1 : PERSPECTIVES</w:t>
        </w:r>
        <w:r w:rsidR="00912BAE">
          <w:rPr>
            <w:noProof/>
          </w:rPr>
          <w:tab/>
        </w:r>
        <w:r w:rsidR="00912BAE">
          <w:rPr>
            <w:noProof/>
          </w:rPr>
          <w:fldChar w:fldCharType="begin"/>
        </w:r>
        <w:r w:rsidR="00912BAE">
          <w:rPr>
            <w:noProof/>
          </w:rPr>
          <w:instrText xml:space="preserve"> PAGEREF _Toc175128607 \h </w:instrText>
        </w:r>
        <w:r w:rsidR="00912BAE">
          <w:rPr>
            <w:noProof/>
          </w:rPr>
        </w:r>
        <w:r w:rsidR="00912BAE">
          <w:rPr>
            <w:noProof/>
          </w:rPr>
          <w:fldChar w:fldCharType="separate"/>
        </w:r>
        <w:r w:rsidR="00261767">
          <w:rPr>
            <w:noProof/>
          </w:rPr>
          <w:t>169</w:t>
        </w:r>
        <w:r w:rsidR="00912BAE">
          <w:rPr>
            <w:noProof/>
          </w:rPr>
          <w:fldChar w:fldCharType="end"/>
        </w:r>
      </w:hyperlink>
    </w:p>
    <w:p w14:paraId="2AC7F6FA" w14:textId="256A62DF" w:rsidR="00733207" w:rsidRDefault="00E06378">
      <w:pPr>
        <w:pStyle w:val="TM3"/>
        <w:tabs>
          <w:tab w:val="right" w:leader="dot" w:pos="9630"/>
        </w:tabs>
        <w:rPr>
          <w:rFonts w:cstheme="minorBidi"/>
          <w:noProof/>
        </w:rPr>
      </w:pPr>
      <w:hyperlink w:anchor="_Toc175128608" w:history="1">
        <w:r w:rsidR="00912BAE">
          <w:rPr>
            <w:rStyle w:val="Lienhypertexte"/>
            <w:rFonts w:ascii="Rockwell" w:hAnsi="Rockwell"/>
            <w:i/>
            <w:noProof/>
          </w:rPr>
          <w:t>SECTION 2 : RECOMMANDATIONS</w:t>
        </w:r>
        <w:r w:rsidR="00912BAE">
          <w:rPr>
            <w:noProof/>
          </w:rPr>
          <w:tab/>
        </w:r>
        <w:r w:rsidR="00912BAE">
          <w:rPr>
            <w:noProof/>
          </w:rPr>
          <w:fldChar w:fldCharType="begin"/>
        </w:r>
        <w:r w:rsidR="00912BAE">
          <w:rPr>
            <w:noProof/>
          </w:rPr>
          <w:instrText xml:space="preserve"> PAGEREF _Toc175128608 \h </w:instrText>
        </w:r>
        <w:r w:rsidR="00912BAE">
          <w:rPr>
            <w:noProof/>
          </w:rPr>
        </w:r>
        <w:r w:rsidR="00912BAE">
          <w:rPr>
            <w:noProof/>
          </w:rPr>
          <w:fldChar w:fldCharType="separate"/>
        </w:r>
        <w:r w:rsidR="00261767">
          <w:rPr>
            <w:noProof/>
          </w:rPr>
          <w:t>170</w:t>
        </w:r>
        <w:r w:rsidR="00912BAE">
          <w:rPr>
            <w:noProof/>
          </w:rPr>
          <w:fldChar w:fldCharType="end"/>
        </w:r>
      </w:hyperlink>
    </w:p>
    <w:p w14:paraId="545A8D77" w14:textId="7B116EED" w:rsidR="00733207" w:rsidRDefault="00E06378">
      <w:pPr>
        <w:pStyle w:val="TM1"/>
        <w:tabs>
          <w:tab w:val="right" w:leader="dot" w:pos="9630"/>
        </w:tabs>
        <w:rPr>
          <w:rFonts w:cstheme="minorBidi"/>
          <w:noProof/>
        </w:rPr>
      </w:pPr>
      <w:hyperlink w:anchor="_Toc175128609" w:history="1">
        <w:r w:rsidR="00912BAE">
          <w:rPr>
            <w:rStyle w:val="Lienhypertexte"/>
            <w:rFonts w:ascii="Rockwell" w:hAnsi="Rockwell"/>
            <w:b/>
            <w:noProof/>
          </w:rPr>
          <w:t>CONCLUSION</w:t>
        </w:r>
        <w:r w:rsidR="00912BAE">
          <w:rPr>
            <w:noProof/>
          </w:rPr>
          <w:tab/>
        </w:r>
        <w:r w:rsidR="00912BAE">
          <w:rPr>
            <w:noProof/>
          </w:rPr>
          <w:fldChar w:fldCharType="begin"/>
        </w:r>
        <w:r w:rsidR="00912BAE">
          <w:rPr>
            <w:noProof/>
          </w:rPr>
          <w:instrText xml:space="preserve"> PAGEREF _Toc175128609 \h </w:instrText>
        </w:r>
        <w:r w:rsidR="00912BAE">
          <w:rPr>
            <w:noProof/>
          </w:rPr>
        </w:r>
        <w:r w:rsidR="00912BAE">
          <w:rPr>
            <w:noProof/>
          </w:rPr>
          <w:fldChar w:fldCharType="separate"/>
        </w:r>
        <w:r w:rsidR="00261767">
          <w:rPr>
            <w:noProof/>
          </w:rPr>
          <w:t>171</w:t>
        </w:r>
        <w:r w:rsidR="00912BAE">
          <w:rPr>
            <w:noProof/>
          </w:rPr>
          <w:fldChar w:fldCharType="end"/>
        </w:r>
      </w:hyperlink>
    </w:p>
    <w:p w14:paraId="30F1F45C" w14:textId="5C79606E" w:rsidR="00733207" w:rsidRDefault="00E06378">
      <w:pPr>
        <w:pStyle w:val="TM1"/>
        <w:tabs>
          <w:tab w:val="right" w:leader="dot" w:pos="9630"/>
        </w:tabs>
        <w:rPr>
          <w:rFonts w:cstheme="minorBidi"/>
          <w:noProof/>
        </w:rPr>
      </w:pPr>
      <w:hyperlink w:anchor="_Toc175128610" w:history="1">
        <w:r w:rsidR="00912BAE">
          <w:rPr>
            <w:rStyle w:val="Lienhypertexte"/>
            <w:rFonts w:ascii="Rockwell" w:hAnsi="Rockwell"/>
            <w:b/>
            <w:noProof/>
          </w:rPr>
          <w:t>TABLE DES MATIERES</w:t>
        </w:r>
        <w:r w:rsidR="00912BAE">
          <w:rPr>
            <w:noProof/>
          </w:rPr>
          <w:tab/>
        </w:r>
        <w:r w:rsidR="00912BAE">
          <w:rPr>
            <w:noProof/>
          </w:rPr>
          <w:fldChar w:fldCharType="begin"/>
        </w:r>
        <w:r w:rsidR="00912BAE">
          <w:rPr>
            <w:noProof/>
          </w:rPr>
          <w:instrText xml:space="preserve"> PAGEREF _Toc175128610 \h </w:instrText>
        </w:r>
        <w:r w:rsidR="00912BAE">
          <w:rPr>
            <w:noProof/>
          </w:rPr>
        </w:r>
        <w:r w:rsidR="00912BAE">
          <w:rPr>
            <w:noProof/>
          </w:rPr>
          <w:fldChar w:fldCharType="separate"/>
        </w:r>
        <w:r w:rsidR="00261767">
          <w:rPr>
            <w:noProof/>
          </w:rPr>
          <w:t>173</w:t>
        </w:r>
        <w:r w:rsidR="00912BAE">
          <w:rPr>
            <w:noProof/>
          </w:rPr>
          <w:fldChar w:fldCharType="end"/>
        </w:r>
      </w:hyperlink>
    </w:p>
    <w:p w14:paraId="4D383700" w14:textId="431854A0" w:rsidR="00733207" w:rsidRDefault="00E06378">
      <w:pPr>
        <w:pStyle w:val="TM1"/>
        <w:tabs>
          <w:tab w:val="right" w:leader="dot" w:pos="9630"/>
        </w:tabs>
        <w:rPr>
          <w:rFonts w:cstheme="minorBidi"/>
          <w:noProof/>
        </w:rPr>
      </w:pPr>
      <w:hyperlink w:anchor="_Toc175128611" w:history="1">
        <w:r w:rsidR="00912BAE">
          <w:rPr>
            <w:rStyle w:val="Lienhypertexte"/>
            <w:rFonts w:ascii="Rockwell" w:hAnsi="Rockwell"/>
            <w:b/>
            <w:noProof/>
          </w:rPr>
          <w:t>ANNEXES</w:t>
        </w:r>
        <w:r w:rsidR="00912BAE">
          <w:rPr>
            <w:noProof/>
          </w:rPr>
          <w:tab/>
        </w:r>
        <w:r w:rsidR="00912BAE">
          <w:rPr>
            <w:noProof/>
          </w:rPr>
          <w:fldChar w:fldCharType="begin"/>
        </w:r>
        <w:r w:rsidR="00912BAE">
          <w:rPr>
            <w:noProof/>
          </w:rPr>
          <w:instrText xml:space="preserve"> PAGEREF _Toc175128611 \h </w:instrText>
        </w:r>
        <w:r w:rsidR="00912BAE">
          <w:rPr>
            <w:noProof/>
          </w:rPr>
        </w:r>
        <w:r w:rsidR="00912BAE">
          <w:rPr>
            <w:noProof/>
          </w:rPr>
          <w:fldChar w:fldCharType="separate"/>
        </w:r>
        <w:r w:rsidR="00261767">
          <w:rPr>
            <w:noProof/>
          </w:rPr>
          <w:t>180</w:t>
        </w:r>
        <w:r w:rsidR="00912BAE">
          <w:rPr>
            <w:noProof/>
          </w:rPr>
          <w:fldChar w:fldCharType="end"/>
        </w:r>
      </w:hyperlink>
    </w:p>
    <w:p w14:paraId="0FDA9751" w14:textId="77777777" w:rsidR="00733207" w:rsidRDefault="00912BAE">
      <w:pPr>
        <w:spacing w:before="120" w:after="120" w:line="360" w:lineRule="auto"/>
        <w:jc w:val="both"/>
        <w:rPr>
          <w:rFonts w:ascii="Rockwell" w:hAnsi="Rockwell" w:cs="Times New Roman"/>
          <w:sz w:val="26"/>
          <w:szCs w:val="26"/>
        </w:rPr>
      </w:pPr>
      <w:r>
        <w:rPr>
          <w:rFonts w:ascii="Rockwell" w:hAnsi="Rockwell" w:cs="Times New Roman"/>
          <w:sz w:val="26"/>
          <w:szCs w:val="26"/>
        </w:rPr>
        <w:fldChar w:fldCharType="end"/>
      </w:r>
    </w:p>
    <w:p w14:paraId="4FEBC83B" w14:textId="77777777" w:rsidR="00733207" w:rsidRDefault="00733207">
      <w:pPr>
        <w:spacing w:before="120" w:after="120" w:line="360" w:lineRule="auto"/>
        <w:jc w:val="both"/>
        <w:rPr>
          <w:rFonts w:ascii="Rockwell" w:hAnsi="Rockwell" w:cs="Times New Roman"/>
          <w:sz w:val="26"/>
          <w:szCs w:val="26"/>
        </w:rPr>
      </w:pPr>
    </w:p>
    <w:p w14:paraId="236D560E" w14:textId="77777777" w:rsidR="00733207" w:rsidRDefault="00733207">
      <w:pPr>
        <w:spacing w:before="120" w:after="120" w:line="360" w:lineRule="auto"/>
        <w:jc w:val="both"/>
        <w:rPr>
          <w:rFonts w:ascii="Rockwell" w:hAnsi="Rockwell" w:cs="Times New Roman"/>
          <w:sz w:val="26"/>
          <w:szCs w:val="26"/>
        </w:rPr>
      </w:pPr>
    </w:p>
    <w:p w14:paraId="348B09AA" w14:textId="77777777" w:rsidR="00733207" w:rsidRDefault="00733207">
      <w:pPr>
        <w:spacing w:before="120" w:after="120" w:line="360" w:lineRule="auto"/>
        <w:jc w:val="both"/>
        <w:rPr>
          <w:rFonts w:ascii="Rockwell" w:hAnsi="Rockwell" w:cs="Times New Roman"/>
          <w:sz w:val="26"/>
          <w:szCs w:val="26"/>
        </w:rPr>
      </w:pPr>
    </w:p>
    <w:p w14:paraId="54FE8989" w14:textId="77777777" w:rsidR="00733207" w:rsidRDefault="00733207">
      <w:pPr>
        <w:spacing w:before="120" w:after="120" w:line="360" w:lineRule="auto"/>
        <w:jc w:val="both"/>
        <w:rPr>
          <w:rFonts w:ascii="Rockwell" w:hAnsi="Rockwell" w:cs="Times New Roman"/>
          <w:sz w:val="26"/>
          <w:szCs w:val="26"/>
        </w:rPr>
      </w:pPr>
    </w:p>
    <w:p w14:paraId="43EF3140" w14:textId="77777777" w:rsidR="00733207" w:rsidRDefault="00733207">
      <w:pPr>
        <w:pStyle w:val="Titre1"/>
        <w:jc w:val="both"/>
        <w:rPr>
          <w:rFonts w:ascii="Rockwell" w:hAnsi="Rockwell"/>
          <w:b/>
          <w:color w:val="auto"/>
        </w:rPr>
      </w:pPr>
    </w:p>
    <w:p w14:paraId="4A412DFB" w14:textId="77777777" w:rsidR="00733207" w:rsidRDefault="00733207">
      <w:pPr>
        <w:pStyle w:val="Titre1"/>
        <w:jc w:val="both"/>
        <w:rPr>
          <w:rFonts w:ascii="Rockwell" w:hAnsi="Rockwell"/>
          <w:b/>
          <w:color w:val="auto"/>
        </w:rPr>
      </w:pPr>
    </w:p>
    <w:p w14:paraId="418DC5D5" w14:textId="77777777" w:rsidR="00733207" w:rsidRDefault="00733207">
      <w:pPr>
        <w:pStyle w:val="Titre1"/>
        <w:jc w:val="both"/>
        <w:rPr>
          <w:rFonts w:ascii="Rockwell" w:hAnsi="Rockwell"/>
          <w:b/>
          <w:color w:val="auto"/>
        </w:rPr>
      </w:pPr>
    </w:p>
    <w:p w14:paraId="76EB5970" w14:textId="77777777" w:rsidR="00733207" w:rsidRDefault="00733207">
      <w:pPr>
        <w:pStyle w:val="Titre1"/>
        <w:jc w:val="both"/>
        <w:rPr>
          <w:rFonts w:ascii="Rockwell" w:hAnsi="Rockwell"/>
          <w:b/>
          <w:color w:val="auto"/>
        </w:rPr>
      </w:pPr>
    </w:p>
    <w:p w14:paraId="3DD30E74" w14:textId="77777777" w:rsidR="00733207" w:rsidRDefault="00733207">
      <w:pPr>
        <w:pStyle w:val="Titre1"/>
        <w:jc w:val="both"/>
        <w:rPr>
          <w:rFonts w:ascii="Rockwell" w:hAnsi="Rockwell"/>
          <w:b/>
          <w:color w:val="auto"/>
          <w:sz w:val="40"/>
          <w:szCs w:val="40"/>
        </w:rPr>
      </w:pPr>
    </w:p>
    <w:p w14:paraId="64DE6037" w14:textId="77777777" w:rsidR="00733207" w:rsidRDefault="00733207">
      <w:pPr>
        <w:pStyle w:val="Titre1"/>
        <w:jc w:val="both"/>
        <w:rPr>
          <w:rFonts w:ascii="Rockwell" w:hAnsi="Rockwell"/>
          <w:b/>
          <w:color w:val="auto"/>
          <w:sz w:val="40"/>
          <w:szCs w:val="40"/>
        </w:rPr>
      </w:pPr>
    </w:p>
    <w:p w14:paraId="421E0349" w14:textId="77777777" w:rsidR="00733207" w:rsidRDefault="00733207"/>
    <w:p w14:paraId="1470D12D" w14:textId="77777777" w:rsidR="00733207" w:rsidRDefault="00733207"/>
    <w:p w14:paraId="1D8B27D5" w14:textId="77777777" w:rsidR="00733207" w:rsidRDefault="00733207"/>
    <w:p w14:paraId="73B8A437" w14:textId="77777777" w:rsidR="00733207" w:rsidRDefault="00733207"/>
    <w:p w14:paraId="1845418F" w14:textId="77777777" w:rsidR="00733207" w:rsidRDefault="00733207"/>
    <w:p w14:paraId="63285CE1" w14:textId="77777777" w:rsidR="00733207" w:rsidRDefault="00733207"/>
    <w:p w14:paraId="384608C8" w14:textId="77777777" w:rsidR="00733207" w:rsidRDefault="00733207"/>
    <w:p w14:paraId="5D9C9A9E" w14:textId="77777777" w:rsidR="00733207" w:rsidRDefault="00733207"/>
    <w:p w14:paraId="600EE79C" w14:textId="77777777" w:rsidR="00733207" w:rsidRDefault="00733207"/>
    <w:p w14:paraId="40FF0A66" w14:textId="77777777" w:rsidR="00733207" w:rsidRDefault="00733207"/>
    <w:p w14:paraId="2671802F" w14:textId="77777777" w:rsidR="00733207" w:rsidRDefault="00733207"/>
    <w:p w14:paraId="0D625E4F" w14:textId="77777777" w:rsidR="00733207" w:rsidRDefault="00733207"/>
    <w:p w14:paraId="0CE31D19" w14:textId="77777777" w:rsidR="00733207" w:rsidRDefault="00733207"/>
    <w:p w14:paraId="7CD501E2" w14:textId="77777777" w:rsidR="00733207" w:rsidRDefault="00733207"/>
    <w:p w14:paraId="31E6A0DF" w14:textId="77777777" w:rsidR="00733207" w:rsidRDefault="00733207"/>
    <w:p w14:paraId="627FB805" w14:textId="77777777" w:rsidR="00733207" w:rsidRDefault="00733207"/>
    <w:p w14:paraId="66D7C73C" w14:textId="77777777" w:rsidR="00733207" w:rsidRDefault="00733207"/>
    <w:p w14:paraId="62BE38E5" w14:textId="77777777" w:rsidR="00733207" w:rsidRDefault="00733207"/>
    <w:p w14:paraId="47157407" w14:textId="77777777" w:rsidR="00733207" w:rsidRDefault="00733207"/>
    <w:p w14:paraId="32E1D69A" w14:textId="77777777" w:rsidR="00733207" w:rsidRDefault="00912BAE">
      <w:pPr>
        <w:pStyle w:val="Titre1"/>
        <w:jc w:val="center"/>
        <w:rPr>
          <w:rFonts w:ascii="Rockwell" w:hAnsi="Rockwell"/>
          <w:b/>
          <w:color w:val="auto"/>
          <w:sz w:val="40"/>
          <w:szCs w:val="40"/>
        </w:rPr>
      </w:pPr>
      <w:bookmarkStart w:id="613" w:name="_Toc175128611"/>
      <w:r>
        <w:rPr>
          <w:rFonts w:ascii="Rockwell" w:hAnsi="Rockwell"/>
          <w:b/>
          <w:color w:val="auto"/>
          <w:sz w:val="40"/>
          <w:szCs w:val="40"/>
        </w:rPr>
        <w:t>ANNEXES</w:t>
      </w:r>
      <w:bookmarkEnd w:id="613"/>
    </w:p>
    <w:p w14:paraId="1CF2971B" w14:textId="77777777" w:rsidR="00733207" w:rsidRDefault="00733207">
      <w:pPr>
        <w:jc w:val="both"/>
        <w:rPr>
          <w:rFonts w:ascii="Rockwell" w:hAnsi="Rockwell"/>
        </w:rPr>
      </w:pPr>
    </w:p>
    <w:p w14:paraId="219BB363" w14:textId="77777777" w:rsidR="00733207" w:rsidRDefault="00733207">
      <w:pPr>
        <w:jc w:val="both"/>
        <w:rPr>
          <w:rFonts w:ascii="Rockwell" w:hAnsi="Rockwell"/>
        </w:rPr>
      </w:pPr>
    </w:p>
    <w:p w14:paraId="6D3DA8DD" w14:textId="77777777" w:rsidR="00733207" w:rsidRDefault="00733207">
      <w:pPr>
        <w:jc w:val="both"/>
        <w:rPr>
          <w:rFonts w:ascii="Rockwell" w:hAnsi="Rockwell"/>
        </w:rPr>
      </w:pPr>
    </w:p>
    <w:p w14:paraId="7184268F" w14:textId="77777777" w:rsidR="00733207" w:rsidRDefault="00733207">
      <w:pPr>
        <w:jc w:val="both"/>
        <w:rPr>
          <w:rFonts w:ascii="Rockwell" w:hAnsi="Rockwell"/>
        </w:rPr>
      </w:pPr>
    </w:p>
    <w:p w14:paraId="75C83AF3" w14:textId="77777777" w:rsidR="00733207" w:rsidRDefault="00733207">
      <w:pPr>
        <w:jc w:val="both"/>
        <w:rPr>
          <w:rFonts w:ascii="Rockwell" w:hAnsi="Rockwell"/>
        </w:rPr>
      </w:pPr>
    </w:p>
    <w:p w14:paraId="1D8A77FD" w14:textId="77777777" w:rsidR="00733207" w:rsidRDefault="00733207">
      <w:pPr>
        <w:jc w:val="both"/>
        <w:rPr>
          <w:rFonts w:ascii="Rockwell" w:hAnsi="Rockwell"/>
        </w:rPr>
      </w:pPr>
    </w:p>
    <w:p w14:paraId="6429D430" w14:textId="77777777" w:rsidR="00733207" w:rsidRDefault="00733207">
      <w:pPr>
        <w:jc w:val="both"/>
        <w:rPr>
          <w:rFonts w:ascii="Rockwell" w:hAnsi="Rockwell"/>
        </w:rPr>
      </w:pPr>
    </w:p>
    <w:p w14:paraId="33BE26E1" w14:textId="77777777" w:rsidR="00733207" w:rsidRDefault="00733207">
      <w:pPr>
        <w:jc w:val="both"/>
        <w:rPr>
          <w:rFonts w:ascii="Rockwell" w:hAnsi="Rockwell"/>
        </w:rPr>
      </w:pPr>
    </w:p>
    <w:p w14:paraId="20E65FBB" w14:textId="77777777" w:rsidR="00733207" w:rsidRDefault="00733207">
      <w:pPr>
        <w:jc w:val="both"/>
        <w:rPr>
          <w:rFonts w:ascii="Rockwell" w:hAnsi="Rockwell"/>
        </w:rPr>
      </w:pPr>
    </w:p>
    <w:p w14:paraId="40F3422E" w14:textId="77777777" w:rsidR="00733207" w:rsidRDefault="00733207">
      <w:pPr>
        <w:jc w:val="both"/>
        <w:rPr>
          <w:rFonts w:ascii="Rockwell" w:hAnsi="Rockwell"/>
        </w:rPr>
      </w:pPr>
    </w:p>
    <w:p w14:paraId="4F3EAFDC" w14:textId="77777777" w:rsidR="00733207" w:rsidRDefault="00733207">
      <w:pPr>
        <w:jc w:val="both"/>
        <w:rPr>
          <w:rFonts w:ascii="Rockwell" w:hAnsi="Rockwell"/>
        </w:rPr>
      </w:pPr>
    </w:p>
    <w:p w14:paraId="32ED59E6" w14:textId="77777777" w:rsidR="00733207" w:rsidRDefault="00733207">
      <w:pPr>
        <w:jc w:val="both"/>
        <w:rPr>
          <w:rFonts w:ascii="Rockwell" w:hAnsi="Rockwell"/>
        </w:rPr>
      </w:pPr>
    </w:p>
    <w:p w14:paraId="569E9143" w14:textId="4F1B83E5" w:rsidR="00733207" w:rsidRDefault="00733207">
      <w:pPr>
        <w:jc w:val="both"/>
        <w:rPr>
          <w:rFonts w:ascii="Rockwell" w:hAnsi="Rockwell"/>
        </w:rPr>
      </w:pPr>
    </w:p>
    <w:p w14:paraId="6D9FD7AF" w14:textId="77777777" w:rsidR="000F5D96" w:rsidRDefault="000F5D96">
      <w:pPr>
        <w:jc w:val="both"/>
        <w:rPr>
          <w:rFonts w:ascii="Rockwell" w:hAnsi="Rockwell"/>
        </w:rPr>
      </w:pPr>
    </w:p>
    <w:p w14:paraId="1C37A6D6" w14:textId="77777777" w:rsidR="00733207" w:rsidRDefault="00733207">
      <w:pPr>
        <w:jc w:val="both"/>
        <w:rPr>
          <w:rFonts w:ascii="Rockwell" w:hAnsi="Rockwell"/>
        </w:rPr>
      </w:pPr>
    </w:p>
    <w:p w14:paraId="1E081E03" w14:textId="77777777" w:rsidR="00733207" w:rsidRDefault="00733207">
      <w:pPr>
        <w:jc w:val="both"/>
        <w:rPr>
          <w:rFonts w:ascii="Rockwell" w:hAnsi="Rockwell"/>
        </w:rPr>
      </w:pPr>
    </w:p>
    <w:p w14:paraId="38740A65" w14:textId="77777777" w:rsidR="00733207" w:rsidRDefault="00733207">
      <w:pPr>
        <w:jc w:val="both"/>
        <w:rPr>
          <w:rFonts w:ascii="Rockwell" w:hAnsi="Rockwell"/>
        </w:rPr>
      </w:pPr>
    </w:p>
    <w:p w14:paraId="56BF8C19" w14:textId="77777777" w:rsidR="00733207" w:rsidRDefault="00733207">
      <w:pPr>
        <w:jc w:val="both"/>
        <w:rPr>
          <w:rFonts w:ascii="Rockwell" w:hAnsi="Rockwell"/>
        </w:rPr>
      </w:pPr>
    </w:p>
    <w:p w14:paraId="0D6E78E5" w14:textId="77777777" w:rsidR="00733207" w:rsidRDefault="00733207">
      <w:pPr>
        <w:jc w:val="both"/>
        <w:rPr>
          <w:rFonts w:ascii="Rockwell" w:hAnsi="Rockwell"/>
        </w:rPr>
      </w:pPr>
    </w:p>
    <w:p w14:paraId="6220AC8D" w14:textId="77777777" w:rsidR="00733207" w:rsidRDefault="00733207">
      <w:pPr>
        <w:jc w:val="both"/>
        <w:rPr>
          <w:rFonts w:ascii="Rockwell" w:hAnsi="Rockwell"/>
        </w:rPr>
      </w:pPr>
    </w:p>
    <w:p w14:paraId="5BCC75D6" w14:textId="77777777" w:rsidR="00733207" w:rsidRDefault="00733207">
      <w:pPr>
        <w:jc w:val="both"/>
        <w:rPr>
          <w:rFonts w:ascii="Rockwell" w:hAnsi="Rockwell"/>
        </w:rPr>
      </w:pPr>
    </w:p>
    <w:p w14:paraId="57D781B6" w14:textId="77777777" w:rsidR="000F5D96" w:rsidRDefault="000F5D96">
      <w:pPr>
        <w:jc w:val="center"/>
        <w:rPr>
          <w:rFonts w:ascii="Rockwell" w:hAnsi="Rockwell"/>
          <w:b/>
          <w:i/>
          <w:sz w:val="32"/>
          <w:szCs w:val="32"/>
        </w:rPr>
      </w:pPr>
    </w:p>
    <w:p w14:paraId="0E0B20B5" w14:textId="77777777" w:rsidR="000F5D96" w:rsidRDefault="000F5D96">
      <w:pPr>
        <w:jc w:val="center"/>
        <w:rPr>
          <w:rFonts w:ascii="Rockwell" w:hAnsi="Rockwell"/>
          <w:b/>
          <w:i/>
          <w:sz w:val="32"/>
          <w:szCs w:val="32"/>
        </w:rPr>
      </w:pPr>
    </w:p>
    <w:p w14:paraId="3FCE692A" w14:textId="77777777" w:rsidR="000F5D96" w:rsidRDefault="000F5D96">
      <w:pPr>
        <w:jc w:val="center"/>
        <w:rPr>
          <w:rFonts w:ascii="Rockwell" w:hAnsi="Rockwell"/>
          <w:b/>
          <w:i/>
          <w:sz w:val="32"/>
          <w:szCs w:val="32"/>
        </w:rPr>
      </w:pPr>
    </w:p>
    <w:p w14:paraId="666C8DB0" w14:textId="77777777" w:rsidR="000F5D96" w:rsidRDefault="000F5D96">
      <w:pPr>
        <w:jc w:val="center"/>
        <w:rPr>
          <w:rFonts w:ascii="Rockwell" w:hAnsi="Rockwell"/>
          <w:b/>
          <w:i/>
          <w:sz w:val="32"/>
          <w:szCs w:val="32"/>
        </w:rPr>
      </w:pPr>
    </w:p>
    <w:p w14:paraId="2B41221D" w14:textId="06282BDE" w:rsidR="000F5D96" w:rsidRDefault="000F5D96">
      <w:pPr>
        <w:jc w:val="center"/>
        <w:rPr>
          <w:rFonts w:ascii="Rockwell" w:hAnsi="Rockwell"/>
          <w:b/>
          <w:i/>
          <w:sz w:val="32"/>
          <w:szCs w:val="32"/>
        </w:rPr>
      </w:pPr>
    </w:p>
    <w:p w14:paraId="4E27A9B5" w14:textId="09C03186" w:rsidR="000F5D96" w:rsidRDefault="000F5D96">
      <w:pPr>
        <w:jc w:val="center"/>
        <w:rPr>
          <w:rFonts w:ascii="Rockwell" w:hAnsi="Rockwell"/>
          <w:b/>
          <w:i/>
          <w:sz w:val="32"/>
          <w:szCs w:val="32"/>
        </w:rPr>
      </w:pPr>
    </w:p>
    <w:p w14:paraId="2D38A3FE" w14:textId="072B192A" w:rsidR="000F5D96" w:rsidRDefault="000F5D96">
      <w:pPr>
        <w:jc w:val="center"/>
        <w:rPr>
          <w:rFonts w:ascii="Rockwell" w:hAnsi="Rockwell"/>
          <w:b/>
          <w:i/>
          <w:sz w:val="32"/>
          <w:szCs w:val="32"/>
        </w:rPr>
      </w:pPr>
    </w:p>
    <w:p w14:paraId="1B711708" w14:textId="5468580C" w:rsidR="000F5D96" w:rsidRDefault="000F5D96">
      <w:pPr>
        <w:jc w:val="center"/>
        <w:rPr>
          <w:rFonts w:ascii="Rockwell" w:hAnsi="Rockwell"/>
          <w:b/>
          <w:i/>
          <w:sz w:val="32"/>
          <w:szCs w:val="32"/>
        </w:rPr>
      </w:pPr>
    </w:p>
    <w:p w14:paraId="42069D4D" w14:textId="589AD4BA" w:rsidR="000F5D96" w:rsidRDefault="000F5D96">
      <w:pPr>
        <w:jc w:val="center"/>
        <w:rPr>
          <w:rFonts w:ascii="Rockwell" w:hAnsi="Rockwell"/>
          <w:b/>
          <w:i/>
          <w:sz w:val="32"/>
          <w:szCs w:val="32"/>
        </w:rPr>
      </w:pPr>
    </w:p>
    <w:p w14:paraId="46DFB997" w14:textId="77777777" w:rsidR="000F5D96" w:rsidRDefault="000F5D96">
      <w:pPr>
        <w:jc w:val="center"/>
        <w:rPr>
          <w:rFonts w:ascii="Rockwell" w:hAnsi="Rockwell"/>
          <w:b/>
          <w:i/>
          <w:sz w:val="32"/>
          <w:szCs w:val="32"/>
        </w:rPr>
      </w:pPr>
    </w:p>
    <w:p w14:paraId="1A884460" w14:textId="77777777" w:rsidR="000F5D96" w:rsidRDefault="000F5D96">
      <w:pPr>
        <w:jc w:val="center"/>
        <w:rPr>
          <w:rFonts w:ascii="Rockwell" w:hAnsi="Rockwell"/>
          <w:b/>
          <w:i/>
          <w:sz w:val="32"/>
          <w:szCs w:val="32"/>
        </w:rPr>
      </w:pPr>
    </w:p>
    <w:p w14:paraId="4DD16922" w14:textId="1C4B9462" w:rsidR="00733207" w:rsidRDefault="00912BAE">
      <w:pPr>
        <w:jc w:val="center"/>
        <w:rPr>
          <w:rFonts w:ascii="Rockwell" w:hAnsi="Rockwell"/>
          <w:b/>
          <w:i/>
          <w:sz w:val="32"/>
          <w:szCs w:val="32"/>
        </w:rPr>
      </w:pPr>
      <w:r>
        <w:rPr>
          <w:rFonts w:ascii="Rockwell" w:hAnsi="Rockwell"/>
          <w:b/>
          <w:i/>
          <w:sz w:val="32"/>
          <w:szCs w:val="32"/>
        </w:rPr>
        <w:t>ANNEXE 1 : ENTREPRISES DE PUBLICITE DECLAREES</w:t>
      </w:r>
    </w:p>
    <w:p w14:paraId="75BB27BF" w14:textId="77777777" w:rsidR="00733207" w:rsidRDefault="00733207">
      <w:pPr>
        <w:jc w:val="both"/>
        <w:rPr>
          <w:rFonts w:ascii="Rockwell" w:hAnsi="Rockwell"/>
          <w:b/>
          <w:sz w:val="32"/>
          <w:szCs w:val="32"/>
        </w:rPr>
      </w:pPr>
    </w:p>
    <w:p w14:paraId="27F0C7E5" w14:textId="77777777" w:rsidR="00733207" w:rsidRDefault="00733207">
      <w:pPr>
        <w:jc w:val="both"/>
        <w:rPr>
          <w:rFonts w:ascii="Rockwell" w:hAnsi="Rockwell"/>
          <w:b/>
          <w:sz w:val="32"/>
          <w:szCs w:val="32"/>
        </w:rPr>
      </w:pPr>
    </w:p>
    <w:p w14:paraId="54F7F75D" w14:textId="77777777" w:rsidR="00733207" w:rsidRDefault="00733207">
      <w:pPr>
        <w:jc w:val="both"/>
        <w:rPr>
          <w:rFonts w:ascii="Rockwell" w:hAnsi="Rockwell"/>
          <w:b/>
          <w:sz w:val="32"/>
          <w:szCs w:val="32"/>
        </w:rPr>
      </w:pPr>
    </w:p>
    <w:p w14:paraId="5AAA5910" w14:textId="77777777" w:rsidR="00733207" w:rsidRDefault="00733207">
      <w:pPr>
        <w:jc w:val="both"/>
        <w:rPr>
          <w:rFonts w:ascii="Rockwell" w:hAnsi="Rockwell"/>
          <w:b/>
          <w:sz w:val="32"/>
          <w:szCs w:val="32"/>
        </w:rPr>
      </w:pPr>
    </w:p>
    <w:p w14:paraId="0EFD35E1" w14:textId="77777777" w:rsidR="00733207" w:rsidRDefault="00733207">
      <w:pPr>
        <w:jc w:val="both"/>
        <w:rPr>
          <w:rFonts w:ascii="Rockwell" w:hAnsi="Rockwell"/>
          <w:b/>
          <w:sz w:val="32"/>
          <w:szCs w:val="32"/>
        </w:rPr>
      </w:pPr>
    </w:p>
    <w:p w14:paraId="32A65F7A" w14:textId="77777777" w:rsidR="00733207" w:rsidRDefault="00733207">
      <w:pPr>
        <w:jc w:val="both"/>
        <w:rPr>
          <w:rFonts w:ascii="Rockwell" w:hAnsi="Rockwell"/>
          <w:b/>
          <w:sz w:val="32"/>
          <w:szCs w:val="32"/>
        </w:rPr>
      </w:pPr>
    </w:p>
    <w:p w14:paraId="76E3DD28" w14:textId="77777777" w:rsidR="00733207" w:rsidRDefault="00733207">
      <w:pPr>
        <w:jc w:val="both"/>
        <w:rPr>
          <w:rFonts w:ascii="Rockwell" w:hAnsi="Rockwell"/>
          <w:b/>
          <w:sz w:val="32"/>
          <w:szCs w:val="32"/>
        </w:rPr>
      </w:pPr>
    </w:p>
    <w:p w14:paraId="1A0D1FEC" w14:textId="77777777" w:rsidR="00733207" w:rsidRDefault="00733207">
      <w:pPr>
        <w:jc w:val="both"/>
        <w:rPr>
          <w:rFonts w:ascii="Rockwell" w:hAnsi="Rockwell"/>
          <w:b/>
          <w:sz w:val="32"/>
          <w:szCs w:val="32"/>
        </w:rPr>
      </w:pPr>
    </w:p>
    <w:p w14:paraId="15B1AE1B" w14:textId="77777777" w:rsidR="00733207" w:rsidRDefault="00733207">
      <w:pPr>
        <w:jc w:val="both"/>
        <w:rPr>
          <w:rFonts w:ascii="Rockwell" w:hAnsi="Rockwell"/>
          <w:b/>
          <w:sz w:val="32"/>
          <w:szCs w:val="32"/>
        </w:rPr>
      </w:pPr>
    </w:p>
    <w:p w14:paraId="6C90477A" w14:textId="77777777" w:rsidR="00733207" w:rsidRDefault="00733207">
      <w:pPr>
        <w:jc w:val="both"/>
        <w:rPr>
          <w:rFonts w:ascii="Rockwell" w:hAnsi="Rockwell"/>
          <w:b/>
          <w:sz w:val="32"/>
          <w:szCs w:val="32"/>
        </w:rPr>
      </w:pPr>
    </w:p>
    <w:p w14:paraId="28E6C85B" w14:textId="77777777" w:rsidR="00733207" w:rsidRDefault="00733207">
      <w:pPr>
        <w:jc w:val="both"/>
        <w:rPr>
          <w:rFonts w:ascii="Rockwell" w:hAnsi="Rockwell"/>
          <w:b/>
          <w:sz w:val="32"/>
          <w:szCs w:val="32"/>
        </w:rPr>
      </w:pPr>
    </w:p>
    <w:p w14:paraId="1D51719A" w14:textId="77777777" w:rsidR="00733207" w:rsidRDefault="00733207">
      <w:pPr>
        <w:jc w:val="both"/>
        <w:rPr>
          <w:rFonts w:ascii="Rockwell" w:hAnsi="Rockwell"/>
          <w:b/>
          <w:sz w:val="32"/>
          <w:szCs w:val="32"/>
        </w:rPr>
      </w:pPr>
    </w:p>
    <w:p w14:paraId="04F9D0E9" w14:textId="77777777" w:rsidR="00733207" w:rsidRDefault="00733207">
      <w:pPr>
        <w:jc w:val="both"/>
        <w:rPr>
          <w:rFonts w:ascii="Rockwell" w:hAnsi="Rockwell"/>
          <w:b/>
          <w:sz w:val="32"/>
          <w:szCs w:val="32"/>
        </w:rPr>
      </w:pPr>
    </w:p>
    <w:p w14:paraId="71413AAA" w14:textId="77777777" w:rsidR="00733207" w:rsidRDefault="00733207">
      <w:pPr>
        <w:jc w:val="both"/>
        <w:rPr>
          <w:rFonts w:ascii="Rockwell" w:hAnsi="Rockwell"/>
          <w:b/>
          <w:sz w:val="32"/>
          <w:szCs w:val="32"/>
        </w:rPr>
      </w:pPr>
    </w:p>
    <w:p w14:paraId="78A3DFB5" w14:textId="77777777" w:rsidR="00733207" w:rsidRDefault="00912BAE">
      <w:pPr>
        <w:spacing w:after="0" w:line="240" w:lineRule="auto"/>
        <w:jc w:val="center"/>
        <w:rPr>
          <w:rFonts w:ascii="Rockwell" w:eastAsia="Times New Roman" w:hAnsi="Rockwell" w:cs="Rockwell"/>
          <w:b/>
          <w:sz w:val="28"/>
          <w:szCs w:val="28"/>
          <w:lang w:eastAsia="fr-FR"/>
        </w:rPr>
      </w:pPr>
      <w:r>
        <w:rPr>
          <w:rFonts w:ascii="Rockwell" w:hAnsi="Rockwell" w:cs="Rockwell"/>
          <w:noProof/>
          <w:lang w:eastAsia="fr-FR"/>
        </w:rPr>
        <w:lastRenderedPageBreak/>
        <mc:AlternateContent>
          <mc:Choice Requires="wps">
            <w:drawing>
              <wp:anchor distT="0" distB="0" distL="114300" distR="114300" simplePos="0" relativeHeight="251665408" behindDoc="0" locked="0" layoutInCell="1" allowOverlap="1" wp14:anchorId="4A06F842" wp14:editId="086ED2AD">
                <wp:simplePos x="0" y="0"/>
                <wp:positionH relativeFrom="column">
                  <wp:posOffset>0</wp:posOffset>
                </wp:positionH>
                <wp:positionV relativeFrom="paragraph">
                  <wp:posOffset>0</wp:posOffset>
                </wp:positionV>
                <wp:extent cx="1438275" cy="995680"/>
                <wp:effectExtent l="0" t="0" r="9525" b="13970"/>
                <wp:wrapNone/>
                <wp:docPr id="6" name="Rectangle 1" descr="LogoCSC"/>
                <wp:cNvGraphicFramePr/>
                <a:graphic xmlns:a="http://schemas.openxmlformats.org/drawingml/2006/main">
                  <a:graphicData uri="http://schemas.microsoft.com/office/word/2010/wordprocessingShape">
                    <wps:wsp>
                      <wps:cNvSpPr/>
                      <wps:spPr bwMode="auto">
                        <a:xfrm>
                          <a:off x="0" y="0"/>
                          <a:ext cx="1438275" cy="995680"/>
                        </a:xfrm>
                        <a:prstGeom prst="rect">
                          <a:avLst/>
                        </a:prstGeom>
                        <a:blipFill dpi="0" rotWithShape="0">
                          <a:blip r:embed="rId67"/>
                          <a:srcRect/>
                          <a:stretch>
                            <a:fillRect/>
                          </a:stretch>
                        </a:blip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 o:spid="_x0000_s1026" o:spt="1" alt="LogoCSC" style="position:absolute;left:0pt;margin-left:0pt;margin-top:0pt;height:78.4pt;width:113.25pt;z-index:251665408;mso-width-relative:page;mso-height-relative:page;" filled="t" stroked="f" coordsize="21600,21600" o:gfxdata="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">
                <v:fill type="frame" on="t" o:title="LogoCSC" focussize="0,0" recolor="t" r:id="rId68"/>
                <v:stroke on="f"/>
                <v:imagedata o:title=""/>
                <o:lock v:ext="edit" aspectratio="f"/>
              </v:rect>
            </w:pict>
          </mc:Fallback>
        </mc:AlternateContent>
      </w:r>
      <w:r>
        <w:rPr>
          <w:rFonts w:ascii="Rockwell" w:eastAsia="Times New Roman" w:hAnsi="Rockwell" w:cs="Rockwell"/>
          <w:b/>
          <w:sz w:val="28"/>
          <w:szCs w:val="28"/>
          <w:lang w:eastAsia="fr-FR"/>
        </w:rPr>
        <w:t xml:space="preserve">                                                                                       BURKINA FASO</w:t>
      </w:r>
    </w:p>
    <w:p w14:paraId="4682AF0F" w14:textId="2EB5868E" w:rsidR="00733207" w:rsidRDefault="00912BAE">
      <w:pPr>
        <w:spacing w:after="0" w:line="240" w:lineRule="auto"/>
        <w:jc w:val="center"/>
        <w:rPr>
          <w:rFonts w:ascii="Rockwell" w:eastAsia="Times New Roman" w:hAnsi="Rockwell" w:cs="Rockwell"/>
          <w:b/>
          <w:sz w:val="28"/>
          <w:szCs w:val="28"/>
          <w:lang w:eastAsia="fr-FR"/>
        </w:rPr>
      </w:pPr>
      <w:r>
        <w:rPr>
          <w:rFonts w:ascii="Rockwell" w:eastAsia="Times New Roman" w:hAnsi="Rockwell" w:cs="Rockwell"/>
          <w:b/>
          <w:sz w:val="28"/>
          <w:szCs w:val="28"/>
          <w:lang w:eastAsia="fr-FR"/>
        </w:rPr>
        <w:t xml:space="preserve">                                                              </w:t>
      </w:r>
      <w:r w:rsidR="00261767">
        <w:rPr>
          <w:rFonts w:ascii="Rockwell" w:eastAsia="Times New Roman" w:hAnsi="Rockwell" w:cs="Rockwell"/>
          <w:b/>
          <w:sz w:val="28"/>
          <w:szCs w:val="28"/>
          <w:lang w:eastAsia="fr-FR"/>
        </w:rPr>
        <w:t xml:space="preserve">                          </w:t>
      </w:r>
      <w:r>
        <w:rPr>
          <w:rFonts w:ascii="Rockwell" w:eastAsia="Times New Roman" w:hAnsi="Rockwell" w:cs="Rockwell"/>
          <w:i/>
          <w:sz w:val="24"/>
          <w:szCs w:val="24"/>
          <w:lang w:eastAsia="fr-FR"/>
        </w:rPr>
        <w:t>--------</w:t>
      </w:r>
    </w:p>
    <w:p w14:paraId="6AC0F090" w14:textId="77777777" w:rsidR="00733207" w:rsidRDefault="00912BAE">
      <w:pPr>
        <w:spacing w:after="0" w:line="240" w:lineRule="auto"/>
        <w:rPr>
          <w:rFonts w:ascii="Rockwell" w:eastAsia="Times New Roman" w:hAnsi="Rockwell" w:cs="Rockwell"/>
          <w:i/>
          <w:sz w:val="24"/>
          <w:szCs w:val="24"/>
          <w:lang w:eastAsia="fr-FR"/>
        </w:rPr>
      </w:pPr>
      <w:r>
        <w:rPr>
          <w:rFonts w:ascii="Rockwell" w:eastAsia="Times New Roman" w:hAnsi="Rockwell" w:cs="Rockwell"/>
          <w:i/>
          <w:sz w:val="24"/>
          <w:szCs w:val="24"/>
          <w:lang w:eastAsia="fr-FR"/>
        </w:rPr>
        <w:t xml:space="preserve">                                                                                                                Unité - Progrès - Justice</w:t>
      </w:r>
    </w:p>
    <w:p w14:paraId="343CDF3B" w14:textId="77777777" w:rsidR="00733207" w:rsidRDefault="00733207">
      <w:pPr>
        <w:tabs>
          <w:tab w:val="left" w:pos="8190"/>
        </w:tabs>
        <w:spacing w:after="0"/>
        <w:rPr>
          <w:rFonts w:ascii="Rockwell" w:hAnsi="Rockwell" w:cs="Rockwell"/>
          <w:sz w:val="36"/>
        </w:rPr>
      </w:pPr>
    </w:p>
    <w:p w14:paraId="696111DC" w14:textId="77777777" w:rsidR="00733207" w:rsidRDefault="00733207">
      <w:pPr>
        <w:jc w:val="center"/>
        <w:rPr>
          <w:rFonts w:ascii="Rockwell" w:hAnsi="Rockwell" w:cs="Rockwell"/>
          <w:sz w:val="16"/>
          <w:szCs w:val="16"/>
        </w:rPr>
      </w:pPr>
    </w:p>
    <w:p w14:paraId="7604877E" w14:textId="77777777" w:rsidR="00733207" w:rsidRPr="000F5D96" w:rsidRDefault="00912BAE">
      <w:pPr>
        <w:tabs>
          <w:tab w:val="left" w:pos="4536"/>
          <w:tab w:val="left" w:pos="4820"/>
          <w:tab w:val="left" w:pos="4962"/>
        </w:tabs>
        <w:spacing w:after="0" w:line="276" w:lineRule="auto"/>
        <w:ind w:left="3969"/>
        <w:rPr>
          <w:rFonts w:ascii="Rockwell" w:hAnsi="Rockwell" w:cs="Rockwell"/>
          <w:b/>
          <w:sz w:val="26"/>
          <w:szCs w:val="26"/>
        </w:rPr>
      </w:pPr>
      <w:r w:rsidRPr="000F5D96">
        <w:rPr>
          <w:rFonts w:ascii="Rockwell" w:hAnsi="Rockwell" w:cs="Rockwell"/>
          <w:b/>
          <w:sz w:val="26"/>
          <w:szCs w:val="26"/>
        </w:rPr>
        <w:t xml:space="preserve">         Arrêté N°2023- 020 /CSC/SG</w:t>
      </w:r>
    </w:p>
    <w:p w14:paraId="6F8504FB" w14:textId="77777777" w:rsidR="00733207" w:rsidRPr="000F5D96" w:rsidRDefault="00912BAE">
      <w:pPr>
        <w:spacing w:after="0" w:line="276" w:lineRule="auto"/>
        <w:ind w:left="3544"/>
        <w:jc w:val="center"/>
        <w:rPr>
          <w:rFonts w:ascii="Rockwell" w:hAnsi="Rockwell" w:cs="Rockwell"/>
          <w:sz w:val="26"/>
          <w:szCs w:val="26"/>
        </w:rPr>
      </w:pPr>
      <w:r w:rsidRPr="000F5D96">
        <w:rPr>
          <w:rFonts w:ascii="Rockwell" w:hAnsi="Rockwell" w:cs="Rockwell"/>
          <w:sz w:val="26"/>
          <w:szCs w:val="26"/>
        </w:rPr>
        <w:t xml:space="preserve">     Portant publication de la liste des entreprises </w:t>
      </w:r>
    </w:p>
    <w:p w14:paraId="4F2C39DF" w14:textId="77777777" w:rsidR="00733207" w:rsidRPr="000F5D96" w:rsidRDefault="00912BAE">
      <w:pPr>
        <w:spacing w:after="0" w:line="276" w:lineRule="auto"/>
        <w:ind w:left="3828"/>
        <w:rPr>
          <w:rFonts w:ascii="Rockwell" w:hAnsi="Rockwell" w:cs="Rockwell"/>
          <w:sz w:val="26"/>
          <w:szCs w:val="26"/>
        </w:rPr>
      </w:pPr>
      <w:r w:rsidRPr="000F5D96">
        <w:rPr>
          <w:rFonts w:ascii="Rockwell" w:hAnsi="Rockwell" w:cs="Rockwell"/>
          <w:sz w:val="26"/>
          <w:szCs w:val="26"/>
        </w:rPr>
        <w:t xml:space="preserve">          </w:t>
      </w:r>
      <w:proofErr w:type="gramStart"/>
      <w:r w:rsidRPr="000F5D96">
        <w:rPr>
          <w:rFonts w:ascii="Rockwell" w:hAnsi="Rockwell" w:cs="Rockwell"/>
          <w:sz w:val="26"/>
          <w:szCs w:val="26"/>
        </w:rPr>
        <w:t>de</w:t>
      </w:r>
      <w:proofErr w:type="gramEnd"/>
      <w:r w:rsidRPr="000F5D96">
        <w:rPr>
          <w:rFonts w:ascii="Rockwell" w:hAnsi="Rockwell" w:cs="Rockwell"/>
          <w:sz w:val="26"/>
          <w:szCs w:val="26"/>
        </w:rPr>
        <w:t xml:space="preserve"> publicités déclarées auprès du CSC</w:t>
      </w:r>
    </w:p>
    <w:p w14:paraId="2399CF60" w14:textId="77777777" w:rsidR="00733207" w:rsidRPr="000F5D96" w:rsidRDefault="00733207">
      <w:pPr>
        <w:jc w:val="center"/>
        <w:rPr>
          <w:rFonts w:ascii="Rockwell" w:hAnsi="Rockwell" w:cs="Rockwell"/>
          <w:sz w:val="26"/>
          <w:szCs w:val="26"/>
        </w:rPr>
      </w:pPr>
    </w:p>
    <w:p w14:paraId="5A6E77D4" w14:textId="77777777" w:rsidR="00733207" w:rsidRPr="000F5D96" w:rsidRDefault="00912BAE">
      <w:pPr>
        <w:spacing w:after="240"/>
        <w:jc w:val="center"/>
        <w:rPr>
          <w:rFonts w:ascii="Rockwell" w:hAnsi="Rockwell" w:cs="Rockwell"/>
          <w:b/>
          <w:sz w:val="26"/>
          <w:szCs w:val="26"/>
        </w:rPr>
      </w:pPr>
      <w:r w:rsidRPr="000F5D96">
        <w:rPr>
          <w:rFonts w:ascii="Rockwell" w:hAnsi="Rockwell" w:cs="Rockwell"/>
          <w:b/>
          <w:sz w:val="26"/>
          <w:szCs w:val="26"/>
        </w:rPr>
        <w:t>LE PRESIDENT DU CONSEIL SUPERIEUR DE LA COMMUNICATION</w:t>
      </w:r>
    </w:p>
    <w:p w14:paraId="198551CA" w14:textId="77777777" w:rsidR="00733207" w:rsidRPr="000F5D96" w:rsidRDefault="00912BAE">
      <w:pPr>
        <w:spacing w:before="240" w:after="240" w:line="240" w:lineRule="auto"/>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VU</w:t>
      </w:r>
      <w:r w:rsidRPr="000F5D96">
        <w:rPr>
          <w:rFonts w:ascii="Rockwell" w:eastAsia="Times New Roman" w:hAnsi="Rockwell" w:cs="Rockwell"/>
          <w:sz w:val="26"/>
          <w:szCs w:val="26"/>
          <w:lang w:eastAsia="fr-FR"/>
        </w:rPr>
        <w:tab/>
        <w:t>la Constitution ;</w:t>
      </w:r>
    </w:p>
    <w:p w14:paraId="0A642552" w14:textId="77777777" w:rsidR="00733207" w:rsidRPr="000F5D96" w:rsidRDefault="00912BAE">
      <w:pPr>
        <w:spacing w:before="240" w:after="240" w:line="240" w:lineRule="auto"/>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 xml:space="preserve">VU     </w:t>
      </w:r>
      <w:r w:rsidRPr="000F5D96">
        <w:rPr>
          <w:rFonts w:ascii="Rockwell" w:eastAsia="Times New Roman" w:hAnsi="Rockwell" w:cs="Rockwell"/>
          <w:sz w:val="26"/>
          <w:szCs w:val="26"/>
          <w:lang w:eastAsia="fr-FR"/>
        </w:rPr>
        <w:t>la Charte de la Transition du 14 octobre 2022 ;</w:t>
      </w:r>
    </w:p>
    <w:p w14:paraId="6A229C27" w14:textId="77777777" w:rsidR="00733207" w:rsidRPr="000F5D96" w:rsidRDefault="00912BAE">
      <w:pPr>
        <w:spacing w:before="240" w:after="240" w:line="240" w:lineRule="auto"/>
        <w:ind w:left="705" w:hanging="705"/>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VU</w:t>
      </w:r>
      <w:r w:rsidRPr="000F5D96">
        <w:rPr>
          <w:rFonts w:ascii="Rockwell" w:eastAsia="Times New Roman" w:hAnsi="Rockwell" w:cs="Rockwell"/>
          <w:sz w:val="26"/>
          <w:szCs w:val="26"/>
          <w:lang w:eastAsia="fr-FR"/>
        </w:rPr>
        <w:tab/>
        <w:t>la loi organique n°015-/AN du 14 mai 2013 portant attributions, composition, organisation et fonctionnement du Conseil supérieur de la communication et son modificatif ;</w:t>
      </w:r>
    </w:p>
    <w:p w14:paraId="3D89C70D" w14:textId="77777777" w:rsidR="00733207" w:rsidRPr="000F5D96" w:rsidRDefault="00912BAE">
      <w:pPr>
        <w:spacing w:before="240" w:after="240" w:line="240" w:lineRule="auto"/>
        <w:ind w:left="703" w:hanging="703"/>
        <w:jc w:val="both"/>
        <w:rPr>
          <w:rFonts w:ascii="Rockwell" w:hAnsi="Rockwell" w:cs="Rockwell"/>
          <w:sz w:val="26"/>
          <w:szCs w:val="26"/>
        </w:rPr>
      </w:pPr>
      <w:r w:rsidRPr="000F5D96">
        <w:rPr>
          <w:rFonts w:ascii="Rockwell" w:hAnsi="Rockwell" w:cs="Rockwell"/>
          <w:b/>
          <w:sz w:val="26"/>
          <w:szCs w:val="26"/>
        </w:rPr>
        <w:t xml:space="preserve">VU     </w:t>
      </w:r>
      <w:r w:rsidRPr="000F5D96">
        <w:rPr>
          <w:rFonts w:ascii="Rockwell" w:hAnsi="Rockwell" w:cs="Rockwell"/>
          <w:sz w:val="26"/>
          <w:szCs w:val="26"/>
        </w:rPr>
        <w:t>la loi n°080-2015/CNT du 23 novembre 2015 portant règlementation de la publicité au Burkina Faso ;</w:t>
      </w:r>
    </w:p>
    <w:p w14:paraId="553D863D" w14:textId="77777777" w:rsidR="00733207" w:rsidRPr="000F5D96" w:rsidRDefault="00912BAE">
      <w:pPr>
        <w:spacing w:before="240" w:after="240" w:line="240" w:lineRule="auto"/>
        <w:ind w:left="703" w:hanging="703"/>
        <w:jc w:val="both"/>
        <w:rPr>
          <w:rFonts w:ascii="Rockwell" w:hAnsi="Rockwell" w:cs="Rockwell"/>
          <w:sz w:val="26"/>
          <w:szCs w:val="26"/>
        </w:rPr>
      </w:pPr>
      <w:r w:rsidRPr="000F5D96">
        <w:rPr>
          <w:rFonts w:ascii="Rockwell" w:hAnsi="Rockwell" w:cs="Rockwell"/>
          <w:b/>
          <w:sz w:val="26"/>
          <w:szCs w:val="26"/>
        </w:rPr>
        <w:t xml:space="preserve">VU  </w:t>
      </w:r>
      <w:r w:rsidRPr="000F5D96">
        <w:rPr>
          <w:rFonts w:ascii="Rockwell" w:hAnsi="Rockwell" w:cs="Rockwell"/>
          <w:sz w:val="26"/>
          <w:szCs w:val="26"/>
        </w:rPr>
        <w:t xml:space="preserve"> le décret n°2017-0458/PRES/PM/MCRP/MINEFID/MCIA du 12 juin 2017 portant définition des conditions et des règles applicables à l’exercice des professions publicitaires ;</w:t>
      </w:r>
    </w:p>
    <w:p w14:paraId="1530C6DC" w14:textId="77777777" w:rsidR="00733207" w:rsidRPr="000F5D96" w:rsidRDefault="00912BAE">
      <w:pPr>
        <w:spacing w:before="240" w:after="240" w:line="240" w:lineRule="auto"/>
        <w:ind w:left="705" w:hanging="705"/>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VU</w:t>
      </w:r>
      <w:r w:rsidRPr="000F5D96">
        <w:rPr>
          <w:rFonts w:ascii="Rockwell" w:eastAsia="Times New Roman" w:hAnsi="Rockwell" w:cs="Rockwell"/>
          <w:sz w:val="26"/>
          <w:szCs w:val="26"/>
          <w:lang w:eastAsia="fr-FR"/>
        </w:rPr>
        <w:tab/>
        <w:t>le décret n°2018-0653/PRES/PM du 25 juillet 2018 portant nomination des membres du Conseil supérieur de la communication ;</w:t>
      </w:r>
    </w:p>
    <w:p w14:paraId="0F01AA4A" w14:textId="77777777" w:rsidR="00733207" w:rsidRPr="000F5D96" w:rsidRDefault="00912BAE">
      <w:pPr>
        <w:spacing w:before="240" w:after="240" w:line="240" w:lineRule="auto"/>
        <w:ind w:left="705" w:hanging="705"/>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 xml:space="preserve">VU   </w:t>
      </w:r>
      <w:r w:rsidRPr="000F5D96">
        <w:rPr>
          <w:rFonts w:ascii="Rockwell" w:eastAsia="Times New Roman" w:hAnsi="Rockwell" w:cs="Rockwell"/>
          <w:sz w:val="26"/>
          <w:szCs w:val="26"/>
          <w:lang w:eastAsia="fr-FR"/>
        </w:rPr>
        <w:t>le décret n°2022-0179/PRES/TRANS/PM du 13 mai 2022 portant nomination des membres du Conseil supérieur de la communication ;</w:t>
      </w:r>
    </w:p>
    <w:p w14:paraId="6E418F78" w14:textId="77777777" w:rsidR="00733207" w:rsidRPr="000F5D96" w:rsidRDefault="00912BAE">
      <w:pPr>
        <w:spacing w:before="240" w:after="240" w:line="240" w:lineRule="auto"/>
        <w:ind w:left="705" w:hanging="705"/>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 xml:space="preserve">VU    </w:t>
      </w:r>
      <w:r w:rsidRPr="000F5D96">
        <w:rPr>
          <w:rFonts w:ascii="Rockwell" w:eastAsia="Times New Roman" w:hAnsi="Rockwell" w:cs="Rockwell"/>
          <w:sz w:val="26"/>
          <w:szCs w:val="26"/>
          <w:lang w:eastAsia="fr-FR"/>
        </w:rPr>
        <w:t>le décret n°2022-0220/PRES/TRANS/PM du 25 mai 2022 portant nomination d’un membre du Conseil supérieur de la communication ;</w:t>
      </w:r>
      <w:r w:rsidRPr="000F5D96">
        <w:rPr>
          <w:rFonts w:ascii="Rockwell" w:eastAsia="Times New Roman" w:hAnsi="Rockwell" w:cs="Rockwell"/>
          <w:b/>
          <w:sz w:val="26"/>
          <w:szCs w:val="26"/>
          <w:lang w:eastAsia="fr-FR"/>
        </w:rPr>
        <w:t xml:space="preserve"> </w:t>
      </w:r>
    </w:p>
    <w:p w14:paraId="7692F8B1" w14:textId="77777777" w:rsidR="00733207" w:rsidRPr="000F5D96" w:rsidRDefault="00912BAE">
      <w:pPr>
        <w:spacing w:before="240" w:after="240" w:line="240" w:lineRule="auto"/>
        <w:ind w:left="705" w:hanging="705"/>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 xml:space="preserve">VU </w:t>
      </w:r>
      <w:r w:rsidRPr="000F5D96">
        <w:rPr>
          <w:rFonts w:ascii="Rockwell" w:eastAsia="Times New Roman" w:hAnsi="Rockwell" w:cs="Rockwell"/>
          <w:b/>
          <w:sz w:val="26"/>
          <w:szCs w:val="26"/>
          <w:lang w:eastAsia="fr-FR"/>
        </w:rPr>
        <w:tab/>
      </w:r>
      <w:r w:rsidRPr="000F5D96">
        <w:rPr>
          <w:rFonts w:ascii="Rockwell" w:eastAsia="Times New Roman" w:hAnsi="Rockwell" w:cs="Rockwell"/>
          <w:sz w:val="26"/>
          <w:szCs w:val="26"/>
          <w:lang w:eastAsia="fr-FR"/>
        </w:rPr>
        <w:t>le décret n°2022-1045/PRES/PM du 06 décembre 2022 portant nomination du Président du Conseil supérieur de la communication ;</w:t>
      </w:r>
    </w:p>
    <w:p w14:paraId="42ED9562" w14:textId="77777777" w:rsidR="00733207" w:rsidRPr="000F5D96" w:rsidRDefault="00912BAE">
      <w:pPr>
        <w:spacing w:before="240" w:after="240" w:line="240" w:lineRule="auto"/>
        <w:ind w:left="703" w:hanging="703"/>
        <w:jc w:val="both"/>
        <w:rPr>
          <w:rFonts w:ascii="Rockwell" w:eastAsia="Times New Roman" w:hAnsi="Rockwell" w:cs="Rockwell"/>
          <w:sz w:val="26"/>
          <w:szCs w:val="26"/>
          <w:lang w:eastAsia="fr-FR"/>
        </w:rPr>
      </w:pPr>
      <w:r w:rsidRPr="000F5D96">
        <w:rPr>
          <w:rFonts w:ascii="Rockwell" w:eastAsia="Times New Roman" w:hAnsi="Rockwell" w:cs="Rockwell"/>
          <w:b/>
          <w:sz w:val="26"/>
          <w:szCs w:val="26"/>
          <w:lang w:eastAsia="fr-FR"/>
        </w:rPr>
        <w:t>VU</w:t>
      </w:r>
      <w:r w:rsidRPr="000F5D96">
        <w:rPr>
          <w:rFonts w:ascii="Rockwell" w:eastAsia="Times New Roman" w:hAnsi="Rockwell" w:cs="Rockwell"/>
          <w:sz w:val="26"/>
          <w:szCs w:val="26"/>
          <w:lang w:eastAsia="fr-FR"/>
        </w:rPr>
        <w:tab/>
        <w:t>le décret n°2018-1177/PRES/PM du 26 décembre 2018 portant organisation et fonctionnement du Collège des Conseillers et des services administratifs du Conseil supérieur de la Communication ;</w:t>
      </w:r>
    </w:p>
    <w:p w14:paraId="22D67E9C" w14:textId="77777777" w:rsidR="00733207" w:rsidRPr="000F5D96" w:rsidRDefault="00912BAE">
      <w:pPr>
        <w:spacing w:before="240" w:after="240" w:line="240" w:lineRule="auto"/>
        <w:ind w:left="703" w:hanging="703"/>
        <w:jc w:val="both"/>
        <w:rPr>
          <w:rFonts w:ascii="Rockwell" w:hAnsi="Rockwell" w:cs="Rockwell"/>
          <w:sz w:val="26"/>
          <w:szCs w:val="26"/>
        </w:rPr>
      </w:pPr>
      <w:r w:rsidRPr="000F5D96">
        <w:rPr>
          <w:rFonts w:ascii="Rockwell" w:hAnsi="Rockwell" w:cs="Rockwell"/>
          <w:b/>
          <w:sz w:val="26"/>
          <w:szCs w:val="26"/>
        </w:rPr>
        <w:t xml:space="preserve">VU </w:t>
      </w:r>
      <w:r w:rsidRPr="000F5D96">
        <w:rPr>
          <w:rFonts w:ascii="Rockwell" w:hAnsi="Rockwell" w:cs="Rockwell"/>
          <w:b/>
          <w:sz w:val="26"/>
          <w:szCs w:val="26"/>
        </w:rPr>
        <w:tab/>
      </w:r>
      <w:r w:rsidRPr="000F5D96">
        <w:rPr>
          <w:rFonts w:ascii="Rockwell" w:hAnsi="Rockwell" w:cs="Rockwell"/>
          <w:sz w:val="26"/>
          <w:szCs w:val="26"/>
        </w:rPr>
        <w:t>la délibération n°2023-019 du 22 septembre 2023 portant validation de la liste des entreprises de publicité déclarées au Conseil supérieur de la communication ;</w:t>
      </w:r>
    </w:p>
    <w:p w14:paraId="66124C00" w14:textId="77777777" w:rsidR="00733207" w:rsidRPr="000F5D96" w:rsidRDefault="00912BAE">
      <w:pPr>
        <w:jc w:val="center"/>
        <w:rPr>
          <w:rFonts w:ascii="Rockwell" w:hAnsi="Rockwell" w:cs="Rockwell"/>
          <w:b/>
          <w:sz w:val="26"/>
          <w:szCs w:val="26"/>
        </w:rPr>
      </w:pPr>
      <w:r w:rsidRPr="000F5D96">
        <w:rPr>
          <w:rFonts w:ascii="Rockwell" w:hAnsi="Rockwell" w:cs="Rockwell"/>
          <w:b/>
          <w:sz w:val="26"/>
          <w:szCs w:val="26"/>
        </w:rPr>
        <w:t>ARRETE</w:t>
      </w:r>
    </w:p>
    <w:p w14:paraId="5C9ED4DB" w14:textId="77777777" w:rsidR="00733207" w:rsidRPr="000F5D96" w:rsidRDefault="00733207">
      <w:pPr>
        <w:rPr>
          <w:rFonts w:ascii="Rockwell" w:hAnsi="Rockwell" w:cs="Rockwell"/>
          <w:b/>
          <w:sz w:val="26"/>
          <w:szCs w:val="26"/>
        </w:rPr>
        <w:sectPr w:rsidR="00733207" w:rsidRPr="000F5D96">
          <w:footerReference w:type="default" r:id="rId69"/>
          <w:pgSz w:w="11906" w:h="16838"/>
          <w:pgMar w:top="709" w:right="849" w:bottom="1417" w:left="1417" w:header="708" w:footer="708" w:gutter="0"/>
          <w:cols w:space="708"/>
          <w:docGrid w:linePitch="360"/>
        </w:sectPr>
      </w:pPr>
    </w:p>
    <w:p w14:paraId="7AA9AA4C" w14:textId="77777777" w:rsidR="00733207" w:rsidRPr="000F5D96" w:rsidRDefault="00912BAE">
      <w:pPr>
        <w:spacing w:after="240"/>
        <w:jc w:val="center"/>
        <w:rPr>
          <w:rFonts w:ascii="Rockwell" w:hAnsi="Rockwell" w:cs="Rockwell"/>
          <w:sz w:val="26"/>
          <w:szCs w:val="26"/>
        </w:rPr>
      </w:pPr>
      <w:r w:rsidRPr="000F5D96">
        <w:rPr>
          <w:rFonts w:ascii="Rockwell" w:hAnsi="Rockwell" w:cs="Rockwell"/>
          <w:b/>
          <w:sz w:val="26"/>
          <w:szCs w:val="26"/>
          <w:u w:val="single"/>
        </w:rPr>
        <w:lastRenderedPageBreak/>
        <w:t>Article 1</w:t>
      </w:r>
      <w:r w:rsidRPr="000F5D96">
        <w:rPr>
          <w:rFonts w:ascii="Rockwell" w:hAnsi="Rockwell" w:cs="Rockwell"/>
          <w:b/>
          <w:sz w:val="26"/>
          <w:szCs w:val="26"/>
        </w:rPr>
        <w:t> </w:t>
      </w:r>
      <w:r w:rsidRPr="000F5D96">
        <w:rPr>
          <w:rFonts w:ascii="Rockwell" w:hAnsi="Rockwell" w:cs="Rockwell"/>
          <w:sz w:val="26"/>
          <w:szCs w:val="26"/>
        </w:rPr>
        <w:t>: Les entreprises de publicité dont les noms suivent sont enregistrées en qualité de Régie publicitaire :</w:t>
      </w:r>
    </w:p>
    <w:tbl>
      <w:tblPr>
        <w:tblW w:w="15877" w:type="dxa"/>
        <w:tblInd w:w="-714" w:type="dxa"/>
        <w:tblLayout w:type="fixed"/>
        <w:tblCellMar>
          <w:left w:w="10" w:type="dxa"/>
          <w:right w:w="10" w:type="dxa"/>
        </w:tblCellMar>
        <w:tblLook w:val="04A0" w:firstRow="1" w:lastRow="0" w:firstColumn="1" w:lastColumn="0" w:noHBand="0" w:noVBand="1"/>
      </w:tblPr>
      <w:tblGrid>
        <w:gridCol w:w="851"/>
        <w:gridCol w:w="2693"/>
        <w:gridCol w:w="3402"/>
        <w:gridCol w:w="3686"/>
        <w:gridCol w:w="3260"/>
        <w:gridCol w:w="1985"/>
      </w:tblGrid>
      <w:tr w:rsidR="00733207" w:rsidRPr="000F5D96" w14:paraId="54831A40" w14:textId="77777777">
        <w:trPr>
          <w:trHeight w:val="644"/>
          <w:tblHeader/>
        </w:trPr>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45D482" w14:textId="77777777" w:rsidR="00733207" w:rsidRPr="000F5D96" w:rsidRDefault="00733207">
            <w:pPr>
              <w:spacing w:after="0"/>
              <w:jc w:val="center"/>
              <w:rPr>
                <w:rFonts w:ascii="Rockwell" w:hAnsi="Rockwell" w:cs="Rockwell"/>
                <w:b/>
                <w:sz w:val="26"/>
                <w:szCs w:val="26"/>
              </w:rPr>
            </w:pPr>
          </w:p>
          <w:p w14:paraId="27BDC393"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B870C6A"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Dénomination de l’entreprise</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C5579AA"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Nom et Prénom (s) du premier responsable</w:t>
            </w:r>
          </w:p>
        </w:tc>
        <w:tc>
          <w:tcPr>
            <w:tcW w:w="368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CED4B08" w14:textId="77777777" w:rsidR="00733207" w:rsidRPr="000F5D96" w:rsidRDefault="00912BAE">
            <w:pPr>
              <w:spacing w:before="120" w:after="120"/>
              <w:jc w:val="center"/>
              <w:rPr>
                <w:rFonts w:ascii="Rockwell" w:hAnsi="Rockwell" w:cs="Rockwell"/>
                <w:b/>
                <w:sz w:val="26"/>
                <w:szCs w:val="26"/>
              </w:rPr>
            </w:pPr>
            <w:r w:rsidRPr="000F5D96">
              <w:rPr>
                <w:rFonts w:ascii="Rockwell" w:hAnsi="Rockwell" w:cs="Rockwell"/>
                <w:b/>
                <w:sz w:val="26"/>
                <w:szCs w:val="26"/>
              </w:rPr>
              <w:t>Numéro du récépissé de déclaration d’existence</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6E3B616D" w14:textId="77777777" w:rsidR="00733207" w:rsidRPr="000F5D96" w:rsidRDefault="00733207">
            <w:pPr>
              <w:spacing w:after="0"/>
              <w:jc w:val="center"/>
              <w:rPr>
                <w:rFonts w:ascii="Rockwell" w:hAnsi="Rockwell" w:cs="Rockwell"/>
                <w:b/>
                <w:sz w:val="26"/>
                <w:szCs w:val="26"/>
              </w:rPr>
            </w:pPr>
          </w:p>
          <w:p w14:paraId="594FCD4C"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Numéro RCCM</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74908458" w14:textId="77777777" w:rsidR="00733207" w:rsidRPr="000F5D96" w:rsidRDefault="00733207">
            <w:pPr>
              <w:spacing w:after="0"/>
              <w:jc w:val="center"/>
              <w:rPr>
                <w:rFonts w:ascii="Rockwell" w:hAnsi="Rockwell" w:cs="Rockwell"/>
                <w:b/>
                <w:sz w:val="26"/>
                <w:szCs w:val="26"/>
              </w:rPr>
            </w:pPr>
          </w:p>
          <w:p w14:paraId="152FC3AA"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Numéro IFU</w:t>
            </w:r>
          </w:p>
        </w:tc>
      </w:tr>
      <w:tr w:rsidR="00733207" w:rsidRPr="000F5D96" w14:paraId="60D167D9"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4A215" w14:textId="77777777" w:rsidR="00733207" w:rsidRPr="000F5D96" w:rsidRDefault="00912BAE">
            <w:pPr>
              <w:spacing w:before="120" w:after="0"/>
              <w:jc w:val="center"/>
              <w:rPr>
                <w:rFonts w:ascii="Rockwell" w:hAnsi="Rockwell" w:cs="Rockwell"/>
                <w:sz w:val="26"/>
                <w:szCs w:val="26"/>
              </w:rPr>
            </w:pPr>
            <w:r w:rsidRPr="000F5D96">
              <w:rPr>
                <w:rFonts w:ascii="Rockwell" w:hAnsi="Rockwell" w:cs="Rockwell"/>
                <w:sz w:val="26"/>
                <w:szCs w:val="26"/>
              </w:rPr>
              <w:t>01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C620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ADAN GROUPE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4D470"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SAMA </w:t>
            </w:r>
            <w:proofErr w:type="spellStart"/>
            <w:r w:rsidRPr="000F5D96">
              <w:rPr>
                <w:rFonts w:ascii="Rockwell" w:hAnsi="Rockwell" w:cs="Rockwell"/>
                <w:sz w:val="26"/>
                <w:szCs w:val="26"/>
              </w:rPr>
              <w:t>Passeri</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Mahamed</w:t>
            </w:r>
            <w:proofErr w:type="spellEnd"/>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6EC01" w14:textId="77777777" w:rsidR="00733207" w:rsidRPr="000F5D96" w:rsidRDefault="00912BAE">
            <w:pPr>
              <w:spacing w:before="120"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114/CSC/SG/DP du 08/12/2022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988185" w14:textId="77777777" w:rsidR="00733207" w:rsidRPr="000F5D96" w:rsidRDefault="00912BAE">
            <w:pPr>
              <w:spacing w:before="120"/>
              <w:rPr>
                <w:rFonts w:ascii="Rockwell" w:hAnsi="Rockwell" w:cs="Rockwell"/>
                <w:sz w:val="26"/>
                <w:szCs w:val="26"/>
              </w:rPr>
            </w:pPr>
            <w:r w:rsidRPr="000F5D96">
              <w:rPr>
                <w:rFonts w:ascii="Rockwell" w:hAnsi="Rockwell" w:cs="Rockwell"/>
                <w:sz w:val="26"/>
                <w:szCs w:val="26"/>
              </w:rPr>
              <w:t>RCCM : BF OUA 2021 M 7546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071AA7" w14:textId="77777777" w:rsidR="00733207" w:rsidRPr="000F5D96" w:rsidRDefault="00912BAE">
            <w:pPr>
              <w:spacing w:before="120"/>
              <w:rPr>
                <w:rFonts w:ascii="Rockwell" w:hAnsi="Rockwell" w:cs="Rockwell"/>
                <w:sz w:val="26"/>
                <w:szCs w:val="26"/>
              </w:rPr>
            </w:pPr>
            <w:r w:rsidRPr="000F5D96">
              <w:rPr>
                <w:rFonts w:ascii="Rockwell" w:hAnsi="Rockwell" w:cs="Rockwell"/>
                <w:sz w:val="26"/>
                <w:szCs w:val="26"/>
              </w:rPr>
              <w:t>IFU : 00154635P</w:t>
            </w:r>
          </w:p>
        </w:tc>
      </w:tr>
      <w:tr w:rsidR="00733207" w:rsidRPr="000F5D96" w14:paraId="6149C66B"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5474D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D3CB6A"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AGENCE DJIGUIYA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82247"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DJIGMA/SANOU </w:t>
            </w:r>
            <w:proofErr w:type="spellStart"/>
            <w:r w:rsidRPr="000F5D96">
              <w:rPr>
                <w:rFonts w:ascii="Rockwell" w:hAnsi="Rockwell" w:cs="Rockwell"/>
                <w:sz w:val="26"/>
                <w:szCs w:val="26"/>
              </w:rPr>
              <w:t>Djouma</w:t>
            </w:r>
            <w:proofErr w:type="spellEnd"/>
            <w:r w:rsidRPr="000F5D96">
              <w:rPr>
                <w:rFonts w:ascii="Rockwell" w:hAnsi="Rockwell" w:cs="Rockwell"/>
                <w:sz w:val="26"/>
                <w:szCs w:val="26"/>
              </w:rPr>
              <w:t xml:space="preserve"> Bertille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36C3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082/CSC/SG/DP du 09/08/2023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E88AB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2019 B 0379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A7282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:00114782D</w:t>
            </w:r>
          </w:p>
        </w:tc>
      </w:tr>
      <w:tr w:rsidR="00733207" w:rsidRPr="000F5D96" w14:paraId="34B0C21D" w14:textId="77777777">
        <w:trPr>
          <w:trHeight w:val="41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7AC8D3" w14:textId="77777777" w:rsidR="00733207" w:rsidRPr="000F5D96" w:rsidRDefault="00912BAE">
            <w:pPr>
              <w:spacing w:after="0"/>
              <w:jc w:val="center"/>
              <w:rPr>
                <w:rFonts w:ascii="Rockwell" w:hAnsi="Rockwell" w:cs="Rockwell"/>
                <w:color w:val="FF0000"/>
                <w:sz w:val="26"/>
                <w:szCs w:val="26"/>
              </w:rPr>
            </w:pPr>
            <w:r w:rsidRPr="000F5D96">
              <w:rPr>
                <w:rFonts w:ascii="Rockwell" w:hAnsi="Rockwell" w:cs="Rockwell"/>
                <w:sz w:val="26"/>
                <w:szCs w:val="26"/>
              </w:rPr>
              <w:t>03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4A1DE5" w14:textId="77777777" w:rsidR="00733207" w:rsidRPr="000F5D96" w:rsidRDefault="00912BAE">
            <w:pPr>
              <w:spacing w:after="0"/>
              <w:rPr>
                <w:rFonts w:ascii="Rockwell" w:eastAsia="Times New Roman" w:hAnsi="Rockwell" w:cs="Rockwell"/>
                <w:color w:val="FF0000"/>
                <w:sz w:val="26"/>
                <w:szCs w:val="26"/>
                <w:lang w:eastAsia="fr-FR"/>
              </w:rPr>
            </w:pPr>
            <w:r w:rsidRPr="000F5D96">
              <w:rPr>
                <w:rFonts w:ascii="Rockwell" w:eastAsia="Times New Roman" w:hAnsi="Rockwell" w:cs="Rockwell"/>
                <w:sz w:val="26"/>
                <w:szCs w:val="26"/>
                <w:lang w:eastAsia="fr-FR"/>
              </w:rPr>
              <w:t>ALL PRINT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B75AE" w14:textId="77777777" w:rsidR="00733207" w:rsidRPr="000F5D96" w:rsidRDefault="00912BAE">
            <w:pPr>
              <w:spacing w:before="120" w:after="0"/>
              <w:rPr>
                <w:rFonts w:ascii="Rockwell" w:hAnsi="Rockwell" w:cs="Rockwell"/>
                <w:color w:val="FF0000"/>
                <w:sz w:val="26"/>
                <w:szCs w:val="26"/>
              </w:rPr>
            </w:pPr>
            <w:r w:rsidRPr="000F5D96">
              <w:rPr>
                <w:rFonts w:ascii="Rockwell" w:hAnsi="Rockwell" w:cs="Rockwell"/>
                <w:sz w:val="26"/>
                <w:szCs w:val="26"/>
              </w:rPr>
              <w:t xml:space="preserve">LINGANI </w:t>
            </w:r>
            <w:proofErr w:type="spellStart"/>
            <w:r w:rsidRPr="000F5D96">
              <w:rPr>
                <w:rFonts w:ascii="Rockwell" w:hAnsi="Rockwell" w:cs="Rockwell"/>
                <w:sz w:val="26"/>
                <w:szCs w:val="26"/>
              </w:rPr>
              <w:t>Windgnida</w:t>
            </w:r>
            <w:proofErr w:type="spellEnd"/>
            <w:r w:rsidRPr="000F5D96">
              <w:rPr>
                <w:rFonts w:ascii="Rockwell" w:hAnsi="Rockwell" w:cs="Rockwell"/>
                <w:sz w:val="26"/>
                <w:szCs w:val="26"/>
              </w:rPr>
              <w:t xml:space="preserve"> Adama</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A589E" w14:textId="77777777" w:rsidR="00733207" w:rsidRPr="000F5D96" w:rsidRDefault="00912BAE">
            <w:pPr>
              <w:spacing w:before="120" w:after="0"/>
              <w:rPr>
                <w:rFonts w:ascii="Rockwell" w:hAnsi="Rockwell" w:cs="Rockwell"/>
                <w:color w:val="FF0000"/>
                <w:sz w:val="26"/>
                <w:szCs w:val="26"/>
              </w:rPr>
            </w:pPr>
            <w:r w:rsidRPr="000F5D96">
              <w:rPr>
                <w:rFonts w:ascii="Rockwell" w:hAnsi="Rockwell" w:cs="Rockwell"/>
                <w:sz w:val="26"/>
                <w:szCs w:val="26"/>
              </w:rPr>
              <w:t>104/CSC/SG/DP du 07/10/2022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F6E56B" w14:textId="77777777" w:rsidR="00733207" w:rsidRPr="000F5D96" w:rsidRDefault="00912BAE">
            <w:pPr>
              <w:spacing w:before="120" w:after="0"/>
              <w:rPr>
                <w:rFonts w:ascii="Rockwell" w:hAnsi="Rockwell" w:cs="Rockwell"/>
                <w:color w:val="FF0000"/>
                <w:sz w:val="26"/>
                <w:szCs w:val="26"/>
              </w:rPr>
            </w:pPr>
            <w:r w:rsidRPr="000F5D96">
              <w:rPr>
                <w:rFonts w:ascii="Rockwell" w:hAnsi="Rockwell" w:cs="Rockwell"/>
                <w:sz w:val="26"/>
                <w:szCs w:val="26"/>
              </w:rPr>
              <w:t>RCCM : BF OUA 2020 B 1202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07567C" w14:textId="77777777" w:rsidR="00733207" w:rsidRPr="000F5D96" w:rsidRDefault="00912BAE">
            <w:pPr>
              <w:spacing w:before="120" w:after="0"/>
              <w:rPr>
                <w:rFonts w:ascii="Rockwell" w:hAnsi="Rockwell" w:cs="Rockwell"/>
                <w:color w:val="FF0000"/>
                <w:sz w:val="26"/>
                <w:szCs w:val="26"/>
              </w:rPr>
            </w:pPr>
            <w:r w:rsidRPr="000F5D96">
              <w:rPr>
                <w:rFonts w:ascii="Rockwell" w:hAnsi="Rockwell" w:cs="Rockwell"/>
                <w:sz w:val="26"/>
                <w:szCs w:val="26"/>
              </w:rPr>
              <w:t>IFU : 00132406K</w:t>
            </w:r>
          </w:p>
        </w:tc>
      </w:tr>
      <w:tr w:rsidR="00733207" w:rsidRPr="000F5D96" w14:paraId="5F740C37"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345E49"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04</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D10AEE"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AROBASE COMMUNICATION</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FDDC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DAO </w:t>
            </w:r>
            <w:proofErr w:type="spellStart"/>
            <w:r w:rsidRPr="000F5D96">
              <w:rPr>
                <w:rFonts w:ascii="Rockwell" w:hAnsi="Rockwell" w:cs="Rockwell"/>
                <w:sz w:val="26"/>
                <w:szCs w:val="26"/>
              </w:rPr>
              <w:t>Chérifatou</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Mody</w:t>
            </w:r>
            <w:proofErr w:type="spellEnd"/>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58CD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108/CSC/SG/DP du 09/11/2022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81713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01 2022</w:t>
            </w:r>
          </w:p>
          <w:p w14:paraId="4E7685C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 11795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28757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:00113681W</w:t>
            </w:r>
          </w:p>
        </w:tc>
      </w:tr>
      <w:tr w:rsidR="00733207" w:rsidRPr="000F5D96" w14:paraId="33A5CF35" w14:textId="77777777">
        <w:trPr>
          <w:trHeight w:val="397"/>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179773"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05</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5AA22D"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CIBLE REGIE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E7AC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SUIED Simon</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75FB4"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023/CSC/SG/DP du 21/03/2023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3FB7D7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2007 M 3124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166E5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00005112P</w:t>
            </w:r>
          </w:p>
        </w:tc>
      </w:tr>
      <w:tr w:rsidR="00733207" w:rsidRPr="000F5D96" w14:paraId="6822CF02" w14:textId="77777777">
        <w:trPr>
          <w:trHeight w:val="46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600CFC"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06</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17F640"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CITYSPOTS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935C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BAKALA Stéphane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7991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091/CSC/SG/DP du 25/09/2023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E28E2F"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2021 M 5297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7FC60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00024940N</w:t>
            </w:r>
          </w:p>
        </w:tc>
      </w:tr>
      <w:tr w:rsidR="00733207" w:rsidRPr="000F5D96" w14:paraId="31DB8C3E" w14:textId="77777777">
        <w:trPr>
          <w:trHeight w:val="46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6CE05"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07</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C37A31"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CLIC REGIE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8A21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BAYANMA Pierrette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83130"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063/CSC/SG/DP du 26/06/2023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F60D39"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BF-OUA-01-2019-B13-01976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FBCFA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:00117396U</w:t>
            </w:r>
          </w:p>
        </w:tc>
      </w:tr>
      <w:tr w:rsidR="00733207" w:rsidRPr="000F5D96" w14:paraId="172D3D30"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CA9C74"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08</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E161B"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COM-OBJECT BURKINA INTER</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8C84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TOE Mamadou Hyacinthe Constant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4F3B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035/CSC/SG/DP du 07/04/2023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76566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2021 B 2701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CFA0ED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:00154190C</w:t>
            </w:r>
          </w:p>
        </w:tc>
      </w:tr>
      <w:tr w:rsidR="00733207" w:rsidRPr="000F5D96" w14:paraId="6E59DF07"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E45F6"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09</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56105D"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ECRAN REGIE PUBLICITAIRE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CC0E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KERE Abdou- Aziz</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4272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070/CSC/SG/DP du 04/07/2023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1C7FB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2019 B 2958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9F992C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:00118640P</w:t>
            </w:r>
          </w:p>
        </w:tc>
      </w:tr>
      <w:tr w:rsidR="00733207" w:rsidRPr="000F5D96" w14:paraId="5819CF50" w14:textId="77777777">
        <w:trPr>
          <w:trHeight w:val="38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A5EDE9"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10</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8AEB5"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EDIFICE MEDIA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BBFF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BAKY Joachim</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D72A6"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058/CSC/SG/DP du 07/06/2023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EBDB6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2018 B 6895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D41A3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:00109342A</w:t>
            </w:r>
          </w:p>
        </w:tc>
      </w:tr>
      <w:tr w:rsidR="00733207" w:rsidRPr="000F5D96" w14:paraId="4AA80BA4" w14:textId="77777777">
        <w:trPr>
          <w:trHeight w:val="322"/>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4D405A" w14:textId="77777777" w:rsidR="00733207" w:rsidRPr="000F5D96" w:rsidRDefault="00912BAE">
            <w:pPr>
              <w:spacing w:after="120"/>
              <w:jc w:val="center"/>
              <w:rPr>
                <w:rFonts w:ascii="Rockwell" w:hAnsi="Rockwell" w:cs="Rockwell"/>
                <w:sz w:val="26"/>
                <w:szCs w:val="26"/>
              </w:rPr>
            </w:pPr>
            <w:r w:rsidRPr="000F5D96">
              <w:rPr>
                <w:rFonts w:ascii="Rockwell" w:hAnsi="Rockwell" w:cs="Rockwell"/>
                <w:sz w:val="26"/>
                <w:szCs w:val="26"/>
              </w:rPr>
              <w:t>11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8BA910"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ELITE REGIE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EF4CB"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 xml:space="preserve">OUEDRAOGO </w:t>
            </w:r>
            <w:proofErr w:type="spellStart"/>
            <w:r w:rsidRPr="000F5D96">
              <w:rPr>
                <w:rFonts w:ascii="Rockwell" w:hAnsi="Rockwell" w:cs="Rockwell"/>
                <w:sz w:val="26"/>
                <w:szCs w:val="26"/>
              </w:rPr>
              <w:t>Aoua</w:t>
            </w:r>
            <w:proofErr w:type="spellEnd"/>
            <w:r w:rsidRPr="000F5D96">
              <w:rPr>
                <w:rFonts w:ascii="Rockwell" w:hAnsi="Rockwell" w:cs="Rockwell"/>
                <w:sz w:val="26"/>
                <w:szCs w:val="26"/>
              </w:rPr>
              <w:t xml:space="preserve"> N°2 2</w:t>
            </w:r>
            <w:r w:rsidRPr="000F5D96">
              <w:rPr>
                <w:rFonts w:ascii="Rockwell" w:hAnsi="Rockwell" w:cs="Rockwell"/>
                <w:sz w:val="26"/>
                <w:szCs w:val="26"/>
                <w:vertAlign w:val="superscript"/>
              </w:rPr>
              <w:t>ème</w:t>
            </w:r>
            <w:r w:rsidRPr="000F5D96">
              <w:rPr>
                <w:rFonts w:ascii="Rockwell" w:hAnsi="Rockwell" w:cs="Rockwell"/>
                <w:sz w:val="26"/>
                <w:szCs w:val="26"/>
              </w:rPr>
              <w:t xml:space="preserve"> Triplée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50E57"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006/CSC/SG/DP du 06/02/2023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DAC55C"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RCCM :BF OUA 2019 B 9982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E56535"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IFU :00129466Z</w:t>
            </w:r>
          </w:p>
        </w:tc>
      </w:tr>
      <w:tr w:rsidR="00733207" w:rsidRPr="000F5D96" w14:paraId="55656780"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8045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C9481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EMERGENCE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C64F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KANZIE Pascaline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BF82D" w14:textId="77777777" w:rsidR="00733207" w:rsidRPr="000F5D96" w:rsidRDefault="00912BAE">
            <w:pPr>
              <w:spacing w:before="120" w:after="240"/>
              <w:rPr>
                <w:rFonts w:ascii="Rockwell" w:hAnsi="Rockwell" w:cs="Rockwell"/>
                <w:sz w:val="26"/>
                <w:szCs w:val="26"/>
              </w:rPr>
            </w:pPr>
            <w:r w:rsidRPr="000F5D96">
              <w:rPr>
                <w:rFonts w:ascii="Rockwell" w:hAnsi="Rockwell" w:cs="Rockwell"/>
                <w:sz w:val="26"/>
                <w:szCs w:val="26"/>
              </w:rPr>
              <w:t>031/CSC/SG/DP du 03/04/2023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6275B8" w14:textId="77777777" w:rsidR="00733207" w:rsidRPr="000F5D96" w:rsidRDefault="00912BAE">
            <w:pPr>
              <w:spacing w:before="120"/>
              <w:jc w:val="both"/>
              <w:rPr>
                <w:rFonts w:ascii="Rockwell" w:hAnsi="Rockwell" w:cs="Rockwell"/>
                <w:sz w:val="26"/>
                <w:szCs w:val="26"/>
              </w:rPr>
            </w:pPr>
            <w:r w:rsidRPr="000F5D96">
              <w:rPr>
                <w:rFonts w:ascii="Rockwell" w:hAnsi="Rockwell" w:cs="Rockwell"/>
                <w:sz w:val="26"/>
                <w:szCs w:val="26"/>
              </w:rPr>
              <w:t>RCCM :BF OUA 2000 A 0326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C9D932" w14:textId="77777777" w:rsidR="00733207" w:rsidRPr="000F5D96" w:rsidRDefault="00912BAE">
            <w:pPr>
              <w:spacing w:before="120"/>
              <w:jc w:val="both"/>
              <w:rPr>
                <w:rFonts w:ascii="Rockwell" w:hAnsi="Rockwell" w:cs="Rockwell"/>
                <w:sz w:val="26"/>
                <w:szCs w:val="26"/>
              </w:rPr>
            </w:pPr>
            <w:r w:rsidRPr="000F5D96">
              <w:rPr>
                <w:rFonts w:ascii="Rockwell" w:hAnsi="Rockwell" w:cs="Rockwell"/>
                <w:sz w:val="26"/>
                <w:szCs w:val="26"/>
              </w:rPr>
              <w:t>IFU :00002208A</w:t>
            </w:r>
          </w:p>
        </w:tc>
      </w:tr>
      <w:tr w:rsidR="00733207" w:rsidRPr="000F5D96" w14:paraId="7455EBEF"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3A870"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13E0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GALAXY STARLIGHT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2877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SODRE </w:t>
            </w:r>
            <w:proofErr w:type="spellStart"/>
            <w:r w:rsidRPr="000F5D96">
              <w:rPr>
                <w:rFonts w:ascii="Rockwell" w:hAnsi="Rockwell" w:cs="Rockwell"/>
                <w:sz w:val="26"/>
                <w:szCs w:val="26"/>
              </w:rPr>
              <w:t>Roukiatou</w:t>
            </w:r>
            <w:proofErr w:type="spellEnd"/>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2F126" w14:textId="77777777" w:rsidR="00733207" w:rsidRPr="000F5D96" w:rsidRDefault="00912BAE">
            <w:pPr>
              <w:spacing w:before="120"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113/CSC/SG/DP du 02/12/2022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0E354F" w14:textId="77777777" w:rsidR="00733207" w:rsidRPr="000F5D96" w:rsidRDefault="00912BAE">
            <w:pPr>
              <w:spacing w:after="0"/>
              <w:jc w:val="both"/>
              <w:rPr>
                <w:rFonts w:ascii="Rockwell" w:hAnsi="Rockwell" w:cs="Rockwell"/>
                <w:sz w:val="26"/>
                <w:szCs w:val="26"/>
              </w:rPr>
            </w:pPr>
            <w:r w:rsidRPr="000F5D96">
              <w:rPr>
                <w:rFonts w:ascii="Rockwell" w:hAnsi="Rockwell" w:cs="Rockwell"/>
                <w:sz w:val="26"/>
                <w:szCs w:val="26"/>
              </w:rPr>
              <w:t>RCCM : BF-OUA-01- 2022- B12- 12899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3EF0D0"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:00190474S</w:t>
            </w:r>
          </w:p>
        </w:tc>
      </w:tr>
      <w:tr w:rsidR="00733207" w:rsidRPr="000F5D96" w14:paraId="0CE012BF" w14:textId="77777777">
        <w:trPr>
          <w:trHeight w:val="49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FFB47B" w14:textId="77777777" w:rsidR="00733207" w:rsidRPr="000F5D96" w:rsidRDefault="00912BAE">
            <w:pPr>
              <w:spacing w:after="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14</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EC39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INDICO MEDIA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BC093"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MYAOUENUH Thibaut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BF3C2"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065/CSC/SG/DP/ du 26/06/2023</w:t>
            </w:r>
          </w:p>
        </w:tc>
        <w:tc>
          <w:tcPr>
            <w:tcW w:w="326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E27780D"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 xml:space="preserve">RCCM : </w:t>
            </w:r>
            <w:r w:rsidRPr="000F5D96">
              <w:rPr>
                <w:rFonts w:ascii="Rockwell" w:hAnsi="Rockwell" w:cs="Rockwell"/>
                <w:sz w:val="26"/>
                <w:szCs w:val="26"/>
                <w:lang w:val="en-US"/>
              </w:rPr>
              <w:t>BF OUA 2022 B 4026</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1B90B67"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:00177715X</w:t>
            </w:r>
          </w:p>
        </w:tc>
      </w:tr>
      <w:tr w:rsidR="00733207" w:rsidRPr="000F5D96" w14:paraId="54D5098F" w14:textId="77777777">
        <w:trPr>
          <w:trHeight w:val="391"/>
        </w:trPr>
        <w:tc>
          <w:tcPr>
            <w:tcW w:w="85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0B2672C" w14:textId="77777777" w:rsidR="00733207" w:rsidRPr="000F5D96" w:rsidRDefault="00912BAE">
            <w:pPr>
              <w:spacing w:after="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15</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7B940EA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KOYA REGIE SARL</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7E8109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KEITA Marie Noël</w:t>
            </w:r>
          </w:p>
        </w:tc>
        <w:tc>
          <w:tcPr>
            <w:tcW w:w="3686"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57450D3" w14:textId="77777777" w:rsidR="00733207" w:rsidRPr="000F5D96" w:rsidRDefault="00912BAE">
            <w:pPr>
              <w:spacing w:before="120"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043/CSC/SG/DP du 28/04/2023</w:t>
            </w:r>
          </w:p>
        </w:tc>
        <w:tc>
          <w:tcPr>
            <w:tcW w:w="3260"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9868F5B"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RCCM : BF OUA 2008 B 553</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4A2B7DF"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:00014983G</w:t>
            </w:r>
          </w:p>
        </w:tc>
      </w:tr>
      <w:tr w:rsidR="00733207" w:rsidRPr="000F5D96" w14:paraId="76644D1B"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FE0A54"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16</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CEC57"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KYRA MEDIA AFRIQUE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BE9E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NONGUIERMA Christian W. Théophile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DE40B" w14:textId="77777777" w:rsidR="00733207" w:rsidRPr="000F5D96" w:rsidRDefault="00912BAE">
            <w:pPr>
              <w:spacing w:before="120" w:after="0"/>
              <w:rPr>
                <w:rFonts w:ascii="Rockwell" w:hAnsi="Rockwell" w:cs="Rockwell"/>
                <w:sz w:val="26"/>
                <w:szCs w:val="26"/>
              </w:rPr>
            </w:pPr>
            <w:r w:rsidRPr="000F5D96">
              <w:rPr>
                <w:rFonts w:ascii="Rockwell" w:eastAsia="Times New Roman" w:hAnsi="Rockwell" w:cs="Rockwell"/>
                <w:sz w:val="26"/>
                <w:szCs w:val="26"/>
                <w:lang w:eastAsia="fr-FR"/>
              </w:rPr>
              <w:t>112/CSC/SG/DP du 23/11/2022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B46E89" w14:textId="77777777" w:rsidR="00733207" w:rsidRPr="000F5D96" w:rsidRDefault="00912BAE">
            <w:pPr>
              <w:spacing w:after="0"/>
              <w:jc w:val="both"/>
              <w:rPr>
                <w:rFonts w:ascii="Rockwell" w:hAnsi="Rockwell" w:cs="Rockwell"/>
                <w:sz w:val="26"/>
                <w:szCs w:val="26"/>
              </w:rPr>
            </w:pPr>
            <w:r w:rsidRPr="000F5D96">
              <w:rPr>
                <w:rFonts w:ascii="Rockwell" w:hAnsi="Rockwell" w:cs="Rockwell"/>
                <w:sz w:val="26"/>
                <w:szCs w:val="26"/>
              </w:rPr>
              <w:t>RCCM : BF-OUA-01- 2022- B13- 5515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8BB6C4"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:00180063F</w:t>
            </w:r>
          </w:p>
        </w:tc>
      </w:tr>
      <w:tr w:rsidR="00733207" w:rsidRPr="000F5D96" w14:paraId="0E4582E8" w14:textId="77777777">
        <w:trPr>
          <w:trHeight w:val="422"/>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E418F"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17</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A95293"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MED’ADVERT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79160"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SOMBIE </w:t>
            </w:r>
            <w:proofErr w:type="spellStart"/>
            <w:r w:rsidRPr="000F5D96">
              <w:rPr>
                <w:rFonts w:ascii="Rockwell" w:hAnsi="Rockwell" w:cs="Rockwell"/>
                <w:sz w:val="26"/>
                <w:szCs w:val="26"/>
              </w:rPr>
              <w:t>Difaby</w:t>
            </w:r>
            <w:proofErr w:type="spellEnd"/>
            <w:r w:rsidRPr="000F5D96">
              <w:rPr>
                <w:rFonts w:ascii="Rockwell" w:hAnsi="Rockwell" w:cs="Rockwell"/>
                <w:sz w:val="26"/>
                <w:szCs w:val="26"/>
              </w:rPr>
              <w:t xml:space="preserve"> Christophe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4F4B6" w14:textId="77777777" w:rsidR="00733207" w:rsidRPr="000F5D96" w:rsidRDefault="00912BAE">
            <w:pPr>
              <w:spacing w:before="120"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057/CSC/SG/DP du 02/06/2023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E819AD"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RCCM : BF OUA 2022 B 3623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CCCD09"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 00177083P</w:t>
            </w:r>
          </w:p>
        </w:tc>
      </w:tr>
      <w:tr w:rsidR="00733207" w:rsidRPr="000F5D96" w14:paraId="6601E099" w14:textId="77777777">
        <w:trPr>
          <w:trHeight w:val="36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8473BB" w14:textId="77777777" w:rsidR="00733207" w:rsidRPr="000F5D96" w:rsidRDefault="00912BAE">
            <w:pPr>
              <w:spacing w:before="120" w:after="120"/>
              <w:jc w:val="center"/>
              <w:rPr>
                <w:rFonts w:ascii="Rockwell" w:hAnsi="Rockwell" w:cs="Rockwell"/>
                <w:sz w:val="26"/>
                <w:szCs w:val="26"/>
              </w:rPr>
            </w:pPr>
            <w:r w:rsidRPr="000F5D96">
              <w:rPr>
                <w:rFonts w:ascii="Rockwell" w:hAnsi="Rockwell" w:cs="Rockwell"/>
                <w:sz w:val="26"/>
                <w:szCs w:val="26"/>
              </w:rPr>
              <w:t>18</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AF9EAE"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NOVACOM</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840A2"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SANOU Carine Valérie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9F064" w14:textId="77777777" w:rsidR="00733207" w:rsidRPr="000F5D96" w:rsidRDefault="00912BAE">
            <w:pPr>
              <w:spacing w:before="120" w:after="120" w:line="251"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001/CSC/SG/DP du 12/01/2023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9BE7DC" w14:textId="77777777" w:rsidR="00733207" w:rsidRPr="000F5D96" w:rsidRDefault="00912BAE">
            <w:pPr>
              <w:spacing w:after="0"/>
              <w:jc w:val="both"/>
              <w:rPr>
                <w:rFonts w:ascii="Rockwell" w:hAnsi="Rockwell" w:cs="Rockwell"/>
                <w:sz w:val="26"/>
                <w:szCs w:val="26"/>
              </w:rPr>
            </w:pPr>
            <w:r w:rsidRPr="000F5D96">
              <w:rPr>
                <w:rFonts w:ascii="Rockwell" w:hAnsi="Rockwell" w:cs="Rockwell"/>
                <w:sz w:val="26"/>
                <w:szCs w:val="26"/>
              </w:rPr>
              <w:t>RCCM : BF OUA 2017 A 4858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48560DF"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 00092211U</w:t>
            </w:r>
          </w:p>
        </w:tc>
      </w:tr>
      <w:tr w:rsidR="00733207" w:rsidRPr="000F5D96" w14:paraId="743940F1" w14:textId="77777777">
        <w:trPr>
          <w:trHeight w:val="318"/>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3E139"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19</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5DFCD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PROXIMA PLUS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AC47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DRABO/OUEDRAOGO </w:t>
            </w:r>
            <w:proofErr w:type="spellStart"/>
            <w:r w:rsidRPr="000F5D96">
              <w:rPr>
                <w:rFonts w:ascii="Rockwell" w:hAnsi="Rockwell" w:cs="Rockwell"/>
                <w:sz w:val="26"/>
                <w:szCs w:val="26"/>
              </w:rPr>
              <w:t>Bibata</w:t>
            </w:r>
            <w:proofErr w:type="spellEnd"/>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4BCC3" w14:textId="77777777" w:rsidR="00733207" w:rsidRPr="000F5D96" w:rsidRDefault="00912BAE">
            <w:pPr>
              <w:spacing w:before="120" w:after="0" w:line="252"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069/CSC/SG/DP du 04/07/2023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ADF30B" w14:textId="77777777" w:rsidR="00733207" w:rsidRPr="000F5D96" w:rsidRDefault="00912BAE">
            <w:pPr>
              <w:spacing w:after="0"/>
              <w:jc w:val="both"/>
              <w:rPr>
                <w:rFonts w:ascii="Rockwell" w:hAnsi="Rockwell" w:cs="Rockwell"/>
                <w:sz w:val="26"/>
                <w:szCs w:val="26"/>
              </w:rPr>
            </w:pPr>
            <w:r w:rsidRPr="000F5D96">
              <w:rPr>
                <w:rFonts w:ascii="Rockwell" w:hAnsi="Rockwell" w:cs="Rockwell"/>
                <w:sz w:val="26"/>
                <w:szCs w:val="26"/>
              </w:rPr>
              <w:t>RCCM : BF-OUA-01-2023-B13-04105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AD0C44"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:00199809N</w:t>
            </w:r>
          </w:p>
        </w:tc>
      </w:tr>
      <w:tr w:rsidR="00733207" w:rsidRPr="000F5D96" w14:paraId="7100A5A1" w14:textId="77777777">
        <w:trPr>
          <w:trHeight w:val="422"/>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0C399"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20</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3819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PROXYM’US MEDIA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A5D7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KIENDREBEOGO Alassane Aristide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49A05"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027/CSC/SG/DP du 23/03/2023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6139D3"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RCCM : BF OUA 2018 B 8961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154AE5"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:00112375B</w:t>
            </w:r>
          </w:p>
        </w:tc>
      </w:tr>
      <w:tr w:rsidR="00733207" w:rsidRPr="000F5D96" w14:paraId="381F7F70" w14:textId="77777777">
        <w:trPr>
          <w:trHeight w:val="525"/>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0224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AD60DF"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SAHEL DECOR</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3258C"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ILBOUDO Rodrigue Armand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F1A78"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029/CSC/SG/DP du 24/03/2023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A5DD30E"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RCCM : BF DRI 2020 M 0074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D3C850"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IFU :00046504C</w:t>
            </w:r>
          </w:p>
        </w:tc>
      </w:tr>
      <w:tr w:rsidR="00733207" w:rsidRPr="000F5D96" w14:paraId="4A3437F5" w14:textId="77777777">
        <w:trPr>
          <w:trHeight w:val="542"/>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397EC"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0A698"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STRAXCOM</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7ECD8"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 xml:space="preserve">SAWADOGO </w:t>
            </w:r>
            <w:proofErr w:type="spellStart"/>
            <w:r w:rsidRPr="000F5D96">
              <w:rPr>
                <w:rFonts w:ascii="Rockwell" w:hAnsi="Rockwell" w:cs="Rockwell"/>
                <w:sz w:val="26"/>
                <w:szCs w:val="26"/>
              </w:rPr>
              <w:t>Noraogo</w:t>
            </w:r>
            <w:proofErr w:type="spellEnd"/>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E68E2"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090/CSC/SG/DP du 25/09/2023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6D4691"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RCCM :BF OUA 2021 B 6769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E1521D"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IFU : 00160190K</w:t>
            </w:r>
          </w:p>
        </w:tc>
      </w:tr>
      <w:tr w:rsidR="00733207" w:rsidRPr="000F5D96" w14:paraId="003DCBF8"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818FB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FC73AD"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SYNERGIE MEDIA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50278E"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 xml:space="preserve">SOMDA </w:t>
            </w:r>
            <w:proofErr w:type="spellStart"/>
            <w:r w:rsidRPr="000F5D96">
              <w:rPr>
                <w:rFonts w:ascii="Rockwell" w:hAnsi="Rockwell" w:cs="Rockwell"/>
                <w:sz w:val="26"/>
                <w:szCs w:val="26"/>
              </w:rPr>
              <w:t>Bessolè</w:t>
            </w:r>
            <w:proofErr w:type="spellEnd"/>
            <w:r w:rsidRPr="000F5D96">
              <w:rPr>
                <w:rFonts w:ascii="Rockwell" w:hAnsi="Rockwell" w:cs="Rockwell"/>
                <w:sz w:val="26"/>
                <w:szCs w:val="26"/>
              </w:rPr>
              <w:t xml:space="preserve"> Jean Pierre</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B3D6C"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012/CSC/SG/DP du 14/02/2023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4BA3ED"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RCCM : BF OUA 2018 B 6366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EF37E1"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IFU :00108291Y</w:t>
            </w:r>
          </w:p>
        </w:tc>
      </w:tr>
      <w:tr w:rsidR="00733207" w:rsidRPr="000F5D96" w14:paraId="010EACDE"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91580"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24</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9F514"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VISION PANAF</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539B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OUEDRAOGO </w:t>
            </w:r>
            <w:proofErr w:type="spellStart"/>
            <w:r w:rsidRPr="000F5D96">
              <w:rPr>
                <w:rFonts w:ascii="Rockwell" w:hAnsi="Rockwell" w:cs="Rockwell"/>
                <w:sz w:val="26"/>
                <w:szCs w:val="26"/>
              </w:rPr>
              <w:t>Djelikah</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Wendpouiré</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Bint</w:t>
            </w:r>
            <w:proofErr w:type="spellEnd"/>
            <w:r w:rsidRPr="000F5D96">
              <w:rPr>
                <w:rFonts w:ascii="Rockwell" w:hAnsi="Rockwell" w:cs="Rockwell"/>
                <w:sz w:val="26"/>
                <w:szCs w:val="26"/>
              </w:rPr>
              <w:t xml:space="preserve"> Daoud</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F7E12"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036/CSC/SG/DP du 18/04/2023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CF9499" w14:textId="77777777" w:rsidR="00733207" w:rsidRPr="000F5D96" w:rsidRDefault="00912BAE">
            <w:pPr>
              <w:rPr>
                <w:rFonts w:ascii="Rockwell" w:hAnsi="Rockwell" w:cs="Rockwell"/>
                <w:sz w:val="26"/>
                <w:szCs w:val="26"/>
              </w:rPr>
            </w:pPr>
            <w:r w:rsidRPr="000F5D96">
              <w:rPr>
                <w:rFonts w:ascii="Rockwell" w:hAnsi="Rockwell" w:cs="Rockwell"/>
                <w:sz w:val="26"/>
                <w:szCs w:val="26"/>
              </w:rPr>
              <w:t>RCCM : BF-OUA-01-2023-B12-02419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B4DA15E"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IFU :00197130B</w:t>
            </w:r>
          </w:p>
        </w:tc>
      </w:tr>
      <w:tr w:rsidR="00733207" w:rsidRPr="000F5D96" w14:paraId="4248CF1F" w14:textId="77777777">
        <w:trPr>
          <w:trHeight w:val="612"/>
        </w:trPr>
        <w:tc>
          <w:tcPr>
            <w:tcW w:w="85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ECAA813" w14:textId="77777777" w:rsidR="00733207" w:rsidRPr="000F5D96" w:rsidRDefault="00912BAE">
            <w:pPr>
              <w:spacing w:before="120" w:after="12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25</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BF6583C" w14:textId="77777777" w:rsidR="00733207" w:rsidRPr="000F5D96" w:rsidRDefault="00912BAE">
            <w:pPr>
              <w:spacing w:before="120" w:after="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ZENITH</w:t>
            </w:r>
          </w:p>
        </w:tc>
        <w:tc>
          <w:tcPr>
            <w:tcW w:w="3402"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F3719DE" w14:textId="77777777" w:rsidR="00733207" w:rsidRPr="000F5D96" w:rsidRDefault="00912BAE">
            <w:pPr>
              <w:spacing w:before="120" w:after="12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 xml:space="preserve">DE POUKN </w:t>
            </w:r>
            <w:proofErr w:type="spellStart"/>
            <w:r w:rsidRPr="000F5D96">
              <w:rPr>
                <w:rFonts w:ascii="Rockwell" w:eastAsia="Times New Roman" w:hAnsi="Rockwell" w:cs="Rockwell"/>
                <w:color w:val="000000"/>
                <w:sz w:val="26"/>
                <w:szCs w:val="26"/>
                <w:lang w:eastAsia="fr-FR"/>
              </w:rPr>
              <w:t>Mantode</w:t>
            </w:r>
            <w:proofErr w:type="spellEnd"/>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DC3B9"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066/CSC/SG/DP du 26/06/2023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D7E7C2" w14:textId="77777777" w:rsidR="00733207" w:rsidRPr="000F5D96" w:rsidRDefault="00912BAE">
            <w:pPr>
              <w:spacing w:before="120" w:after="120"/>
              <w:jc w:val="both"/>
              <w:rPr>
                <w:rFonts w:ascii="Rockwell" w:eastAsia="Times New Roman" w:hAnsi="Rockwell" w:cs="Rockwell"/>
                <w:color w:val="000000"/>
                <w:sz w:val="26"/>
                <w:szCs w:val="26"/>
                <w:lang w:eastAsia="fr-FR"/>
              </w:rPr>
            </w:pPr>
            <w:r w:rsidRPr="000F5D96">
              <w:rPr>
                <w:rFonts w:ascii="Rockwell" w:hAnsi="Rockwell" w:cs="Rockwell"/>
                <w:sz w:val="26"/>
                <w:szCs w:val="26"/>
              </w:rPr>
              <w:t>RCCM : BF OUA 2010 B 2989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ADDEE0" w14:textId="77777777" w:rsidR="00733207" w:rsidRPr="000F5D96" w:rsidRDefault="00912BAE">
            <w:pPr>
              <w:spacing w:before="120" w:after="120"/>
              <w:jc w:val="both"/>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IFU :00028638T</w:t>
            </w:r>
          </w:p>
        </w:tc>
      </w:tr>
    </w:tbl>
    <w:p w14:paraId="55D4309C" w14:textId="77777777" w:rsidR="00733207" w:rsidRPr="000F5D96" w:rsidRDefault="00733207">
      <w:pPr>
        <w:rPr>
          <w:rFonts w:ascii="Rockwell" w:hAnsi="Rockwell" w:cs="Rockwell"/>
          <w:sz w:val="26"/>
          <w:szCs w:val="26"/>
        </w:rPr>
      </w:pPr>
    </w:p>
    <w:p w14:paraId="694A81BB" w14:textId="77777777" w:rsidR="00733207" w:rsidRPr="000F5D96" w:rsidRDefault="00912BAE">
      <w:pPr>
        <w:spacing w:after="240"/>
        <w:rPr>
          <w:rFonts w:ascii="Rockwell" w:hAnsi="Rockwell" w:cs="Rockwell"/>
          <w:b/>
          <w:sz w:val="26"/>
          <w:szCs w:val="26"/>
        </w:rPr>
      </w:pPr>
      <w:r w:rsidRPr="000F5D96">
        <w:rPr>
          <w:rFonts w:ascii="Rockwell" w:hAnsi="Rockwell" w:cs="Rockwell"/>
          <w:b/>
          <w:sz w:val="26"/>
          <w:szCs w:val="26"/>
        </w:rPr>
        <w:t xml:space="preserve">Arrêté la présente liste à vingt-cinq (25) entreprises déclarées en qualité de régie publicitaire. </w:t>
      </w:r>
    </w:p>
    <w:p w14:paraId="75F018F8" w14:textId="77777777" w:rsidR="00733207" w:rsidRPr="000F5D96" w:rsidRDefault="00733207">
      <w:pPr>
        <w:spacing w:after="240"/>
        <w:rPr>
          <w:rFonts w:ascii="Rockwell" w:hAnsi="Rockwell" w:cs="Rockwell"/>
          <w:b/>
          <w:sz w:val="26"/>
          <w:szCs w:val="26"/>
        </w:rPr>
      </w:pPr>
    </w:p>
    <w:p w14:paraId="1B19CC35" w14:textId="77777777" w:rsidR="00733207" w:rsidRPr="000F5D96" w:rsidRDefault="00733207">
      <w:pPr>
        <w:spacing w:after="240"/>
        <w:rPr>
          <w:rFonts w:ascii="Rockwell" w:hAnsi="Rockwell" w:cs="Rockwell"/>
          <w:b/>
          <w:sz w:val="26"/>
          <w:szCs w:val="26"/>
        </w:rPr>
      </w:pPr>
    </w:p>
    <w:p w14:paraId="790EA027" w14:textId="77777777" w:rsidR="00733207" w:rsidRPr="000F5D96" w:rsidRDefault="00912BAE">
      <w:pPr>
        <w:spacing w:after="240"/>
        <w:jc w:val="center"/>
        <w:rPr>
          <w:rFonts w:ascii="Rockwell" w:hAnsi="Rockwell" w:cs="Rockwell"/>
          <w:sz w:val="26"/>
          <w:szCs w:val="26"/>
        </w:rPr>
      </w:pPr>
      <w:r w:rsidRPr="000F5D96">
        <w:rPr>
          <w:rFonts w:ascii="Rockwell" w:hAnsi="Rockwell" w:cs="Rockwell"/>
          <w:b/>
          <w:sz w:val="26"/>
          <w:szCs w:val="26"/>
          <w:u w:val="single"/>
        </w:rPr>
        <w:lastRenderedPageBreak/>
        <w:t>Article 2</w:t>
      </w:r>
      <w:r w:rsidRPr="000F5D96">
        <w:rPr>
          <w:rFonts w:ascii="Rockwell" w:hAnsi="Rockwell" w:cs="Rockwell"/>
          <w:sz w:val="26"/>
          <w:szCs w:val="26"/>
          <w:u w:val="single"/>
        </w:rPr>
        <w:t> </w:t>
      </w:r>
      <w:r w:rsidRPr="000F5D96">
        <w:rPr>
          <w:rFonts w:ascii="Rockwell" w:hAnsi="Rockwell" w:cs="Rockwell"/>
          <w:sz w:val="26"/>
          <w:szCs w:val="26"/>
        </w:rPr>
        <w:t>: Les entreprises de publicité dont les noms suivent sont enregistrées en qualité d’Agence-conseil en publicité :</w:t>
      </w:r>
    </w:p>
    <w:tbl>
      <w:tblPr>
        <w:tblW w:w="15735" w:type="dxa"/>
        <w:tblInd w:w="-714" w:type="dxa"/>
        <w:tblLayout w:type="fixed"/>
        <w:tblCellMar>
          <w:left w:w="10" w:type="dxa"/>
          <w:right w:w="10" w:type="dxa"/>
        </w:tblCellMar>
        <w:tblLook w:val="04A0" w:firstRow="1" w:lastRow="0" w:firstColumn="1" w:lastColumn="0" w:noHBand="0" w:noVBand="1"/>
      </w:tblPr>
      <w:tblGrid>
        <w:gridCol w:w="709"/>
        <w:gridCol w:w="3261"/>
        <w:gridCol w:w="3118"/>
        <w:gridCol w:w="3969"/>
        <w:gridCol w:w="2693"/>
        <w:gridCol w:w="1985"/>
      </w:tblGrid>
      <w:tr w:rsidR="00733207" w:rsidRPr="000F5D96" w14:paraId="0855D371" w14:textId="77777777">
        <w:trPr>
          <w:trHeight w:val="900"/>
          <w:tblHeader/>
        </w:trPr>
        <w:tc>
          <w:tcPr>
            <w:tcW w:w="7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6051176" w14:textId="77777777" w:rsidR="00733207" w:rsidRPr="000F5D96" w:rsidRDefault="00733207">
            <w:pPr>
              <w:spacing w:after="0"/>
              <w:jc w:val="both"/>
              <w:rPr>
                <w:rFonts w:ascii="Rockwell" w:hAnsi="Rockwell" w:cs="Rockwell"/>
                <w:b/>
                <w:sz w:val="26"/>
                <w:szCs w:val="26"/>
              </w:rPr>
            </w:pPr>
          </w:p>
          <w:p w14:paraId="4DA835D0" w14:textId="77777777" w:rsidR="00733207" w:rsidRPr="000F5D96" w:rsidRDefault="00912BAE">
            <w:pPr>
              <w:spacing w:after="0"/>
              <w:jc w:val="both"/>
              <w:rPr>
                <w:rFonts w:ascii="Rockwell" w:hAnsi="Rockwell" w:cs="Rockwell"/>
                <w:b/>
                <w:sz w:val="26"/>
                <w:szCs w:val="26"/>
              </w:rPr>
            </w:pPr>
            <w:r w:rsidRPr="000F5D96">
              <w:rPr>
                <w:rFonts w:ascii="Rockwell" w:hAnsi="Rockwell" w:cs="Rockwell"/>
                <w:b/>
                <w:sz w:val="26"/>
                <w:szCs w:val="26"/>
              </w:rPr>
              <w:t xml:space="preserve">N° </w:t>
            </w:r>
          </w:p>
        </w:tc>
        <w:tc>
          <w:tcPr>
            <w:tcW w:w="326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07A9D88"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Dénomination de l’entreprise</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2BF82E2"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Nom et Prénom (s) du premier responsable</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CFBA3CA"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Numéro du récépissé de déclaration d’existence</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7282A10D" w14:textId="77777777" w:rsidR="00733207" w:rsidRPr="000F5D96" w:rsidRDefault="00733207">
            <w:pPr>
              <w:spacing w:after="0"/>
              <w:jc w:val="center"/>
              <w:rPr>
                <w:rFonts w:ascii="Rockwell" w:hAnsi="Rockwell" w:cs="Rockwell"/>
                <w:b/>
                <w:sz w:val="26"/>
                <w:szCs w:val="26"/>
              </w:rPr>
            </w:pPr>
          </w:p>
          <w:p w14:paraId="1D9D82FF"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Numéro RCCM</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596F49F3" w14:textId="77777777" w:rsidR="00733207" w:rsidRPr="000F5D96" w:rsidRDefault="00733207">
            <w:pPr>
              <w:spacing w:after="0"/>
              <w:jc w:val="center"/>
              <w:rPr>
                <w:rFonts w:ascii="Rockwell" w:hAnsi="Rockwell" w:cs="Rockwell"/>
                <w:b/>
                <w:sz w:val="26"/>
                <w:szCs w:val="26"/>
              </w:rPr>
            </w:pPr>
          </w:p>
          <w:p w14:paraId="17F52151"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Numéro IFU</w:t>
            </w:r>
          </w:p>
        </w:tc>
      </w:tr>
      <w:tr w:rsidR="00733207" w:rsidRPr="000F5D96" w14:paraId="5017D1F2" w14:textId="77777777">
        <w:trPr>
          <w:trHeight w:val="69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0FDD47" w14:textId="77777777" w:rsidR="00733207" w:rsidRPr="000F5D96" w:rsidRDefault="00912BAE">
            <w:pPr>
              <w:spacing w:after="120"/>
              <w:jc w:val="center"/>
              <w:rPr>
                <w:rFonts w:ascii="Rockwell" w:hAnsi="Rockwell" w:cs="Rockwell"/>
                <w:sz w:val="26"/>
                <w:szCs w:val="26"/>
              </w:rPr>
            </w:pPr>
            <w:r w:rsidRPr="000F5D96">
              <w:rPr>
                <w:rFonts w:ascii="Rockwell" w:hAnsi="Rockwell" w:cs="Rockwell"/>
                <w:sz w:val="26"/>
                <w:szCs w:val="26"/>
              </w:rPr>
              <w:t>01</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1FB067" w14:textId="77777777" w:rsidR="00733207" w:rsidRPr="000F5D96" w:rsidRDefault="00912BAE">
            <w:pPr>
              <w:spacing w:after="120"/>
              <w:rPr>
                <w:rFonts w:ascii="Rockwell" w:hAnsi="Rockwell" w:cs="Rockwell"/>
                <w:sz w:val="26"/>
                <w:szCs w:val="26"/>
                <w:lang w:val="en-US"/>
              </w:rPr>
            </w:pPr>
            <w:r w:rsidRPr="000F5D96">
              <w:rPr>
                <w:rFonts w:ascii="Rockwell" w:hAnsi="Rockwell" w:cs="Rockwell"/>
                <w:sz w:val="26"/>
                <w:szCs w:val="26"/>
                <w:lang w:val="en-US"/>
              </w:rPr>
              <w:t>ACE-DEVELOPPEMENT SYNERGIE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7411A" w14:textId="77777777" w:rsidR="00733207" w:rsidRPr="000F5D96" w:rsidRDefault="00912BAE">
            <w:pPr>
              <w:spacing w:before="240" w:after="120"/>
              <w:rPr>
                <w:rFonts w:ascii="Rockwell" w:hAnsi="Rockwell" w:cs="Rockwell"/>
                <w:sz w:val="26"/>
                <w:szCs w:val="26"/>
              </w:rPr>
            </w:pPr>
            <w:r w:rsidRPr="000F5D96">
              <w:rPr>
                <w:rFonts w:ascii="Rockwell" w:hAnsi="Rockwell" w:cs="Rockwell"/>
                <w:sz w:val="26"/>
                <w:szCs w:val="26"/>
              </w:rPr>
              <w:t xml:space="preserve">SOMDA </w:t>
            </w:r>
            <w:proofErr w:type="spellStart"/>
            <w:r w:rsidRPr="000F5D96">
              <w:rPr>
                <w:rFonts w:ascii="Rockwell" w:hAnsi="Rockwell" w:cs="Rockwell"/>
                <w:sz w:val="26"/>
                <w:szCs w:val="26"/>
              </w:rPr>
              <w:t>Bessolè</w:t>
            </w:r>
            <w:proofErr w:type="spellEnd"/>
            <w:r w:rsidRPr="000F5D96">
              <w:rPr>
                <w:rFonts w:ascii="Rockwell" w:hAnsi="Rockwell" w:cs="Rockwell"/>
                <w:sz w:val="26"/>
                <w:szCs w:val="26"/>
              </w:rPr>
              <w:t xml:space="preserve"> Jean Pierre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D31E3" w14:textId="77777777" w:rsidR="00733207" w:rsidRPr="000F5D96" w:rsidRDefault="00912BAE">
            <w:pPr>
              <w:spacing w:before="240" w:after="120"/>
              <w:jc w:val="both"/>
              <w:rPr>
                <w:rFonts w:ascii="Rockwell" w:hAnsi="Rockwell" w:cs="Rockwell"/>
                <w:sz w:val="26"/>
                <w:szCs w:val="26"/>
              </w:rPr>
            </w:pPr>
            <w:r w:rsidRPr="000F5D96">
              <w:rPr>
                <w:rFonts w:ascii="Rockwell" w:hAnsi="Rockwell" w:cs="Rockwell"/>
                <w:sz w:val="26"/>
                <w:szCs w:val="26"/>
              </w:rPr>
              <w:t>079/CSC/SG/DP du 31/07/2023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0C80FB"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RCCM : BF OUA 2014 M 5051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34D44A" w14:textId="77777777" w:rsidR="00733207" w:rsidRPr="000F5D96" w:rsidRDefault="00912BAE">
            <w:pPr>
              <w:spacing w:before="240" w:after="120"/>
              <w:jc w:val="both"/>
              <w:rPr>
                <w:rFonts w:ascii="Rockwell" w:hAnsi="Rockwell" w:cs="Rockwell"/>
                <w:sz w:val="26"/>
                <w:szCs w:val="26"/>
              </w:rPr>
            </w:pPr>
            <w:r w:rsidRPr="000F5D96">
              <w:rPr>
                <w:rFonts w:ascii="Rockwell" w:hAnsi="Rockwell" w:cs="Rockwell"/>
                <w:sz w:val="26"/>
                <w:szCs w:val="26"/>
              </w:rPr>
              <w:t>IFU : 00002475L</w:t>
            </w:r>
          </w:p>
        </w:tc>
      </w:tr>
      <w:tr w:rsidR="00733207" w:rsidRPr="000F5D96" w14:paraId="03760556"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622D7"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53B58"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ACTU-ELLES MEDIAS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8C8E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OUATTARA Fatouma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2CDEF"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068/CSC/SG/DP du 26/06/2023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5740B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BF-OUA-01-2022-B12-7410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6F394D"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:00182751R</w:t>
            </w:r>
          </w:p>
        </w:tc>
      </w:tr>
      <w:tr w:rsidR="00733207" w:rsidRPr="000F5D96" w14:paraId="2B318C14"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DF6F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03</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B0F01B"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AFRICA TRADING COMMUNICATION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1FB5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CAMARA Abdoul Aziz</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C485C"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077/CSC/SG/DP du 26/07/2023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458D77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B 2193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89B059"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:00133975A</w:t>
            </w:r>
          </w:p>
        </w:tc>
      </w:tr>
      <w:tr w:rsidR="00733207" w:rsidRPr="000F5D96" w14:paraId="29DEA909"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EBBA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04</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88850"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ALPHA OMEGA SERVICE BURKINA FASO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93B4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AGBO </w:t>
            </w:r>
            <w:proofErr w:type="spellStart"/>
            <w:r w:rsidRPr="000F5D96">
              <w:rPr>
                <w:rFonts w:ascii="Rockwell" w:hAnsi="Rockwell" w:cs="Rockwell"/>
                <w:sz w:val="26"/>
                <w:szCs w:val="26"/>
              </w:rPr>
              <w:t>Nénégalé</w:t>
            </w:r>
            <w:proofErr w:type="spellEnd"/>
            <w:r w:rsidRPr="000F5D96">
              <w:rPr>
                <w:rFonts w:ascii="Rockwell" w:hAnsi="Rockwell" w:cs="Rockwell"/>
                <w:sz w:val="26"/>
                <w:szCs w:val="26"/>
              </w:rPr>
              <w:t xml:space="preserve"> Sandrine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6E52D"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084/CSC/SG/DP du 21/08/2023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AA1AF7"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BF-OUA-01-2015- B12- 03844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932564"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:00067398N</w:t>
            </w:r>
          </w:p>
        </w:tc>
      </w:tr>
      <w:tr w:rsidR="00733207" w:rsidRPr="000F5D96" w14:paraId="4524B818"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1261A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05</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1865B7"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AZUR CONSEIL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4492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KAFANDO Nicomède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0FB7A"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005/CSC/SG/DP du 25/01/2023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7ADCA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2013 M 457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2846DA"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:00000310S</w:t>
            </w:r>
          </w:p>
        </w:tc>
      </w:tr>
      <w:tr w:rsidR="00733207" w:rsidRPr="000F5D96" w14:paraId="1C05563D"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5C3B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06</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EA4C0E"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BITEL GROUP</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8B3A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BELEMTOUGRI W. Innocent de Dieu</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97108"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003/CSC/SG/DP du 12/01/2023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68498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B 2227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93ECFAF" w14:textId="77777777" w:rsidR="00733207" w:rsidRPr="000F5D96" w:rsidRDefault="00912BAE">
            <w:pPr>
              <w:spacing w:before="120" w:after="0"/>
              <w:jc w:val="both"/>
              <w:rPr>
                <w:rFonts w:ascii="Rockwell" w:hAnsi="Rockwell" w:cs="Rockwell"/>
                <w:sz w:val="26"/>
                <w:szCs w:val="26"/>
              </w:rPr>
            </w:pPr>
            <w:r w:rsidRPr="000F5D96">
              <w:rPr>
                <w:rFonts w:ascii="Rockwell" w:hAnsi="Rockwell" w:cs="Rockwell"/>
                <w:sz w:val="26"/>
                <w:szCs w:val="26"/>
              </w:rPr>
              <w:t>IFU : 00153443G</w:t>
            </w:r>
          </w:p>
        </w:tc>
      </w:tr>
      <w:tr w:rsidR="00733207" w:rsidRPr="000F5D96" w14:paraId="24DB505F" w14:textId="77777777">
        <w:trPr>
          <w:trHeight w:val="178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FA7CC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07</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ED4599"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rPr>
              <w:t>BUREAU DE COMMUNICATION POUR LA SANTE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11724" w14:textId="77777777" w:rsidR="00733207" w:rsidRPr="000F5D96" w:rsidRDefault="00733207">
            <w:pPr>
              <w:spacing w:after="0"/>
              <w:rPr>
                <w:rFonts w:ascii="Rockwell" w:hAnsi="Rockwell" w:cs="Rockwell"/>
                <w:sz w:val="26"/>
                <w:szCs w:val="26"/>
              </w:rPr>
            </w:pPr>
          </w:p>
          <w:p w14:paraId="722E3A0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TIENDREBEOGO Raymond</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BD902" w14:textId="77777777" w:rsidR="00733207" w:rsidRPr="000F5D96" w:rsidRDefault="00733207">
            <w:pPr>
              <w:rPr>
                <w:rFonts w:ascii="Rockwell" w:hAnsi="Rockwell" w:cs="Rockwell"/>
                <w:sz w:val="26"/>
                <w:szCs w:val="26"/>
              </w:rPr>
            </w:pPr>
          </w:p>
          <w:p w14:paraId="62A8BA0E" w14:textId="77777777" w:rsidR="00733207" w:rsidRPr="000F5D96" w:rsidRDefault="00912BAE">
            <w:pPr>
              <w:rPr>
                <w:rFonts w:ascii="Rockwell" w:hAnsi="Rockwell" w:cs="Rockwell"/>
                <w:sz w:val="26"/>
                <w:szCs w:val="26"/>
              </w:rPr>
            </w:pPr>
            <w:r w:rsidRPr="000F5D96">
              <w:rPr>
                <w:rFonts w:ascii="Rockwell" w:hAnsi="Rockwell" w:cs="Rockwell"/>
                <w:sz w:val="26"/>
                <w:szCs w:val="26"/>
              </w:rPr>
              <w:t>N°110/CSC/SG/DP du 09/11/2022</w:t>
            </w:r>
          </w:p>
          <w:p w14:paraId="6C0F3A4F" w14:textId="77777777" w:rsidR="00733207" w:rsidRPr="000F5D96" w:rsidRDefault="00733207">
            <w:pPr>
              <w:spacing w:after="0"/>
              <w:rPr>
                <w:rFonts w:ascii="Rockwell" w:hAnsi="Rockwell" w:cs="Rockwell"/>
                <w:sz w:val="26"/>
                <w:szCs w:val="26"/>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5075487" w14:textId="77777777" w:rsidR="00733207" w:rsidRPr="000F5D96" w:rsidRDefault="00733207">
            <w:pPr>
              <w:spacing w:after="0"/>
              <w:rPr>
                <w:rFonts w:ascii="Rockwell" w:hAnsi="Rockwell" w:cs="Rockwell"/>
                <w:sz w:val="26"/>
                <w:szCs w:val="26"/>
              </w:rPr>
            </w:pPr>
          </w:p>
          <w:p w14:paraId="75CE0C0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2010 B 4379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39FB1A" w14:textId="77777777" w:rsidR="00733207" w:rsidRPr="000F5D96" w:rsidRDefault="00733207">
            <w:pPr>
              <w:spacing w:after="0"/>
              <w:rPr>
                <w:rFonts w:ascii="Rockwell" w:hAnsi="Rockwell" w:cs="Rockwell"/>
                <w:sz w:val="26"/>
                <w:szCs w:val="26"/>
              </w:rPr>
            </w:pPr>
          </w:p>
          <w:p w14:paraId="7DBA1D87"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IFU :00030559W</w:t>
            </w:r>
          </w:p>
        </w:tc>
      </w:tr>
      <w:tr w:rsidR="00733207" w:rsidRPr="000F5D96" w14:paraId="79D554DB" w14:textId="77777777">
        <w:trPr>
          <w:trHeight w:val="50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8801C5" w14:textId="77777777" w:rsidR="00733207" w:rsidRPr="000F5D96" w:rsidRDefault="00912BAE">
            <w:pPr>
              <w:spacing w:before="120" w:after="120"/>
              <w:jc w:val="center"/>
              <w:rPr>
                <w:rFonts w:ascii="Rockwell" w:hAnsi="Rockwell" w:cs="Rockwell"/>
                <w:sz w:val="26"/>
                <w:szCs w:val="26"/>
              </w:rPr>
            </w:pPr>
            <w:r w:rsidRPr="000F5D96">
              <w:rPr>
                <w:rFonts w:ascii="Rockwell" w:hAnsi="Rockwell" w:cs="Rockwell"/>
                <w:sz w:val="26"/>
                <w:szCs w:val="26"/>
              </w:rPr>
              <w:t>08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733E5"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CITECOM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D4BA6"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 xml:space="preserve">ZONGO </w:t>
            </w:r>
            <w:proofErr w:type="spellStart"/>
            <w:r w:rsidRPr="000F5D96">
              <w:rPr>
                <w:rFonts w:ascii="Rockwell" w:hAnsi="Rockwell" w:cs="Rockwell"/>
                <w:sz w:val="26"/>
                <w:szCs w:val="26"/>
              </w:rPr>
              <w:t>Ratignagda</w:t>
            </w:r>
            <w:proofErr w:type="spellEnd"/>
            <w:r w:rsidRPr="000F5D96">
              <w:rPr>
                <w:rFonts w:ascii="Rockwell" w:hAnsi="Rockwell" w:cs="Rockwell"/>
                <w:sz w:val="26"/>
                <w:szCs w:val="26"/>
              </w:rPr>
              <w:t xml:space="preserve"> Marcel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5B391"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094/CSC/SG/DP du 27/09/2023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AC138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B 0959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365F6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00100809A</w:t>
            </w:r>
          </w:p>
        </w:tc>
      </w:tr>
      <w:tr w:rsidR="00733207" w:rsidRPr="000F5D96" w14:paraId="2714F6A6"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C8487"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09</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B48D0"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CRAC COMMUNICATION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7A54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BAKOUAN </w:t>
            </w:r>
            <w:proofErr w:type="spellStart"/>
            <w:r w:rsidRPr="000F5D96">
              <w:rPr>
                <w:rFonts w:ascii="Rockwell" w:hAnsi="Rockwell" w:cs="Rockwell"/>
                <w:sz w:val="26"/>
                <w:szCs w:val="26"/>
              </w:rPr>
              <w:t>Zackaria</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1D75A"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061/CSC/SG/DP du 11/06/2023</w:t>
            </w:r>
          </w:p>
          <w:p w14:paraId="784CB2E0" w14:textId="77777777" w:rsidR="00733207" w:rsidRPr="000F5D96" w:rsidRDefault="00733207">
            <w:pPr>
              <w:spacing w:before="120" w:after="0"/>
              <w:rPr>
                <w:rFonts w:ascii="Rockwell" w:hAnsi="Rockwell" w:cs="Rockwell"/>
                <w:sz w:val="26"/>
                <w:szCs w:val="26"/>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B29F8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MNG 2019 M 130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DFF54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00043336U</w:t>
            </w:r>
          </w:p>
        </w:tc>
      </w:tr>
      <w:tr w:rsidR="00733207" w:rsidRPr="000F5D96" w14:paraId="34918AC4"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965DC"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C1C588"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DEFICOM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86F1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OUEDRAOGO </w:t>
            </w:r>
            <w:proofErr w:type="spellStart"/>
            <w:r w:rsidRPr="000F5D96">
              <w:rPr>
                <w:rFonts w:ascii="Rockwell" w:hAnsi="Rockwell" w:cs="Rockwell"/>
                <w:sz w:val="26"/>
                <w:szCs w:val="26"/>
              </w:rPr>
              <w:t>Samdebo</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Ouaouga</w:t>
            </w:r>
            <w:proofErr w:type="spellEnd"/>
            <w:r w:rsidRPr="000F5D96">
              <w:rPr>
                <w:rFonts w:ascii="Rockwell" w:hAnsi="Rockwell" w:cs="Rockwell"/>
                <w:sz w:val="26"/>
                <w:szCs w:val="26"/>
              </w:rPr>
              <w:t xml:space="preserve"> Sam</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ADA1D"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056/CSC/SG/DP du 23/05/2023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6B14FF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2008 M 702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77F779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:00004784A</w:t>
            </w:r>
          </w:p>
        </w:tc>
      </w:tr>
      <w:tr w:rsidR="00733207" w:rsidRPr="000F5D96" w14:paraId="2FBA2EE2"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0BDBB"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11</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691B0"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DREAM’S CONCEPT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0ADA7"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TIEMTORE Judicaël Adèle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01CED"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026/CSC/SG/DP du 23/03/2023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76F0E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2015 A 6146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CCA5B7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:00070282X</w:t>
            </w:r>
          </w:p>
        </w:tc>
      </w:tr>
      <w:tr w:rsidR="00733207" w:rsidRPr="000F5D96" w14:paraId="6E731509"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11B27"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14D742"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EMELLE GLOBAL BUSINESS AND STRATEGIST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69010"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KABORE </w:t>
            </w:r>
            <w:proofErr w:type="spellStart"/>
            <w:r w:rsidRPr="000F5D96">
              <w:rPr>
                <w:rFonts w:ascii="Rockwell" w:hAnsi="Rockwell" w:cs="Rockwell"/>
                <w:sz w:val="26"/>
                <w:szCs w:val="26"/>
              </w:rPr>
              <w:t>Sougrinoma</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Salia</w:t>
            </w:r>
            <w:proofErr w:type="spellEnd"/>
            <w:r w:rsidRPr="000F5D96">
              <w:rPr>
                <w:rFonts w:ascii="Rockwell" w:hAnsi="Rockwell" w:cs="Rockwell"/>
                <w:sz w:val="26"/>
                <w:szCs w:val="26"/>
              </w:rPr>
              <w:t xml:space="preserve"> Anselme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57255" w14:textId="77777777" w:rsidR="00733207" w:rsidRPr="000F5D96" w:rsidRDefault="00912BAE">
            <w:pPr>
              <w:spacing w:before="24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030/CSC/SG/DP du 03/04/2023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276FB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OUA-01-2023-</w:t>
            </w:r>
          </w:p>
          <w:p w14:paraId="700A376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M-00859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608814" w14:textId="77777777" w:rsidR="00733207" w:rsidRPr="000F5D96" w:rsidRDefault="00912BAE">
            <w:pPr>
              <w:spacing w:before="240" w:after="0"/>
              <w:rPr>
                <w:rFonts w:ascii="Rockwell" w:hAnsi="Rockwell" w:cs="Rockwell"/>
                <w:sz w:val="26"/>
                <w:szCs w:val="26"/>
              </w:rPr>
            </w:pPr>
            <w:r w:rsidRPr="000F5D96">
              <w:rPr>
                <w:rFonts w:ascii="Rockwell" w:hAnsi="Rockwell" w:cs="Rockwell"/>
                <w:sz w:val="26"/>
                <w:szCs w:val="26"/>
              </w:rPr>
              <w:t>IFU :00157393U</w:t>
            </w:r>
          </w:p>
        </w:tc>
      </w:tr>
      <w:tr w:rsidR="00733207" w:rsidRPr="000F5D96" w14:paraId="4318DCE3"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9E85F6"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13</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ABFB0B"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EXCELLE GROUPE INTERNATIONAL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EB1D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NASSOURI </w:t>
            </w:r>
            <w:proofErr w:type="spellStart"/>
            <w:proofErr w:type="gramStart"/>
            <w:r w:rsidRPr="000F5D96">
              <w:rPr>
                <w:rFonts w:ascii="Rockwell" w:hAnsi="Rockwell" w:cs="Rockwell"/>
                <w:sz w:val="26"/>
                <w:szCs w:val="26"/>
              </w:rPr>
              <w:t>Y.Romuald</w:t>
            </w:r>
            <w:proofErr w:type="spellEnd"/>
            <w:proofErr w:type="gram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A3446"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087/CSC/SG/DP du 12/09/2023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CB4EB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B 9208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C5559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00144571R</w:t>
            </w:r>
          </w:p>
        </w:tc>
      </w:tr>
      <w:tr w:rsidR="00733207" w:rsidRPr="000F5D96" w14:paraId="689AB1D7"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30FAC8" w14:textId="77777777" w:rsidR="00733207" w:rsidRPr="000F5D96" w:rsidRDefault="00912BAE">
            <w:pPr>
              <w:spacing w:after="120"/>
              <w:jc w:val="center"/>
              <w:rPr>
                <w:rFonts w:ascii="Rockwell" w:hAnsi="Rockwell" w:cs="Rockwell"/>
                <w:sz w:val="26"/>
                <w:szCs w:val="26"/>
              </w:rPr>
            </w:pPr>
            <w:r w:rsidRPr="000F5D96">
              <w:rPr>
                <w:rFonts w:ascii="Rockwell" w:hAnsi="Rockwell" w:cs="Rockwell"/>
                <w:sz w:val="26"/>
                <w:szCs w:val="26"/>
              </w:rPr>
              <w:t>14</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2E74A4" w14:textId="77777777" w:rsidR="00733207" w:rsidRPr="000F5D96" w:rsidRDefault="00912BAE">
            <w:pPr>
              <w:spacing w:after="120"/>
              <w:rPr>
                <w:rFonts w:ascii="Rockwell" w:hAnsi="Rockwell" w:cs="Rockwell"/>
                <w:sz w:val="26"/>
                <w:szCs w:val="26"/>
                <w:lang w:val="en-US"/>
              </w:rPr>
            </w:pPr>
            <w:r w:rsidRPr="000F5D96">
              <w:rPr>
                <w:rFonts w:ascii="Rockwell" w:hAnsi="Rockwell" w:cs="Rockwell"/>
                <w:sz w:val="26"/>
                <w:szCs w:val="26"/>
                <w:lang w:val="en-US"/>
              </w:rPr>
              <w:t>FACTORY BUSINESS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D90C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SANOU/HIEN Olivia Laurine Vanessa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E6FA3"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025/CSC/SG/DP du 23/03/2023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63370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RCCM : BF OUA-01-2022- </w:t>
            </w:r>
          </w:p>
          <w:p w14:paraId="66963D8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 12050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86C24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:00066604F</w:t>
            </w:r>
          </w:p>
        </w:tc>
      </w:tr>
      <w:tr w:rsidR="00733207" w:rsidRPr="000F5D96" w14:paraId="2EE13EE8"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03A5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15</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C8AED"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FOCUS DIGICOM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CCCA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SIDIBE </w:t>
            </w:r>
            <w:proofErr w:type="spellStart"/>
            <w:r w:rsidRPr="000F5D96">
              <w:rPr>
                <w:rFonts w:ascii="Rockwell" w:hAnsi="Rockwell" w:cs="Rockwell"/>
                <w:sz w:val="26"/>
                <w:szCs w:val="26"/>
              </w:rPr>
              <w:t>Izouma</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46BC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106/CSC/SG/DP du 17/10/2022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55376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M 1201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83B06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:00104758R</w:t>
            </w:r>
          </w:p>
        </w:tc>
      </w:tr>
      <w:tr w:rsidR="00733207" w:rsidRPr="000F5D96" w14:paraId="27862699"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43170C"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16</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07BC5"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HARIIDA COMMUNICATION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C32FF"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DIARRA </w:t>
            </w:r>
            <w:proofErr w:type="spellStart"/>
            <w:r w:rsidRPr="000F5D96">
              <w:rPr>
                <w:rFonts w:ascii="Rockwell" w:hAnsi="Rockwell" w:cs="Rockwell"/>
                <w:sz w:val="26"/>
                <w:szCs w:val="26"/>
              </w:rPr>
              <w:t>Arona</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B10E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085/CSC/SG/DP du 21/08/2023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09E8B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B 5281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77CEE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:00106949Z</w:t>
            </w:r>
          </w:p>
        </w:tc>
      </w:tr>
      <w:tr w:rsidR="00733207" w:rsidRPr="000F5D96" w14:paraId="27188218"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5EEF35"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17</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B68A0"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IDEE COMMUNICATION ET MARKETING OPERATIONNEL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CFA83" w14:textId="77777777" w:rsidR="00733207" w:rsidRPr="000F5D96" w:rsidRDefault="00912BAE">
            <w:pPr>
              <w:spacing w:before="240" w:after="0"/>
              <w:rPr>
                <w:rFonts w:ascii="Rockwell" w:hAnsi="Rockwell" w:cs="Rockwell"/>
                <w:sz w:val="26"/>
                <w:szCs w:val="26"/>
              </w:rPr>
            </w:pPr>
            <w:r w:rsidRPr="000F5D96">
              <w:rPr>
                <w:rFonts w:ascii="Rockwell" w:hAnsi="Rockwell" w:cs="Rockwell"/>
                <w:sz w:val="26"/>
                <w:szCs w:val="26"/>
              </w:rPr>
              <w:t>BATIONO Francis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F6B1E" w14:textId="77777777" w:rsidR="00733207" w:rsidRPr="000F5D96" w:rsidRDefault="00912BAE">
            <w:pPr>
              <w:spacing w:before="240" w:after="0"/>
              <w:rPr>
                <w:rFonts w:ascii="Rockwell" w:hAnsi="Rockwell" w:cs="Rockwell"/>
                <w:sz w:val="26"/>
                <w:szCs w:val="26"/>
              </w:rPr>
            </w:pPr>
            <w:r w:rsidRPr="000F5D96">
              <w:rPr>
                <w:rFonts w:ascii="Rockwell" w:hAnsi="Rockwell" w:cs="Rockwell"/>
                <w:sz w:val="26"/>
                <w:szCs w:val="26"/>
              </w:rPr>
              <w:t>047/CSC/SG/DP du 04/05/2023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50918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RCCM : BF OUA 2021 B 789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D6886E" w14:textId="77777777" w:rsidR="00733207" w:rsidRPr="000F5D96" w:rsidRDefault="00912BAE">
            <w:pPr>
              <w:spacing w:before="240" w:after="0"/>
              <w:rPr>
                <w:rFonts w:ascii="Rockwell" w:hAnsi="Rockwell" w:cs="Rockwell"/>
                <w:sz w:val="26"/>
                <w:szCs w:val="26"/>
              </w:rPr>
            </w:pPr>
            <w:r w:rsidRPr="000F5D96">
              <w:rPr>
                <w:rFonts w:ascii="Rockwell" w:hAnsi="Rockwell" w:cs="Rockwell"/>
                <w:sz w:val="26"/>
                <w:szCs w:val="26"/>
              </w:rPr>
              <w:t>IFU :00044829H</w:t>
            </w:r>
          </w:p>
        </w:tc>
      </w:tr>
      <w:tr w:rsidR="00733207" w:rsidRPr="000F5D96" w14:paraId="7FE7C150"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8A320"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94F17A"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IMAGIC COMMUNICATION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E8DA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BAKYONO Désiré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D65C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046/CSC/SG/DP du 04/05/2023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2E0A6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B 2377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4FA3E2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:00153683B</w:t>
            </w:r>
          </w:p>
        </w:tc>
      </w:tr>
      <w:tr w:rsidR="00733207" w:rsidRPr="000F5D96" w14:paraId="66A70D4E"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C86AC"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19</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B430E"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IMEDIA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6642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COMPAORE Ismaël</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A2F240"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051/CSC/SG/DP du 04/05/2023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6CA4F9"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B 4145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C67AA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:00105485Y</w:t>
            </w:r>
          </w:p>
        </w:tc>
      </w:tr>
      <w:tr w:rsidR="00733207" w:rsidRPr="000F5D96" w14:paraId="159991FD"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B4AC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AD42B6"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I.M.</w:t>
            </w:r>
            <w:proofErr w:type="gramStart"/>
            <w:r w:rsidRPr="000F5D96">
              <w:rPr>
                <w:rFonts w:ascii="Rockwell" w:hAnsi="Rockwell" w:cs="Rockwell"/>
                <w:sz w:val="26"/>
                <w:szCs w:val="26"/>
                <w:lang w:val="en-US"/>
              </w:rPr>
              <w:t>C.G</w:t>
            </w:r>
            <w:proofErr w:type="gramEnd"/>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5BC1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KIMA Bertrand</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9235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055/CSC/SG/DP du 23/05/2023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2C4144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BF-OUA-01-B13-01252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FEF954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:00004196G</w:t>
            </w:r>
          </w:p>
        </w:tc>
      </w:tr>
      <w:tr w:rsidR="00733207" w:rsidRPr="000F5D96" w14:paraId="66A887CD"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A9B60"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21</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B2C29"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IMPULSION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E887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YAMEOGO </w:t>
            </w:r>
            <w:proofErr w:type="spellStart"/>
            <w:r w:rsidRPr="000F5D96">
              <w:rPr>
                <w:rFonts w:ascii="Rockwell" w:hAnsi="Rockwell" w:cs="Rockwell"/>
                <w:sz w:val="26"/>
                <w:szCs w:val="26"/>
              </w:rPr>
              <w:t>Bénéwendé</w:t>
            </w:r>
            <w:proofErr w:type="spellEnd"/>
            <w:r w:rsidRPr="000F5D96">
              <w:rPr>
                <w:rFonts w:ascii="Rockwell" w:hAnsi="Rockwell" w:cs="Rockwell"/>
                <w:sz w:val="26"/>
                <w:szCs w:val="26"/>
              </w:rPr>
              <w:t xml:space="preserve"> Christophe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6386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078/CSC/SG/DP du 26/07/2023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A4994D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2013 B 1125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E052A7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:000452555L</w:t>
            </w:r>
          </w:p>
        </w:tc>
      </w:tr>
      <w:tr w:rsidR="00733207" w:rsidRPr="000F5D96" w14:paraId="15D5C3FB"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DB2B6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092282"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INDICO PUBLICITE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FBCF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MYAOUENUH Thibaut</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193C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064/CSC/SG/DP du 26/06/2023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2A493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2013 M 4729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2E12B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:00003306X</w:t>
            </w:r>
          </w:p>
        </w:tc>
      </w:tr>
      <w:tr w:rsidR="00733207" w:rsidRPr="000F5D96" w14:paraId="4BB17CF6"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1AB0F4"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23</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374A2B"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INNOVACOM AGENCE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516A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KABORE Karim</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D272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038/CSC/SG/DP du 18/04/2023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BCCCFC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2017 B 8131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1AB120F"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:00096966C</w:t>
            </w:r>
          </w:p>
        </w:tc>
      </w:tr>
      <w:tr w:rsidR="00733207" w:rsidRPr="000F5D96" w14:paraId="2720081A"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188079"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24</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9C5E20"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INTERACTIVE G.S COM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7D0D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KERE/TOUVOLI </w:t>
            </w:r>
            <w:proofErr w:type="spellStart"/>
            <w:r w:rsidRPr="000F5D96">
              <w:rPr>
                <w:rFonts w:ascii="Rockwell" w:hAnsi="Rockwell" w:cs="Rockwell"/>
                <w:sz w:val="26"/>
                <w:szCs w:val="26"/>
              </w:rPr>
              <w:t>Salamatou</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E40AF"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004/CSC/SG/DP du 19/01/2023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D67988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2011 M 3515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ABF987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00027070Z</w:t>
            </w:r>
          </w:p>
        </w:tc>
      </w:tr>
      <w:tr w:rsidR="00733207" w:rsidRPr="000F5D96" w14:paraId="47F11A5F"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2A363"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25</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B6303"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JL INTERACTIV</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CCF8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GOUBA/NAON Céline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BBDD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007/CSC/SG/DP du 06/02/2023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C68832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BF-OUA-01-2014-B12-06243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F44816F"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:00061051V</w:t>
            </w:r>
          </w:p>
        </w:tc>
      </w:tr>
      <w:tr w:rsidR="00733207" w:rsidRPr="000F5D96" w14:paraId="01A30563"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11A9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26</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CE70C"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JO’FE DIGITAL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D2B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TRAORE </w:t>
            </w:r>
            <w:proofErr w:type="spellStart"/>
            <w:r w:rsidRPr="000F5D96">
              <w:rPr>
                <w:rFonts w:ascii="Rockwell" w:hAnsi="Rockwell" w:cs="Rockwell"/>
                <w:sz w:val="26"/>
                <w:szCs w:val="26"/>
              </w:rPr>
              <w:t>Tho</w:t>
            </w:r>
            <w:proofErr w:type="spellEnd"/>
            <w:r w:rsidRPr="000F5D96">
              <w:rPr>
                <w:rFonts w:ascii="Rockwell" w:hAnsi="Rockwell" w:cs="Rockwell"/>
                <w:sz w:val="26"/>
                <w:szCs w:val="26"/>
              </w:rPr>
              <w:t xml:space="preserve"> Salim Rachid</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DD11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052/CSC/SG/DP du 04/05/2023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4391C8B"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2022 M 2511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ADC56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:00123263P</w:t>
            </w:r>
          </w:p>
        </w:tc>
      </w:tr>
      <w:tr w:rsidR="00733207" w:rsidRPr="000F5D96" w14:paraId="77B7C02A"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A1852F"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27</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3D075"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KARMA CONSEIL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D333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YADA </w:t>
            </w:r>
            <w:proofErr w:type="spellStart"/>
            <w:r w:rsidRPr="000F5D96">
              <w:rPr>
                <w:rFonts w:ascii="Rockwell" w:hAnsi="Rockwell" w:cs="Rockwell"/>
                <w:sz w:val="26"/>
                <w:szCs w:val="26"/>
              </w:rPr>
              <w:t>Youmali</w:t>
            </w:r>
            <w:proofErr w:type="spellEnd"/>
            <w:r w:rsidRPr="000F5D96">
              <w:rPr>
                <w:rFonts w:ascii="Rockwell" w:hAnsi="Rockwell" w:cs="Rockwell"/>
                <w:sz w:val="26"/>
                <w:szCs w:val="26"/>
              </w:rPr>
              <w:t xml:space="preserve"> Maimouna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BBE4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071/CSC/SG/DP du 05/07/2023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28E0F2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B 1806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691CC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:00101916T</w:t>
            </w:r>
          </w:p>
        </w:tc>
      </w:tr>
      <w:tr w:rsidR="00733207" w:rsidRPr="000F5D96" w14:paraId="1FDD3AFD"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EE41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D9018"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LABEL QUALITE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FC4B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DABRE Aicha</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1EF5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081/CSC/SG/DP du 31/07/2023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35754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2013 B 540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59C21C3"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00044493S</w:t>
            </w:r>
          </w:p>
        </w:tc>
      </w:tr>
      <w:tr w:rsidR="00733207" w:rsidRPr="000F5D96" w14:paraId="289B99CC"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642D3"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29</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266202"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 xml:space="preserve">MEDIS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AD0B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TRAORE </w:t>
            </w:r>
            <w:proofErr w:type="spellStart"/>
            <w:r w:rsidRPr="000F5D96">
              <w:rPr>
                <w:rFonts w:ascii="Rockwell" w:hAnsi="Rockwell" w:cs="Rockwell"/>
                <w:sz w:val="26"/>
                <w:szCs w:val="26"/>
              </w:rPr>
              <w:t>Nissi</w:t>
            </w:r>
            <w:proofErr w:type="spellEnd"/>
            <w:r w:rsidRPr="000F5D96">
              <w:rPr>
                <w:rFonts w:ascii="Rockwell" w:hAnsi="Rockwell" w:cs="Rockwell"/>
                <w:sz w:val="26"/>
                <w:szCs w:val="26"/>
              </w:rPr>
              <w:t xml:space="preserve"> </w:t>
            </w:r>
            <w:proofErr w:type="spellStart"/>
            <w:r w:rsidRPr="000F5D96">
              <w:rPr>
                <w:rFonts w:ascii="Rockwell" w:hAnsi="Rockwell" w:cs="Rockwell"/>
                <w:sz w:val="26"/>
                <w:szCs w:val="26"/>
              </w:rPr>
              <w:t>Joanny</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C417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092/CSC/SG/DP du 27/09/2023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57DB6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2008 M 409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E179F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00004530Z</w:t>
            </w:r>
          </w:p>
        </w:tc>
      </w:tr>
      <w:tr w:rsidR="00733207" w:rsidRPr="000F5D96" w14:paraId="130680A0"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7D413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02CA7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NOVACOM PLUS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8BC8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SANOU Carine Valérie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B5DC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002/CSC/SG/DP du 12/01/2023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92C149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B 7228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4417C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00141440M</w:t>
            </w:r>
          </w:p>
        </w:tc>
      </w:tr>
      <w:tr w:rsidR="00733207" w:rsidRPr="000F5D96" w14:paraId="7C5AE435"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18D4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31</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E1C2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OMEGA VISION COMMUNICATION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60A33"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ZONGO Nazaire Erick</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E034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105/CSC/SG/DP du 07/10/2022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86ADF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M 4673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79C27C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:00007151C</w:t>
            </w:r>
          </w:p>
        </w:tc>
      </w:tr>
      <w:tr w:rsidR="00733207" w:rsidRPr="000F5D96" w14:paraId="6D6E712A"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2FC3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1EA9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O’TENTIK AGENCE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0EF4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KINDA </w:t>
            </w:r>
            <w:proofErr w:type="spellStart"/>
            <w:r w:rsidRPr="000F5D96">
              <w:rPr>
                <w:rFonts w:ascii="Rockwell" w:hAnsi="Rockwell" w:cs="Rockwell"/>
                <w:sz w:val="26"/>
                <w:szCs w:val="26"/>
              </w:rPr>
              <w:t>Yamlanèba</w:t>
            </w:r>
            <w:proofErr w:type="spellEnd"/>
            <w:r w:rsidRPr="000F5D96">
              <w:rPr>
                <w:rFonts w:ascii="Rockwell" w:hAnsi="Rockwell" w:cs="Rockwell"/>
                <w:sz w:val="26"/>
                <w:szCs w:val="26"/>
              </w:rPr>
              <w:t xml:space="preserve"> Céline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343E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086/CSC/SG/DP du 12/09/2023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6F43E2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2019 A 4329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7787403"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00121024C</w:t>
            </w:r>
          </w:p>
        </w:tc>
      </w:tr>
      <w:tr w:rsidR="00733207" w:rsidRPr="000F5D96" w14:paraId="2B7637ED"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BFA03"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33</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12A7A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OXY CONSEIL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6EBD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SOMBIE </w:t>
            </w:r>
            <w:proofErr w:type="spellStart"/>
            <w:r w:rsidRPr="000F5D96">
              <w:rPr>
                <w:rFonts w:ascii="Rockwell" w:hAnsi="Rockwell" w:cs="Rockwell"/>
                <w:sz w:val="26"/>
                <w:szCs w:val="26"/>
              </w:rPr>
              <w:t>Difaby</w:t>
            </w:r>
            <w:proofErr w:type="spellEnd"/>
            <w:r w:rsidRPr="000F5D96">
              <w:rPr>
                <w:rFonts w:ascii="Rockwell" w:hAnsi="Rockwell" w:cs="Rockwell"/>
                <w:sz w:val="26"/>
                <w:szCs w:val="26"/>
              </w:rPr>
              <w:t xml:space="preserve"> Christophe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3D7E4" w14:textId="77777777" w:rsidR="00733207" w:rsidRPr="000F5D96" w:rsidRDefault="00912BAE">
            <w:pPr>
              <w:spacing w:before="120"/>
              <w:rPr>
                <w:rFonts w:ascii="Rockwell" w:hAnsi="Rockwell" w:cs="Rockwell"/>
                <w:sz w:val="26"/>
                <w:szCs w:val="26"/>
              </w:rPr>
            </w:pPr>
            <w:r w:rsidRPr="000F5D96">
              <w:rPr>
                <w:rFonts w:ascii="Rockwell" w:hAnsi="Rockwell" w:cs="Rockwell"/>
                <w:sz w:val="26"/>
                <w:szCs w:val="26"/>
              </w:rPr>
              <w:t>062/CSC/SG/DP du 15/06/2023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F6D2E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M 4689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D2287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:00023338R</w:t>
            </w:r>
          </w:p>
        </w:tc>
      </w:tr>
      <w:tr w:rsidR="00733207" w:rsidRPr="000F5D96" w14:paraId="4DAFB899" w14:textId="77777777">
        <w:trPr>
          <w:trHeight w:val="69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AEDE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34</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889A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PRECIS PLUS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AC97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SEDOGO Prosper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0D134" w14:textId="77777777" w:rsidR="00733207" w:rsidRPr="000F5D96" w:rsidRDefault="00912BAE">
            <w:pPr>
              <w:spacing w:before="120"/>
              <w:rPr>
                <w:rFonts w:ascii="Rockwell" w:hAnsi="Rockwell" w:cs="Rockwell"/>
                <w:sz w:val="26"/>
                <w:szCs w:val="26"/>
              </w:rPr>
            </w:pPr>
            <w:r w:rsidRPr="000F5D96">
              <w:rPr>
                <w:rFonts w:ascii="Rockwell" w:hAnsi="Rockwell" w:cs="Rockwell"/>
                <w:sz w:val="26"/>
                <w:szCs w:val="26"/>
              </w:rPr>
              <w:t>N°115/CSC/SG/DP du 21/12/2022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E9AD0B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BF-OUA-01- 2022- B12- 9555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1BE77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w:t>
            </w:r>
            <w:r w:rsidRPr="000F5D96">
              <w:rPr>
                <w:rFonts w:ascii="Rockwell" w:hAnsi="Rockwell" w:cs="Rockwell"/>
                <w:b/>
                <w:sz w:val="26"/>
                <w:szCs w:val="26"/>
              </w:rPr>
              <w:t xml:space="preserve"> </w:t>
            </w:r>
            <w:r w:rsidRPr="000F5D96">
              <w:rPr>
                <w:rFonts w:ascii="Rockwell" w:hAnsi="Rockwell" w:cs="Rockwell"/>
                <w:sz w:val="26"/>
                <w:szCs w:val="26"/>
              </w:rPr>
              <w:t>00185777P</w:t>
            </w:r>
          </w:p>
        </w:tc>
      </w:tr>
      <w:tr w:rsidR="00733207" w:rsidRPr="000F5D96" w14:paraId="113D9FFD"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980C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35</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10FBB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PRODUCTIONS UNIVERSELLES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5BAA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 xml:space="preserve">SANFO </w:t>
            </w:r>
            <w:proofErr w:type="spellStart"/>
            <w:r w:rsidRPr="000F5D96">
              <w:rPr>
                <w:rFonts w:ascii="Rockwell" w:hAnsi="Rockwell" w:cs="Rockwell"/>
                <w:sz w:val="26"/>
                <w:szCs w:val="26"/>
              </w:rPr>
              <w:t>Salif</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FF19E" w14:textId="77777777" w:rsidR="00733207" w:rsidRPr="000F5D96" w:rsidRDefault="00912BAE">
            <w:pPr>
              <w:spacing w:before="120"/>
              <w:rPr>
                <w:rFonts w:ascii="Rockwell" w:hAnsi="Rockwell" w:cs="Rockwell"/>
                <w:sz w:val="26"/>
                <w:szCs w:val="26"/>
              </w:rPr>
            </w:pPr>
            <w:r w:rsidRPr="000F5D96">
              <w:rPr>
                <w:rFonts w:ascii="Rockwell" w:eastAsia="Times New Roman" w:hAnsi="Rockwell" w:cs="Rockwell"/>
                <w:sz w:val="26"/>
                <w:szCs w:val="26"/>
                <w:lang w:eastAsia="fr-FR"/>
              </w:rPr>
              <w:t>039/CSC/SG/DP du 18/04/2023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C2A6437"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M 7329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D62B30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:00013647N</w:t>
            </w:r>
          </w:p>
        </w:tc>
      </w:tr>
      <w:tr w:rsidR="00733207" w:rsidRPr="000F5D96" w14:paraId="1EA75305"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5338B"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36</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5725F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PROFESSIONALS ORGANIZATION</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8D4A7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SEDOGO Prosper</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54315" w14:textId="77777777" w:rsidR="00733207" w:rsidRPr="000F5D96" w:rsidRDefault="00912BAE">
            <w:pPr>
              <w:spacing w:before="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048/CSC/SG/DP du 04/05/2023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6AAD6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2013 B 4072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548304"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:00049082A</w:t>
            </w:r>
          </w:p>
        </w:tc>
      </w:tr>
      <w:tr w:rsidR="00733207" w:rsidRPr="000F5D96" w14:paraId="7096207C"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B35AEF"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37</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04C02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RACINE CONSEIL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52CE0"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BARRY Sékou</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FE4F6" w14:textId="77777777" w:rsidR="00733207" w:rsidRPr="000F5D96" w:rsidRDefault="00912BAE">
            <w:pPr>
              <w:spacing w:before="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018/CSC/SG/DP du 09/03/2023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33A340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B 10969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F3667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:020061872R</w:t>
            </w:r>
          </w:p>
        </w:tc>
      </w:tr>
      <w:tr w:rsidR="00733207" w:rsidRPr="000F5D96" w14:paraId="5960C3A9"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52451D" w14:textId="77777777" w:rsidR="00733207" w:rsidRPr="000F5D96" w:rsidRDefault="00912BAE">
            <w:pPr>
              <w:spacing w:after="0"/>
              <w:jc w:val="center"/>
              <w:rPr>
                <w:rFonts w:ascii="Rockwell" w:hAnsi="Rockwell" w:cs="Rockwell"/>
                <w:color w:val="FF0000"/>
                <w:sz w:val="26"/>
                <w:szCs w:val="26"/>
              </w:rPr>
            </w:pPr>
            <w:r w:rsidRPr="000F5D96">
              <w:rPr>
                <w:rFonts w:ascii="Rockwell" w:hAnsi="Rockwell" w:cs="Rockwell"/>
                <w:sz w:val="26"/>
                <w:szCs w:val="26"/>
              </w:rPr>
              <w:t>38</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862454" w14:textId="77777777" w:rsidR="00733207" w:rsidRPr="000F5D96" w:rsidRDefault="00912BAE">
            <w:pPr>
              <w:spacing w:after="0"/>
              <w:rPr>
                <w:rFonts w:ascii="Rockwell" w:hAnsi="Rockwell" w:cs="Rockwell"/>
                <w:color w:val="000000"/>
                <w:sz w:val="26"/>
                <w:szCs w:val="26"/>
                <w:lang w:val="en-US"/>
              </w:rPr>
            </w:pPr>
            <w:r w:rsidRPr="000F5D96">
              <w:rPr>
                <w:rFonts w:ascii="Rockwell" w:hAnsi="Rockwell" w:cs="Rockwell"/>
                <w:color w:val="000000"/>
                <w:sz w:val="26"/>
                <w:szCs w:val="26"/>
                <w:lang w:val="en-US"/>
              </w:rPr>
              <w:t>RADISCOM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D9F6C" w14:textId="77777777" w:rsidR="00733207" w:rsidRPr="000F5D96" w:rsidRDefault="00912BAE">
            <w:pPr>
              <w:spacing w:after="0"/>
              <w:rPr>
                <w:rFonts w:ascii="Rockwell" w:hAnsi="Rockwell" w:cs="Rockwell"/>
                <w:color w:val="000000"/>
                <w:sz w:val="26"/>
                <w:szCs w:val="26"/>
              </w:rPr>
            </w:pPr>
            <w:r w:rsidRPr="000F5D96">
              <w:rPr>
                <w:rFonts w:ascii="Rockwell" w:hAnsi="Rockwell" w:cs="Rockwell"/>
                <w:color w:val="000000"/>
                <w:sz w:val="26"/>
                <w:szCs w:val="26"/>
              </w:rPr>
              <w:t xml:space="preserve">ZONGO/ OUEDRAOGO </w:t>
            </w:r>
            <w:proofErr w:type="spellStart"/>
            <w:r w:rsidRPr="000F5D96">
              <w:rPr>
                <w:rFonts w:ascii="Rockwell" w:hAnsi="Rockwell" w:cs="Rockwell"/>
                <w:color w:val="000000"/>
                <w:sz w:val="26"/>
                <w:szCs w:val="26"/>
              </w:rPr>
              <w:t>Zalissa</w:t>
            </w:r>
            <w:proofErr w:type="spellEnd"/>
            <w:r w:rsidRPr="000F5D96">
              <w:rPr>
                <w:rFonts w:ascii="Rockwell" w:hAnsi="Rockwell" w:cs="Rockwell"/>
                <w:color w:val="000000"/>
                <w:sz w:val="26"/>
                <w:szCs w:val="26"/>
              </w:rPr>
              <w:t xml:space="preserve"> </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3D9C4" w14:textId="77777777" w:rsidR="00733207" w:rsidRPr="000F5D96" w:rsidRDefault="00912BAE">
            <w:pPr>
              <w:spacing w:before="120" w:after="120"/>
              <w:rPr>
                <w:rFonts w:ascii="Rockwell" w:hAnsi="Rockwell" w:cs="Rockwell"/>
                <w:color w:val="000000"/>
                <w:sz w:val="26"/>
                <w:szCs w:val="26"/>
              </w:rPr>
            </w:pPr>
            <w:r w:rsidRPr="000F5D96">
              <w:rPr>
                <w:rFonts w:ascii="Rockwell" w:hAnsi="Rockwell" w:cs="Rockwell"/>
                <w:color w:val="000000"/>
                <w:sz w:val="26"/>
                <w:szCs w:val="26"/>
              </w:rPr>
              <w:t>088/CSC/SG/DP du 15/09/2023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DFF2DA9" w14:textId="77777777" w:rsidR="00733207" w:rsidRPr="000F5D96" w:rsidRDefault="00912BAE">
            <w:pPr>
              <w:spacing w:after="0"/>
              <w:rPr>
                <w:rFonts w:ascii="Rockwell" w:hAnsi="Rockwell" w:cs="Rockwell"/>
                <w:color w:val="000000"/>
                <w:sz w:val="26"/>
                <w:szCs w:val="26"/>
              </w:rPr>
            </w:pPr>
            <w:r w:rsidRPr="000F5D96">
              <w:rPr>
                <w:rFonts w:ascii="Rockwell" w:hAnsi="Rockwell" w:cs="Rockwell"/>
                <w:color w:val="000000"/>
                <w:sz w:val="26"/>
                <w:szCs w:val="26"/>
              </w:rPr>
              <w:t xml:space="preserve">RCCM : BF OUA 2019 B 2901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C307254" w14:textId="77777777" w:rsidR="00733207" w:rsidRPr="000F5D96" w:rsidRDefault="00912BAE">
            <w:pPr>
              <w:spacing w:before="120" w:after="0"/>
              <w:rPr>
                <w:rFonts w:ascii="Rockwell" w:hAnsi="Rockwell" w:cs="Rockwell"/>
                <w:color w:val="000000"/>
                <w:sz w:val="26"/>
                <w:szCs w:val="26"/>
              </w:rPr>
            </w:pPr>
            <w:r w:rsidRPr="000F5D96">
              <w:rPr>
                <w:rFonts w:ascii="Rockwell" w:hAnsi="Rockwell" w:cs="Rockwell"/>
                <w:color w:val="000000"/>
                <w:sz w:val="26"/>
                <w:szCs w:val="26"/>
              </w:rPr>
              <w:t>IFU :00118561F</w:t>
            </w:r>
          </w:p>
        </w:tc>
      </w:tr>
      <w:tr w:rsidR="00733207" w:rsidRPr="000F5D96" w14:paraId="7E5E6F68"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C87C2" w14:textId="77777777" w:rsidR="00733207" w:rsidRPr="000F5D96" w:rsidRDefault="00912BAE">
            <w:pPr>
              <w:spacing w:after="120"/>
              <w:jc w:val="both"/>
              <w:rPr>
                <w:rFonts w:ascii="Rockwell" w:hAnsi="Rockwell" w:cs="Rockwell"/>
                <w:sz w:val="26"/>
                <w:szCs w:val="26"/>
              </w:rPr>
            </w:pPr>
            <w:r w:rsidRPr="000F5D96">
              <w:rPr>
                <w:rFonts w:ascii="Rockwell" w:hAnsi="Rockwell" w:cs="Rockwell"/>
                <w:sz w:val="26"/>
                <w:szCs w:val="26"/>
              </w:rPr>
              <w:t>39</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3CDD1" w14:textId="77777777" w:rsidR="00733207" w:rsidRPr="000F5D96" w:rsidRDefault="00912BAE">
            <w:pPr>
              <w:spacing w:after="120"/>
              <w:jc w:val="both"/>
              <w:rPr>
                <w:rFonts w:ascii="Rockwell" w:hAnsi="Rockwell" w:cs="Rockwell"/>
                <w:sz w:val="26"/>
                <w:szCs w:val="26"/>
              </w:rPr>
            </w:pPr>
            <w:r w:rsidRPr="000F5D96">
              <w:rPr>
                <w:rFonts w:ascii="Rockwell" w:hAnsi="Rockwell" w:cs="Rockwell"/>
                <w:sz w:val="26"/>
                <w:szCs w:val="26"/>
              </w:rPr>
              <w:t>SLUK</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8B8AD" w14:textId="77777777" w:rsidR="00733207" w:rsidRPr="000F5D96" w:rsidRDefault="00912BAE">
            <w:pPr>
              <w:spacing w:before="120" w:after="120"/>
              <w:jc w:val="both"/>
              <w:rPr>
                <w:rFonts w:ascii="Rockwell" w:hAnsi="Rockwell" w:cs="Rockwell"/>
                <w:sz w:val="26"/>
                <w:szCs w:val="26"/>
              </w:rPr>
            </w:pPr>
            <w:r w:rsidRPr="000F5D96">
              <w:rPr>
                <w:rFonts w:ascii="Rockwell" w:hAnsi="Rockwell" w:cs="Rockwell"/>
                <w:sz w:val="26"/>
                <w:szCs w:val="26"/>
              </w:rPr>
              <w:t xml:space="preserve">BALIMA </w:t>
            </w:r>
            <w:proofErr w:type="spellStart"/>
            <w:r w:rsidRPr="000F5D96">
              <w:rPr>
                <w:rFonts w:ascii="Rockwell" w:hAnsi="Rockwell" w:cs="Rockwell"/>
                <w:sz w:val="26"/>
                <w:szCs w:val="26"/>
              </w:rPr>
              <w:t>Abasse</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C70C8" w14:textId="77777777" w:rsidR="00733207" w:rsidRPr="000F5D96" w:rsidRDefault="00912BAE">
            <w:pPr>
              <w:spacing w:before="120" w:after="120"/>
              <w:jc w:val="both"/>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015/CSC/SG/DP du 02/03/2023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F8DACF" w14:textId="77777777" w:rsidR="00733207" w:rsidRPr="000F5D96" w:rsidRDefault="00912BAE">
            <w:pPr>
              <w:spacing w:after="120"/>
              <w:jc w:val="both"/>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RCCM : BF OUA 2022 M 0951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D62271" w14:textId="77777777" w:rsidR="00733207" w:rsidRPr="000F5D96" w:rsidRDefault="00912BAE">
            <w:pPr>
              <w:spacing w:before="120" w:after="120"/>
              <w:jc w:val="both"/>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IFU :00138678S</w:t>
            </w:r>
          </w:p>
        </w:tc>
      </w:tr>
      <w:tr w:rsidR="00733207" w:rsidRPr="000F5D96" w14:paraId="75E412DE"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0123E7" w14:textId="77777777" w:rsidR="00733207" w:rsidRPr="000F5D96" w:rsidRDefault="00912BAE">
            <w:pPr>
              <w:spacing w:after="120"/>
              <w:jc w:val="both"/>
              <w:rPr>
                <w:rFonts w:ascii="Rockwell" w:hAnsi="Rockwell" w:cs="Rockwell"/>
                <w:sz w:val="26"/>
                <w:szCs w:val="26"/>
              </w:rPr>
            </w:pPr>
            <w:r w:rsidRPr="000F5D96">
              <w:rPr>
                <w:rFonts w:ascii="Rockwell" w:hAnsi="Rockwell" w:cs="Rockwell"/>
                <w:sz w:val="26"/>
                <w:szCs w:val="26"/>
              </w:rPr>
              <w:t>40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446644"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URIEL ENTREPRISE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8F413"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AKE Pierre Antoine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28044" w14:textId="77777777" w:rsidR="00733207" w:rsidRPr="000F5D96" w:rsidRDefault="00912BAE">
            <w:pPr>
              <w:spacing w:before="120" w:after="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111/CSC/SG/DP du 16/11/2022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6FCA5F7" w14:textId="77777777" w:rsidR="00733207" w:rsidRPr="000F5D96" w:rsidRDefault="00912BAE">
            <w:pPr>
              <w:spacing w:after="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RCCM : BF OUA 2021 M 0096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B37B273" w14:textId="77777777" w:rsidR="00733207" w:rsidRPr="000F5D96" w:rsidRDefault="00912BAE">
            <w:pPr>
              <w:spacing w:before="120" w:after="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IFU :00097016H</w:t>
            </w:r>
          </w:p>
        </w:tc>
      </w:tr>
      <w:tr w:rsidR="00733207" w:rsidRPr="000F5D96" w14:paraId="23F81811" w14:textId="77777777">
        <w:trPr>
          <w:trHeight w:val="6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4BB8FD" w14:textId="77777777" w:rsidR="00733207" w:rsidRPr="000F5D96" w:rsidRDefault="00912BAE">
            <w:pPr>
              <w:spacing w:after="120"/>
              <w:jc w:val="both"/>
              <w:rPr>
                <w:rFonts w:ascii="Rockwell" w:hAnsi="Rockwell" w:cs="Rockwell"/>
                <w:sz w:val="26"/>
                <w:szCs w:val="26"/>
              </w:rPr>
            </w:pPr>
            <w:r w:rsidRPr="000F5D96">
              <w:rPr>
                <w:rFonts w:ascii="Rockwell" w:hAnsi="Rockwell" w:cs="Rockwell"/>
                <w:sz w:val="26"/>
                <w:szCs w:val="26"/>
              </w:rPr>
              <w:t>41</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4E1A0"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VISION UNIVERSELLE BURKINA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2B8DF"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 xml:space="preserve">KABORE Léopold </w:t>
            </w:r>
            <w:proofErr w:type="spellStart"/>
            <w:r w:rsidRPr="000F5D96">
              <w:rPr>
                <w:rFonts w:ascii="Rockwell" w:hAnsi="Rockwell" w:cs="Rockwell"/>
                <w:sz w:val="26"/>
                <w:szCs w:val="26"/>
              </w:rPr>
              <w:t>Ringuesba</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F4D24" w14:textId="77777777" w:rsidR="00733207" w:rsidRPr="000F5D96" w:rsidRDefault="00912BAE">
            <w:pPr>
              <w:spacing w:before="120" w:after="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041/CSC/SG/DP du 24/04/2023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3566A1" w14:textId="77777777" w:rsidR="00733207" w:rsidRPr="000F5D96" w:rsidRDefault="00912BAE">
            <w:pPr>
              <w:spacing w:after="12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RCCM : BF OUA 2018 A 1842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BB244C" w14:textId="77777777" w:rsidR="00733207" w:rsidRPr="000F5D96" w:rsidRDefault="00912BAE">
            <w:pPr>
              <w:spacing w:before="120" w:after="120"/>
              <w:rPr>
                <w:rFonts w:ascii="Rockwell" w:eastAsia="Times New Roman" w:hAnsi="Rockwell" w:cs="Rockwell"/>
                <w:sz w:val="26"/>
                <w:szCs w:val="26"/>
                <w:lang w:eastAsia="fr-FR"/>
              </w:rPr>
            </w:pPr>
            <w:r w:rsidRPr="000F5D96">
              <w:rPr>
                <w:rFonts w:ascii="Rockwell" w:eastAsia="Times New Roman" w:hAnsi="Rockwell" w:cs="Rockwell"/>
                <w:color w:val="000000"/>
                <w:sz w:val="26"/>
                <w:szCs w:val="26"/>
                <w:lang w:eastAsia="fr-FR"/>
              </w:rPr>
              <w:t>IFU :00101991V</w:t>
            </w:r>
          </w:p>
        </w:tc>
      </w:tr>
      <w:tr w:rsidR="00733207" w:rsidRPr="000F5D96" w14:paraId="4B240C90" w14:textId="77777777">
        <w:trPr>
          <w:trHeight w:val="71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78E511" w14:textId="77777777" w:rsidR="00733207" w:rsidRPr="000F5D96" w:rsidRDefault="00912BAE">
            <w:pPr>
              <w:spacing w:after="120"/>
              <w:jc w:val="both"/>
              <w:rPr>
                <w:rFonts w:ascii="Rockwell" w:hAnsi="Rockwell" w:cs="Rockwell"/>
                <w:sz w:val="26"/>
                <w:szCs w:val="26"/>
              </w:rPr>
            </w:pPr>
            <w:r w:rsidRPr="000F5D96">
              <w:rPr>
                <w:rFonts w:ascii="Rockwell" w:hAnsi="Rockwell" w:cs="Rockwell"/>
                <w:sz w:val="26"/>
                <w:szCs w:val="26"/>
              </w:rPr>
              <w:t>42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7E6822" w14:textId="77777777" w:rsidR="00733207" w:rsidRPr="000F5D96" w:rsidRDefault="00912BAE">
            <w:pPr>
              <w:spacing w:after="120"/>
              <w:rPr>
                <w:rFonts w:ascii="Rockwell" w:hAnsi="Rockwell" w:cs="Rockwell"/>
                <w:sz w:val="26"/>
                <w:szCs w:val="26"/>
                <w:lang w:val="en-US"/>
              </w:rPr>
            </w:pPr>
            <w:r w:rsidRPr="000F5D96">
              <w:rPr>
                <w:rFonts w:ascii="Rockwell" w:hAnsi="Rockwell" w:cs="Rockwell"/>
                <w:sz w:val="26"/>
                <w:szCs w:val="26"/>
                <w:lang w:val="en-US"/>
              </w:rPr>
              <w:t>XZOTIK</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65D26"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 xml:space="preserve">NABA </w:t>
            </w:r>
            <w:proofErr w:type="spellStart"/>
            <w:r w:rsidRPr="000F5D96">
              <w:rPr>
                <w:rFonts w:ascii="Rockwell" w:hAnsi="Rockwell" w:cs="Rockwell"/>
                <w:sz w:val="26"/>
                <w:szCs w:val="26"/>
              </w:rPr>
              <w:t>Kanle</w:t>
            </w:r>
            <w:proofErr w:type="spellEnd"/>
            <w:r w:rsidRPr="000F5D96">
              <w:rPr>
                <w:rFonts w:ascii="Rockwell" w:hAnsi="Rockwell" w:cs="Rockwell"/>
                <w:sz w:val="26"/>
                <w:szCs w:val="26"/>
              </w:rPr>
              <w:t>- N’</w:t>
            </w:r>
            <w:proofErr w:type="spellStart"/>
            <w:r w:rsidRPr="000F5D96">
              <w:rPr>
                <w:rFonts w:ascii="Rockwell" w:hAnsi="Rockwell" w:cs="Rockwell"/>
                <w:sz w:val="26"/>
                <w:szCs w:val="26"/>
              </w:rPr>
              <w:t>fé</w:t>
            </w:r>
            <w:proofErr w:type="spellEnd"/>
            <w:r w:rsidRPr="000F5D96">
              <w:rPr>
                <w:rFonts w:ascii="Rockwell" w:hAnsi="Rockwell" w:cs="Rockwell"/>
                <w:sz w:val="26"/>
                <w:szCs w:val="26"/>
              </w:rPr>
              <w:t xml:space="preserve"> Eugenie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F1E73"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075/CSC/SG/DP du 18/07/2023</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3F14E9" w14:textId="77777777" w:rsidR="00733207" w:rsidRPr="000F5D96" w:rsidRDefault="00912BAE">
            <w:pPr>
              <w:spacing w:after="120"/>
              <w:rPr>
                <w:rFonts w:ascii="Rockwell" w:hAnsi="Rockwell" w:cs="Rockwell"/>
                <w:sz w:val="26"/>
                <w:szCs w:val="26"/>
              </w:rPr>
            </w:pPr>
            <w:r w:rsidRPr="000F5D96">
              <w:rPr>
                <w:rFonts w:ascii="Rockwell" w:hAnsi="Rockwell" w:cs="Rockwell"/>
                <w:sz w:val="26"/>
                <w:szCs w:val="26"/>
              </w:rPr>
              <w:t>RCCM : BF OUA 2016 B 0042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010E4C5"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IFU :00070881K</w:t>
            </w:r>
          </w:p>
        </w:tc>
      </w:tr>
      <w:tr w:rsidR="00733207" w:rsidRPr="000F5D96" w14:paraId="44FA76A1" w14:textId="77777777">
        <w:trPr>
          <w:trHeight w:val="624"/>
        </w:trPr>
        <w:tc>
          <w:tcPr>
            <w:tcW w:w="70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34E81C3" w14:textId="77777777" w:rsidR="00733207" w:rsidRPr="000F5D96" w:rsidRDefault="00912BAE">
            <w:pPr>
              <w:spacing w:after="0"/>
              <w:jc w:val="both"/>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43</w:t>
            </w:r>
          </w:p>
        </w:tc>
        <w:tc>
          <w:tcPr>
            <w:tcW w:w="326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4CEC577"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ZELUS</w:t>
            </w:r>
          </w:p>
        </w:tc>
        <w:tc>
          <w:tcPr>
            <w:tcW w:w="311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EEFFD42" w14:textId="77777777" w:rsidR="00733207" w:rsidRPr="000F5D96" w:rsidRDefault="00912BAE">
            <w:pPr>
              <w:spacing w:before="120" w:after="3"/>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 xml:space="preserve">KANZEMO M. </w:t>
            </w:r>
            <w:proofErr w:type="spellStart"/>
            <w:r w:rsidRPr="000F5D96">
              <w:rPr>
                <w:rFonts w:ascii="Rockwell" w:eastAsia="Times New Roman" w:hAnsi="Rockwell" w:cs="Rockwell"/>
                <w:color w:val="000000"/>
                <w:sz w:val="26"/>
                <w:szCs w:val="26"/>
                <w:lang w:eastAsia="fr-FR"/>
              </w:rPr>
              <w:t>Yiyerega</w:t>
            </w:r>
            <w:proofErr w:type="spellEnd"/>
          </w:p>
        </w:tc>
        <w:tc>
          <w:tcPr>
            <w:tcW w:w="3969"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226187A" w14:textId="77777777" w:rsidR="00733207" w:rsidRPr="000F5D96" w:rsidRDefault="00912BAE">
            <w:pPr>
              <w:spacing w:before="120" w:after="6"/>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049/CSC/SG/DP du 04/05/2023</w:t>
            </w:r>
          </w:p>
        </w:tc>
        <w:tc>
          <w:tcPr>
            <w:tcW w:w="2693"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ECFF136"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RCCM : BF OUA 2020 B 7120</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A22EB97"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IFU : 00141331F</w:t>
            </w:r>
          </w:p>
        </w:tc>
      </w:tr>
    </w:tbl>
    <w:p w14:paraId="014659B2" w14:textId="77777777" w:rsidR="00733207" w:rsidRPr="000F5D96" w:rsidRDefault="00733207">
      <w:pPr>
        <w:rPr>
          <w:rFonts w:ascii="Rockwell" w:hAnsi="Rockwell" w:cs="Rockwell"/>
          <w:sz w:val="26"/>
          <w:szCs w:val="26"/>
        </w:rPr>
      </w:pPr>
    </w:p>
    <w:p w14:paraId="1A9FF2C5" w14:textId="77777777" w:rsidR="00733207" w:rsidRPr="000F5D96" w:rsidRDefault="00912BAE">
      <w:pPr>
        <w:spacing w:after="240"/>
        <w:rPr>
          <w:rFonts w:ascii="Rockwell" w:hAnsi="Rockwell" w:cs="Rockwell"/>
          <w:b/>
          <w:sz w:val="26"/>
          <w:szCs w:val="26"/>
        </w:rPr>
      </w:pPr>
      <w:r w:rsidRPr="000F5D96">
        <w:rPr>
          <w:rFonts w:ascii="Rockwell" w:hAnsi="Rockwell" w:cs="Rockwell"/>
          <w:b/>
          <w:sz w:val="26"/>
          <w:szCs w:val="26"/>
        </w:rPr>
        <w:t>Arrêté la présente liste à quarante-trois (43) entreprises déclarées en qualité d’Agence-conseil en publicité. </w:t>
      </w:r>
    </w:p>
    <w:p w14:paraId="4BF92783" w14:textId="77777777" w:rsidR="00733207" w:rsidRPr="000F5D96" w:rsidRDefault="00912BAE">
      <w:pPr>
        <w:spacing w:after="240"/>
        <w:jc w:val="center"/>
        <w:rPr>
          <w:rFonts w:ascii="Rockwell" w:hAnsi="Rockwell" w:cs="Rockwell"/>
          <w:sz w:val="26"/>
          <w:szCs w:val="26"/>
        </w:rPr>
      </w:pPr>
      <w:r w:rsidRPr="000F5D96">
        <w:rPr>
          <w:rFonts w:ascii="Rockwell" w:hAnsi="Rockwell" w:cs="Rockwell"/>
          <w:b/>
          <w:sz w:val="26"/>
          <w:szCs w:val="26"/>
          <w:u w:val="single"/>
        </w:rPr>
        <w:lastRenderedPageBreak/>
        <w:t>Article 3</w:t>
      </w:r>
      <w:r w:rsidRPr="000F5D96">
        <w:rPr>
          <w:rFonts w:ascii="Rockwell" w:hAnsi="Rockwell" w:cs="Rockwell"/>
          <w:sz w:val="26"/>
          <w:szCs w:val="26"/>
        </w:rPr>
        <w:t> : Les entreprises de publicité dont les noms suivent sont enregistrées en qualité d’éditeur publicitaire :</w:t>
      </w:r>
    </w:p>
    <w:tbl>
      <w:tblPr>
        <w:tblW w:w="15735" w:type="dxa"/>
        <w:tblInd w:w="-714" w:type="dxa"/>
        <w:tblCellMar>
          <w:left w:w="10" w:type="dxa"/>
          <w:right w:w="10" w:type="dxa"/>
        </w:tblCellMar>
        <w:tblLook w:val="04A0" w:firstRow="1" w:lastRow="0" w:firstColumn="1" w:lastColumn="0" w:noHBand="0" w:noVBand="1"/>
      </w:tblPr>
      <w:tblGrid>
        <w:gridCol w:w="850"/>
        <w:gridCol w:w="2834"/>
        <w:gridCol w:w="3255"/>
        <w:gridCol w:w="3822"/>
        <w:gridCol w:w="2968"/>
        <w:gridCol w:w="2006"/>
      </w:tblGrid>
      <w:tr w:rsidR="00733207" w:rsidRPr="000F5D96" w14:paraId="6741C2D4" w14:textId="77777777">
        <w:trPr>
          <w:trHeight w:val="900"/>
        </w:trPr>
        <w:tc>
          <w:tcPr>
            <w:tcW w:w="8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73296D" w14:textId="77777777" w:rsidR="00733207" w:rsidRPr="000F5D96" w:rsidRDefault="00733207">
            <w:pPr>
              <w:spacing w:after="0"/>
              <w:jc w:val="center"/>
              <w:rPr>
                <w:rFonts w:ascii="Rockwell" w:hAnsi="Rockwell" w:cs="Rockwell"/>
                <w:b/>
                <w:sz w:val="26"/>
                <w:szCs w:val="26"/>
              </w:rPr>
            </w:pPr>
          </w:p>
          <w:p w14:paraId="528554E4"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83C28B"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Dénomination de l’entreprise</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A8DE9FF"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Nom et Prénom (s) du premier responsable</w:t>
            </w:r>
          </w:p>
        </w:tc>
        <w:tc>
          <w:tcPr>
            <w:tcW w:w="3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13D06DD" w14:textId="77777777" w:rsidR="00733207" w:rsidRPr="000F5D96" w:rsidRDefault="00912BAE">
            <w:pPr>
              <w:spacing w:before="120" w:after="0"/>
              <w:jc w:val="center"/>
              <w:rPr>
                <w:rFonts w:ascii="Rockwell" w:hAnsi="Rockwell" w:cs="Rockwell"/>
                <w:b/>
                <w:sz w:val="26"/>
                <w:szCs w:val="26"/>
              </w:rPr>
            </w:pPr>
            <w:r w:rsidRPr="000F5D96">
              <w:rPr>
                <w:rFonts w:ascii="Rockwell" w:hAnsi="Rockwell" w:cs="Rockwell"/>
                <w:b/>
                <w:sz w:val="26"/>
                <w:szCs w:val="26"/>
              </w:rPr>
              <w:t>Numéro du récépissé de déclaration d’existence</w:t>
            </w:r>
          </w:p>
        </w:tc>
        <w:tc>
          <w:tcPr>
            <w:tcW w:w="29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4D80F50A" w14:textId="77777777" w:rsidR="00733207" w:rsidRPr="000F5D96" w:rsidRDefault="00733207">
            <w:pPr>
              <w:spacing w:after="0"/>
              <w:jc w:val="center"/>
              <w:rPr>
                <w:rFonts w:ascii="Rockwell" w:hAnsi="Rockwell" w:cs="Rockwell"/>
                <w:b/>
                <w:sz w:val="26"/>
                <w:szCs w:val="26"/>
              </w:rPr>
            </w:pPr>
          </w:p>
          <w:p w14:paraId="30CC8CDB"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Numéro RCCM</w:t>
            </w:r>
          </w:p>
        </w:tc>
        <w:tc>
          <w:tcPr>
            <w:tcW w:w="19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44271272" w14:textId="77777777" w:rsidR="00733207" w:rsidRPr="000F5D96" w:rsidRDefault="00733207">
            <w:pPr>
              <w:spacing w:after="0"/>
              <w:jc w:val="center"/>
              <w:rPr>
                <w:rFonts w:ascii="Rockwell" w:hAnsi="Rockwell" w:cs="Rockwell"/>
                <w:b/>
                <w:sz w:val="26"/>
                <w:szCs w:val="26"/>
              </w:rPr>
            </w:pPr>
          </w:p>
          <w:p w14:paraId="0CA5CF06" w14:textId="77777777" w:rsidR="00733207" w:rsidRPr="000F5D96" w:rsidRDefault="00912BAE">
            <w:pPr>
              <w:spacing w:after="0"/>
              <w:jc w:val="center"/>
              <w:rPr>
                <w:rFonts w:ascii="Rockwell" w:hAnsi="Rockwell" w:cs="Rockwell"/>
                <w:b/>
                <w:sz w:val="26"/>
                <w:szCs w:val="26"/>
              </w:rPr>
            </w:pPr>
            <w:r w:rsidRPr="000F5D96">
              <w:rPr>
                <w:rFonts w:ascii="Rockwell" w:hAnsi="Rockwell" w:cs="Rockwell"/>
                <w:b/>
                <w:sz w:val="26"/>
                <w:szCs w:val="26"/>
              </w:rPr>
              <w:t>Numéro IFU</w:t>
            </w:r>
          </w:p>
        </w:tc>
      </w:tr>
      <w:tr w:rsidR="00733207" w:rsidRPr="000F5D96" w14:paraId="1512B938" w14:textId="77777777">
        <w:trPr>
          <w:trHeight w:val="624"/>
        </w:trPr>
        <w:tc>
          <w:tcPr>
            <w:tcW w:w="85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9A3E7E2" w14:textId="77777777" w:rsidR="00733207" w:rsidRPr="000F5D96" w:rsidRDefault="00912BAE">
            <w:pPr>
              <w:spacing w:after="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01</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B8293D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AFRICA PRINT COMMUNICATION</w:t>
            </w:r>
          </w:p>
        </w:tc>
        <w:tc>
          <w:tcPr>
            <w:tcW w:w="3260"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E97F2E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CAMARA Abdoul Aziz</w:t>
            </w:r>
          </w:p>
        </w:tc>
        <w:tc>
          <w:tcPr>
            <w:tcW w:w="382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614F407"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083/CSC/SG/DP du 16/08/2023</w:t>
            </w:r>
          </w:p>
        </w:tc>
        <w:tc>
          <w:tcPr>
            <w:tcW w:w="297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2CA948A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2022 B 1556</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4AFFA4C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:00174095N</w:t>
            </w:r>
          </w:p>
        </w:tc>
      </w:tr>
      <w:tr w:rsidR="00733207" w:rsidRPr="000F5D96" w14:paraId="48167092" w14:textId="77777777">
        <w:trPr>
          <w:trHeight w:val="624"/>
        </w:trPr>
        <w:tc>
          <w:tcPr>
            <w:tcW w:w="85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9A67F3D" w14:textId="77777777" w:rsidR="00733207" w:rsidRPr="000F5D96" w:rsidRDefault="00912BAE">
            <w:pPr>
              <w:spacing w:after="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02</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B513B4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ANALYTICA VISUAL GROUPE</w:t>
            </w:r>
          </w:p>
        </w:tc>
        <w:tc>
          <w:tcPr>
            <w:tcW w:w="3260"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EE18BD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BAYALA Ray Alexander</w:t>
            </w:r>
          </w:p>
        </w:tc>
        <w:tc>
          <w:tcPr>
            <w:tcW w:w="382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1A7A5F1"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032/CSC/SG/DP du 03/04/2023</w:t>
            </w:r>
          </w:p>
        </w:tc>
        <w:tc>
          <w:tcPr>
            <w:tcW w:w="297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3CEA06F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BF–OUA-01-2022- B13-00554</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1003760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:00172687T</w:t>
            </w:r>
          </w:p>
        </w:tc>
      </w:tr>
      <w:tr w:rsidR="00733207" w:rsidRPr="000F5D96" w14:paraId="79C4F7C2" w14:textId="77777777">
        <w:trPr>
          <w:trHeight w:val="624"/>
        </w:trPr>
        <w:tc>
          <w:tcPr>
            <w:tcW w:w="85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670E1FD1" w14:textId="77777777" w:rsidR="00733207" w:rsidRPr="000F5D96" w:rsidRDefault="00912BAE">
            <w:pPr>
              <w:spacing w:after="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03</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709560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ASAIE</w:t>
            </w:r>
          </w:p>
        </w:tc>
        <w:tc>
          <w:tcPr>
            <w:tcW w:w="3260"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F146FB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TRAORE Fatou Anita Farida</w:t>
            </w:r>
          </w:p>
        </w:tc>
        <w:tc>
          <w:tcPr>
            <w:tcW w:w="382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A69E1EF"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044/CSC/SG/DP du 28/04/2023</w:t>
            </w:r>
          </w:p>
        </w:tc>
        <w:tc>
          <w:tcPr>
            <w:tcW w:w="297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61ABBA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B 11120</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33F35B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:00167002Z</w:t>
            </w:r>
          </w:p>
        </w:tc>
      </w:tr>
      <w:tr w:rsidR="00733207" w:rsidRPr="000F5D96" w14:paraId="565D019E" w14:textId="77777777">
        <w:trPr>
          <w:trHeight w:val="759"/>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0B8B36"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C512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BATI MART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4D3E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SEREME Seydou</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81E0B"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067/CSC/SG/DP du 26/06/2023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B17E5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2010 B 0847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3AACF4"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:00025679S</w:t>
            </w:r>
          </w:p>
        </w:tc>
      </w:tr>
      <w:tr w:rsidR="00733207" w:rsidRPr="000F5D96" w14:paraId="04AE93B6" w14:textId="77777777">
        <w:trPr>
          <w:trHeight w:val="759"/>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FD213"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921AD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BENICIA BUSINESS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B4AF9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SANOU </w:t>
            </w:r>
            <w:proofErr w:type="spellStart"/>
            <w:r w:rsidRPr="000F5D96">
              <w:rPr>
                <w:rFonts w:ascii="Rockwell" w:hAnsi="Rockwell" w:cs="Rockwell"/>
                <w:sz w:val="26"/>
                <w:szCs w:val="26"/>
              </w:rPr>
              <w:t>Kalo</w:t>
            </w:r>
            <w:proofErr w:type="spellEnd"/>
            <w:r w:rsidRPr="000F5D96">
              <w:rPr>
                <w:rFonts w:ascii="Rockwell" w:hAnsi="Rockwell" w:cs="Rockwell"/>
                <w:sz w:val="26"/>
                <w:szCs w:val="26"/>
              </w:rPr>
              <w:t xml:space="preserve"> Dieudonné Joseph Marie François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23691D"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042/CSC/SG/DP du 24/04/2023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22F7DD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B 9564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50B37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:00164657A</w:t>
            </w:r>
          </w:p>
        </w:tc>
      </w:tr>
      <w:tr w:rsidR="00733207" w:rsidRPr="000F5D96" w14:paraId="3D55D3AE" w14:textId="77777777">
        <w:trPr>
          <w:trHeight w:val="759"/>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6D151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28F09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BUREAU MATIQUE P. 2000</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5472D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PASGO/WAGBE </w:t>
            </w:r>
            <w:proofErr w:type="spellStart"/>
            <w:r w:rsidRPr="000F5D96">
              <w:rPr>
                <w:rFonts w:ascii="Rockwell" w:hAnsi="Rockwell" w:cs="Rockwell"/>
                <w:sz w:val="26"/>
                <w:szCs w:val="26"/>
              </w:rPr>
              <w:t>Gnankan</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E0E22"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076/CSC/SG/DP du 18/07/2023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53882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RCCM : BF OUA </w:t>
            </w:r>
            <w:r w:rsidRPr="000F5D96">
              <w:rPr>
                <w:rFonts w:ascii="Rockwell" w:hAnsi="Rockwell" w:cs="Rockwell"/>
                <w:sz w:val="26"/>
                <w:szCs w:val="26"/>
                <w:lang w:val="en-US"/>
              </w:rPr>
              <w:t>2019 M 5330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D15128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:00003961J</w:t>
            </w:r>
          </w:p>
        </w:tc>
      </w:tr>
      <w:tr w:rsidR="00733207" w:rsidRPr="000F5D96" w14:paraId="49BCF9D7" w14:textId="77777777">
        <w:trPr>
          <w:trHeight w:val="759"/>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83203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07</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5297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CONCEPT SERVICES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ADEC4A"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NIKIEMA Hamed Lamine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ECF901"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093/CSC/SG/DP du 27/09/2023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33FB0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A 0444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998DB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00100053T</w:t>
            </w:r>
          </w:p>
        </w:tc>
      </w:tr>
      <w:tr w:rsidR="00733207" w:rsidRPr="000F5D96" w14:paraId="51137733"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F510F3"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08</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FE56C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DEC COM BURKINA</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55ECB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OUEDRAOGO Sibiri Ismaël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26EABF"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019/CSC/SG/DP du 09/03/2023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F56B9AB"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RCCM : BF OUA </w:t>
            </w:r>
            <w:r w:rsidRPr="000F5D96">
              <w:rPr>
                <w:rFonts w:ascii="Rockwell" w:hAnsi="Rockwell" w:cs="Rockwell"/>
                <w:sz w:val="26"/>
                <w:szCs w:val="26"/>
                <w:lang w:val="en-US"/>
              </w:rPr>
              <w:t>2019 A 4959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65DCAE"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00122015A</w:t>
            </w:r>
          </w:p>
        </w:tc>
      </w:tr>
      <w:tr w:rsidR="00733207" w:rsidRPr="000F5D96" w14:paraId="70C9D9C6"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94CE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09</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4941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DEFI GRAPHIC</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B830B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YARO </w:t>
            </w:r>
            <w:proofErr w:type="spellStart"/>
            <w:r w:rsidRPr="000F5D96">
              <w:rPr>
                <w:rFonts w:ascii="Rockwell" w:hAnsi="Rockwell" w:cs="Rockwell"/>
                <w:sz w:val="26"/>
                <w:szCs w:val="26"/>
              </w:rPr>
              <w:t>Lamoussa</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37ED2"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033/CSC/SG/DP du 03/04/2023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B1301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2013 M 5002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8705C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:00032122L</w:t>
            </w:r>
          </w:p>
        </w:tc>
      </w:tr>
      <w:tr w:rsidR="00733207" w:rsidRPr="000F5D96" w14:paraId="6FEE67CA"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04FE9B"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A8E3D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DJABA COM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0F4A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ZOMBRE </w:t>
            </w:r>
            <w:proofErr w:type="spellStart"/>
            <w:r w:rsidRPr="000F5D96">
              <w:rPr>
                <w:rFonts w:ascii="Rockwell" w:hAnsi="Rockwell" w:cs="Rockwell"/>
                <w:sz w:val="26"/>
                <w:szCs w:val="26"/>
              </w:rPr>
              <w:t>Léticia</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21C71"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020/CSC/SG/DP du 15/03/2023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9FF60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OUA-01-2023-</w:t>
            </w:r>
          </w:p>
          <w:p w14:paraId="06EA0C4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M-01053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1843B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:00192682S</w:t>
            </w:r>
          </w:p>
        </w:tc>
      </w:tr>
      <w:tr w:rsidR="00733207" w:rsidRPr="000F5D96" w14:paraId="429EDA6C"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2A913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11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82A9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DIPEOTESON</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AF0C9"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KANZIE Samy Germain Reinhard</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5DC03D"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040/CSC/SG/DP du 18/04/2023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7D95F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M 7466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68E0443"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:00129079T</w:t>
            </w:r>
          </w:p>
        </w:tc>
      </w:tr>
      <w:tr w:rsidR="00733207" w:rsidRPr="000F5D96" w14:paraId="1FEC2FAE"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A9F5B"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12</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D74B0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ELT.PUB SARL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DCA0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OUEDRAOGO </w:t>
            </w:r>
            <w:proofErr w:type="spellStart"/>
            <w:r w:rsidRPr="000F5D96">
              <w:rPr>
                <w:rFonts w:ascii="Rockwell" w:hAnsi="Rockwell" w:cs="Rockwell"/>
                <w:sz w:val="26"/>
                <w:szCs w:val="26"/>
              </w:rPr>
              <w:t>Rakiswendé</w:t>
            </w:r>
            <w:proofErr w:type="spellEnd"/>
            <w:r w:rsidRPr="000F5D96">
              <w:rPr>
                <w:rFonts w:ascii="Rockwell" w:hAnsi="Rockwell" w:cs="Rockwell"/>
                <w:sz w:val="26"/>
                <w:szCs w:val="26"/>
              </w:rPr>
              <w:t xml:space="preserve"> Jean Lambert</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8050FB"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050/CSC/SG/DP du 04/05/2023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E6EBA1B"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KDG 2022 B 129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FDCB5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:00175715K</w:t>
            </w:r>
          </w:p>
        </w:tc>
      </w:tr>
      <w:tr w:rsidR="00733207" w:rsidRPr="000F5D96" w14:paraId="782F593D"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F9D6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53E8A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ENTREPRISE DE CONSTRUCTION NOUVELLE AFRIQUE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DACA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NATAMA Harouna</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E7BC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016/CSC/SG/DP du 02/03/2023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0B3615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OUA-01-2023-M-02388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0305DC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:00007670S</w:t>
            </w:r>
          </w:p>
        </w:tc>
      </w:tr>
      <w:tr w:rsidR="00733207" w:rsidRPr="000F5D96" w14:paraId="2FD2BDB8"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F6F75E"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5DB9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ESCAPADE BURKINA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7879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TOE Mamadou Hyacinthe Constant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17106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034/CSC/SG/DP du 07/04/2023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875BBC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2019 B 5985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301DEA"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:00123474</w:t>
            </w:r>
          </w:p>
        </w:tc>
      </w:tr>
      <w:tr w:rsidR="00733207" w:rsidRPr="000F5D96" w14:paraId="6A90C279"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D283D5"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CED68"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ESPACE ECO</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B362F"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ZOURE Gaétan El Amadine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FBE6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010/CSC/SG/DP du 10/02/2023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1B5289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B 7642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5E7F4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:00142093Z</w:t>
            </w:r>
          </w:p>
        </w:tc>
      </w:tr>
      <w:tr w:rsidR="00733207" w:rsidRPr="000F5D96" w14:paraId="05D4136F"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36E79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8763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ETS. SAWADOGO HAMIDOU &amp; FRERES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416B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SAWADOGO Hamidou</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9FEF1B" w14:textId="77777777" w:rsidR="00733207" w:rsidRPr="000F5D96" w:rsidRDefault="00912BAE">
            <w:pPr>
              <w:spacing w:after="0"/>
              <w:rPr>
                <w:rFonts w:ascii="Rockwell" w:hAnsi="Rockwell" w:cs="Rockwell"/>
                <w:color w:val="000000"/>
                <w:sz w:val="26"/>
                <w:szCs w:val="26"/>
              </w:rPr>
            </w:pPr>
            <w:r w:rsidRPr="000F5D96">
              <w:rPr>
                <w:rFonts w:ascii="Rockwell" w:hAnsi="Rockwell" w:cs="Rockwell"/>
                <w:color w:val="000000"/>
                <w:sz w:val="26"/>
                <w:szCs w:val="26"/>
              </w:rPr>
              <w:t>118/CSC/SG/DP du 28/12/2022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AF98F3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:BF OUA-01-1999-A-10-01887</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087E5CA" w14:textId="77777777" w:rsidR="00733207" w:rsidRPr="000F5D96" w:rsidRDefault="00912BAE">
            <w:pPr>
              <w:spacing w:before="240" w:after="0"/>
              <w:rPr>
                <w:rFonts w:ascii="Rockwell" w:hAnsi="Rockwell" w:cs="Rockwell"/>
                <w:sz w:val="26"/>
                <w:szCs w:val="26"/>
              </w:rPr>
            </w:pPr>
            <w:r w:rsidRPr="000F5D96">
              <w:rPr>
                <w:rFonts w:ascii="Rockwell" w:hAnsi="Rockwell" w:cs="Rockwell"/>
                <w:sz w:val="26"/>
                <w:szCs w:val="26"/>
              </w:rPr>
              <w:t>IFU : 00000741J</w:t>
            </w:r>
          </w:p>
        </w:tc>
      </w:tr>
      <w:tr w:rsidR="00733207" w:rsidRPr="000F5D96" w14:paraId="19B592C8"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D1BD14"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17</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4D894"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G.I.B-C.A.</w:t>
            </w:r>
            <w:proofErr w:type="gramStart"/>
            <w:r w:rsidRPr="000F5D96">
              <w:rPr>
                <w:rFonts w:ascii="Rockwell" w:eastAsia="Times New Roman" w:hAnsi="Rockwell" w:cs="Rockwell"/>
                <w:sz w:val="26"/>
                <w:szCs w:val="26"/>
                <w:lang w:eastAsia="fr-FR"/>
              </w:rPr>
              <w:t>C.I</w:t>
            </w:r>
            <w:proofErr w:type="gramEnd"/>
            <w:r w:rsidRPr="000F5D96">
              <w:rPr>
                <w:rFonts w:ascii="Rockwell" w:eastAsia="Times New Roman" w:hAnsi="Rockwell" w:cs="Rockwell"/>
                <w:sz w:val="26"/>
                <w:szCs w:val="26"/>
                <w:lang w:eastAsia="fr-FR"/>
              </w:rPr>
              <w:t>-B</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1830D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KARA </w:t>
            </w:r>
            <w:proofErr w:type="spellStart"/>
            <w:r w:rsidRPr="000F5D96">
              <w:rPr>
                <w:rFonts w:ascii="Rockwell" w:hAnsi="Rockwell" w:cs="Rockwell"/>
                <w:sz w:val="26"/>
                <w:szCs w:val="26"/>
              </w:rPr>
              <w:t>Diariba</w:t>
            </w:r>
            <w:proofErr w:type="spellEnd"/>
            <w:r w:rsidRPr="000F5D96">
              <w:rPr>
                <w:rFonts w:ascii="Rockwell" w:hAnsi="Rockwell" w:cs="Rockwell"/>
                <w:sz w:val="26"/>
                <w:szCs w:val="26"/>
              </w:rPr>
              <w:t xml:space="preserve"> Hervé Bertrand</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E227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024/CSC/SG/DP du 17/03/2023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25D4630" w14:textId="77777777" w:rsidR="00733207" w:rsidRPr="000F5D96" w:rsidRDefault="00912BAE">
            <w:pPr>
              <w:spacing w:after="0"/>
              <w:rPr>
                <w:rFonts w:ascii="Rockwell" w:hAnsi="Rockwell" w:cs="Rockwell"/>
                <w:color w:val="FF0000"/>
                <w:sz w:val="26"/>
                <w:szCs w:val="26"/>
              </w:rPr>
            </w:pPr>
            <w:r w:rsidRPr="000F5D96">
              <w:rPr>
                <w:rFonts w:ascii="Rockwell" w:hAnsi="Rockwell" w:cs="Rockwell"/>
                <w:sz w:val="26"/>
                <w:szCs w:val="26"/>
              </w:rPr>
              <w:t>RCCM : BF OUA 2022 M 4038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523A3E" w14:textId="77777777" w:rsidR="00733207" w:rsidRPr="000F5D96" w:rsidRDefault="00912BAE">
            <w:pPr>
              <w:spacing w:before="120" w:after="0"/>
              <w:rPr>
                <w:rFonts w:ascii="Rockwell" w:hAnsi="Rockwell" w:cs="Rockwell"/>
                <w:color w:val="FF0000"/>
                <w:sz w:val="26"/>
                <w:szCs w:val="26"/>
              </w:rPr>
            </w:pPr>
            <w:r w:rsidRPr="000F5D96">
              <w:rPr>
                <w:rFonts w:ascii="Rockwell" w:hAnsi="Rockwell" w:cs="Rockwell"/>
                <w:sz w:val="26"/>
                <w:szCs w:val="26"/>
              </w:rPr>
              <w:t>IFU :00002925U</w:t>
            </w:r>
          </w:p>
        </w:tc>
      </w:tr>
      <w:tr w:rsidR="00733207" w:rsidRPr="000F5D96" w14:paraId="6092DEC9"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4D1CA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18</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2E5B0"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GITECH</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DE5C1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DAO </w:t>
            </w:r>
            <w:proofErr w:type="spellStart"/>
            <w:r w:rsidRPr="000F5D96">
              <w:rPr>
                <w:rFonts w:ascii="Rockwell" w:hAnsi="Rockwell" w:cs="Rockwell"/>
                <w:sz w:val="26"/>
                <w:szCs w:val="26"/>
              </w:rPr>
              <w:t>Mariatou</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40DE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117/CSC/SG/DP du 28/12/2022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A9FA9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B 4561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BF85E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:00105954</w:t>
            </w:r>
          </w:p>
        </w:tc>
      </w:tr>
      <w:tr w:rsidR="00733207" w:rsidRPr="000F5D96" w14:paraId="593F0620"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1BD49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19</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92B1A"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GMS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4DD78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GANSONRE </w:t>
            </w:r>
            <w:proofErr w:type="spellStart"/>
            <w:r w:rsidRPr="000F5D96">
              <w:rPr>
                <w:rFonts w:ascii="Rockwell" w:hAnsi="Rockwell" w:cs="Rockwell"/>
                <w:sz w:val="26"/>
                <w:szCs w:val="26"/>
              </w:rPr>
              <w:t>Moumini</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B74B4C" w14:textId="77777777" w:rsidR="00733207" w:rsidRPr="000F5D96" w:rsidRDefault="00912BAE">
            <w:pPr>
              <w:spacing w:after="0"/>
              <w:rPr>
                <w:rFonts w:ascii="Rockwell" w:hAnsi="Rockwell" w:cs="Rockwell"/>
                <w:color w:val="000000"/>
                <w:sz w:val="26"/>
                <w:szCs w:val="26"/>
              </w:rPr>
            </w:pPr>
            <w:r w:rsidRPr="000F5D96">
              <w:rPr>
                <w:rFonts w:ascii="Rockwell" w:hAnsi="Rockwell" w:cs="Rockwell"/>
                <w:color w:val="000000"/>
                <w:sz w:val="26"/>
                <w:szCs w:val="26"/>
              </w:rPr>
              <w:t>011/CSC/SG/DP du 10/02/2023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C29B1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2020 M 5920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574421"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:00123294L</w:t>
            </w:r>
          </w:p>
        </w:tc>
      </w:tr>
      <w:tr w:rsidR="00733207" w:rsidRPr="000F5D96" w14:paraId="3ADBDB3E"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2A09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9C842"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GPS SARL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A2D8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BAKOUAN Abdel Rachid</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E8591" w14:textId="77777777" w:rsidR="00733207" w:rsidRPr="000F5D96" w:rsidRDefault="00912BAE">
            <w:pPr>
              <w:spacing w:after="0"/>
              <w:rPr>
                <w:rFonts w:ascii="Rockwell" w:hAnsi="Rockwell" w:cs="Rockwell"/>
                <w:color w:val="000000"/>
                <w:sz w:val="26"/>
                <w:szCs w:val="26"/>
              </w:rPr>
            </w:pPr>
            <w:r w:rsidRPr="000F5D96">
              <w:rPr>
                <w:rFonts w:ascii="Rockwell" w:hAnsi="Rockwell" w:cs="Rockwell"/>
                <w:color w:val="000000"/>
                <w:sz w:val="26"/>
                <w:szCs w:val="26"/>
              </w:rPr>
              <w:t>060/CSC/SG/DP du 11/06/2023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AE1FC03"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B 2961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30549F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:00103623N</w:t>
            </w:r>
          </w:p>
        </w:tc>
      </w:tr>
      <w:tr w:rsidR="00733207" w:rsidRPr="000F5D96" w14:paraId="2103BA62"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680E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337F53"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GROUPE PRESSE DU FASO</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7C672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KAFANDO Hamed Fulgence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33426" w14:textId="77777777" w:rsidR="00733207" w:rsidRPr="000F5D96" w:rsidRDefault="00912BAE">
            <w:pPr>
              <w:spacing w:after="0"/>
              <w:rPr>
                <w:rFonts w:ascii="Rockwell" w:hAnsi="Rockwell" w:cs="Rockwell"/>
                <w:color w:val="000000"/>
                <w:sz w:val="26"/>
                <w:szCs w:val="26"/>
              </w:rPr>
            </w:pPr>
            <w:r w:rsidRPr="000F5D96">
              <w:rPr>
                <w:rFonts w:ascii="Rockwell" w:hAnsi="Rockwell" w:cs="Rockwell"/>
                <w:color w:val="000000"/>
                <w:sz w:val="26"/>
                <w:szCs w:val="26"/>
              </w:rPr>
              <w:t>080/CSC/SG/DP du 31/07/2023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C66E8D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2021 B 10572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341C7C2"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:001661333U</w:t>
            </w:r>
          </w:p>
        </w:tc>
      </w:tr>
      <w:tr w:rsidR="00733207" w:rsidRPr="000F5D96" w14:paraId="6D2EDD3A" w14:textId="77777777">
        <w:trPr>
          <w:trHeight w:val="624"/>
        </w:trPr>
        <w:tc>
          <w:tcPr>
            <w:tcW w:w="851"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222FD118" w14:textId="77777777" w:rsidR="00733207" w:rsidRPr="000F5D96" w:rsidRDefault="00912BAE">
            <w:pPr>
              <w:spacing w:after="0"/>
              <w:jc w:val="center"/>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22</w:t>
            </w:r>
          </w:p>
        </w:tc>
        <w:tc>
          <w:tcPr>
            <w:tcW w:w="2835"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8E78CE5"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ICONE MEDIAS</w:t>
            </w:r>
          </w:p>
        </w:tc>
        <w:tc>
          <w:tcPr>
            <w:tcW w:w="3260"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58C7378F"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TIONON Salifou</w:t>
            </w:r>
          </w:p>
        </w:tc>
        <w:tc>
          <w:tcPr>
            <w:tcW w:w="3828"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66D40809" w14:textId="77777777" w:rsidR="00733207" w:rsidRPr="000F5D96" w:rsidRDefault="00912BAE">
            <w:pPr>
              <w:spacing w:after="0"/>
              <w:rPr>
                <w:rFonts w:ascii="Rockwell" w:eastAsia="Times New Roman" w:hAnsi="Rockwell" w:cs="Rockwell"/>
                <w:sz w:val="26"/>
                <w:szCs w:val="26"/>
                <w:lang w:eastAsia="fr-FR"/>
              </w:rPr>
            </w:pPr>
            <w:r w:rsidRPr="000F5D96">
              <w:rPr>
                <w:rFonts w:ascii="Rockwell" w:eastAsia="Times New Roman" w:hAnsi="Rockwell" w:cs="Rockwell"/>
                <w:color w:val="000000"/>
                <w:sz w:val="26"/>
                <w:szCs w:val="26"/>
                <w:lang w:eastAsia="fr-FR"/>
              </w:rPr>
              <w:t>059/CSC/SG/DP du 11/06/2023</w:t>
            </w:r>
          </w:p>
        </w:tc>
        <w:tc>
          <w:tcPr>
            <w:tcW w:w="2976"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AA0A6C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2019 B 4102</w:t>
            </w:r>
          </w:p>
        </w:tc>
        <w:tc>
          <w:tcPr>
            <w:tcW w:w="1985" w:type="dxa"/>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0F04EE41" w14:textId="77777777" w:rsidR="00733207" w:rsidRPr="000F5D96" w:rsidRDefault="00912BAE">
            <w:pPr>
              <w:spacing w:before="120" w:after="44"/>
              <w:rPr>
                <w:rFonts w:ascii="Rockwell" w:hAnsi="Rockwell" w:cs="Rockwell"/>
                <w:sz w:val="26"/>
                <w:szCs w:val="26"/>
              </w:rPr>
            </w:pPr>
            <w:r w:rsidRPr="000F5D96">
              <w:rPr>
                <w:rFonts w:ascii="Rockwell" w:hAnsi="Rockwell" w:cs="Rockwell"/>
                <w:sz w:val="26"/>
                <w:szCs w:val="26"/>
              </w:rPr>
              <w:t>IFU :00120778J</w:t>
            </w:r>
          </w:p>
        </w:tc>
      </w:tr>
      <w:tr w:rsidR="00733207" w:rsidRPr="000F5D96" w14:paraId="2AFDCC55"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FDF4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23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FCB7A" w14:textId="77777777" w:rsidR="00733207" w:rsidRPr="000F5D96" w:rsidRDefault="00912BAE">
            <w:pPr>
              <w:spacing w:after="0"/>
              <w:rPr>
                <w:rFonts w:ascii="Rockwell" w:hAnsi="Rockwell" w:cs="Rockwell"/>
                <w:sz w:val="26"/>
                <w:szCs w:val="26"/>
              </w:rPr>
            </w:pPr>
            <w:r w:rsidRPr="000F5D96">
              <w:rPr>
                <w:rFonts w:ascii="Rockwell" w:eastAsia="Times New Roman" w:hAnsi="Rockwell" w:cs="Rockwell"/>
                <w:color w:val="000000"/>
                <w:sz w:val="26"/>
                <w:szCs w:val="26"/>
                <w:lang w:eastAsia="fr-FR"/>
              </w:rPr>
              <w:t>IMPRIMERIE EMPREINTE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676B3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KANTEKE </w:t>
            </w:r>
            <w:proofErr w:type="spellStart"/>
            <w:r w:rsidRPr="000F5D96">
              <w:rPr>
                <w:rFonts w:ascii="Rockwell" w:hAnsi="Rockwell" w:cs="Rockwell"/>
                <w:sz w:val="26"/>
                <w:szCs w:val="26"/>
              </w:rPr>
              <w:t>Webakoura</w:t>
            </w:r>
            <w:proofErr w:type="spellEnd"/>
            <w:r w:rsidRPr="000F5D96">
              <w:rPr>
                <w:rFonts w:ascii="Rockwell" w:hAnsi="Rockwell" w:cs="Rockwell"/>
                <w:sz w:val="26"/>
                <w:szCs w:val="26"/>
              </w:rPr>
              <w:t xml:space="preserve"> Ousmane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7ECEB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074/CSC/SG/DP du 12/07/2023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BA89C0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 2018 A 5849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97BC3FD"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:00107430B</w:t>
            </w:r>
          </w:p>
        </w:tc>
      </w:tr>
      <w:tr w:rsidR="00733207" w:rsidRPr="000F5D96" w14:paraId="12B46BC3"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4441FC"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5C55C"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IMPRIMERIE FRATERNITE DU FASO</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E2776D"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ROUAMBA Aida Placide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F02ED"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009/CSC/SG/DP du 06/02/2023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C69B265" w14:textId="77777777" w:rsidR="00733207" w:rsidRPr="000F5D96" w:rsidRDefault="00912BAE">
            <w:pPr>
              <w:spacing w:before="120"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RCCM : BF OUA 2018 M 6750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2C3EE6" w14:textId="77777777" w:rsidR="00733207" w:rsidRPr="000F5D96" w:rsidRDefault="00912BAE">
            <w:pPr>
              <w:spacing w:before="240" w:after="0"/>
              <w:rPr>
                <w:rFonts w:ascii="Rockwell" w:eastAsia="Times New Roman" w:hAnsi="Rockwell" w:cs="Rockwell"/>
                <w:color w:val="000000"/>
                <w:sz w:val="26"/>
                <w:szCs w:val="26"/>
                <w:lang w:eastAsia="fr-FR"/>
              </w:rPr>
            </w:pPr>
            <w:r w:rsidRPr="000F5D96">
              <w:rPr>
                <w:rFonts w:ascii="Rockwell" w:hAnsi="Rockwell" w:cs="Rockwell"/>
                <w:sz w:val="26"/>
                <w:szCs w:val="26"/>
              </w:rPr>
              <w:t>IFU :00032164G</w:t>
            </w:r>
          </w:p>
        </w:tc>
      </w:tr>
      <w:tr w:rsidR="00733207" w:rsidRPr="000F5D96" w14:paraId="10E514FA"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424E08"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9112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IMPRI-NORD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B874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OUEDRAOGO </w:t>
            </w:r>
            <w:proofErr w:type="spellStart"/>
            <w:r w:rsidRPr="000F5D96">
              <w:rPr>
                <w:rFonts w:ascii="Rockwell" w:hAnsi="Rockwell" w:cs="Rockwell"/>
                <w:sz w:val="26"/>
                <w:szCs w:val="26"/>
              </w:rPr>
              <w:t>Ousséni</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2B153B" w14:textId="77777777" w:rsidR="00733207" w:rsidRPr="000F5D96" w:rsidRDefault="00912BAE">
            <w:pPr>
              <w:spacing w:after="0"/>
              <w:rPr>
                <w:rFonts w:ascii="Rockwell" w:hAnsi="Rockwell" w:cs="Rockwell"/>
                <w:sz w:val="26"/>
                <w:szCs w:val="26"/>
              </w:rPr>
            </w:pPr>
            <w:r w:rsidRPr="000F5D96">
              <w:rPr>
                <w:rFonts w:ascii="Rockwell" w:eastAsia="Times New Roman" w:hAnsi="Rockwell" w:cs="Rockwell"/>
                <w:color w:val="000000"/>
                <w:sz w:val="26"/>
                <w:szCs w:val="26"/>
                <w:lang w:eastAsia="fr-FR"/>
              </w:rPr>
              <w:t>037/CSC/SG/DP du 18/04/2023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4B67040" w14:textId="77777777" w:rsidR="00733207" w:rsidRPr="000F5D96" w:rsidRDefault="00912BAE">
            <w:pPr>
              <w:spacing w:after="0"/>
              <w:rPr>
                <w:rFonts w:ascii="Rockwell" w:hAnsi="Rockwell" w:cs="Rockwell"/>
                <w:sz w:val="26"/>
                <w:szCs w:val="26"/>
              </w:rPr>
            </w:pPr>
            <w:r w:rsidRPr="000F5D96">
              <w:rPr>
                <w:rFonts w:ascii="Rockwell" w:eastAsia="Times New Roman" w:hAnsi="Rockwell" w:cs="Rockwell"/>
                <w:color w:val="000000"/>
                <w:sz w:val="26"/>
                <w:szCs w:val="26"/>
                <w:lang w:eastAsia="fr-FR"/>
              </w:rPr>
              <w:t>RCCM : BF OUA 2020 M 10154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2A0A16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:00038777Z</w:t>
            </w:r>
          </w:p>
        </w:tc>
      </w:tr>
      <w:tr w:rsidR="00733207" w:rsidRPr="000F5D96" w14:paraId="2CD03B0E"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50389"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B7421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LA CHAINE GRAPHIQUE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5B195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SANOGO </w:t>
            </w:r>
            <w:proofErr w:type="spellStart"/>
            <w:r w:rsidRPr="000F5D96">
              <w:rPr>
                <w:rFonts w:ascii="Rockwell" w:hAnsi="Rockwell" w:cs="Rockwell"/>
                <w:sz w:val="26"/>
                <w:szCs w:val="26"/>
              </w:rPr>
              <w:t>Rasmané</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F0C19"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089/CSC/SG/DP du 15/09/2023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66BDB4E"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RCCM :BF OUA 2022 B 1188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8A770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:00173582E</w:t>
            </w:r>
          </w:p>
        </w:tc>
      </w:tr>
      <w:tr w:rsidR="00733207" w:rsidRPr="000F5D96" w14:paraId="10A0EABA"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3C49F"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27</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B298F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MARTIN PECHEUR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307F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KABORE </w:t>
            </w:r>
            <w:proofErr w:type="spellStart"/>
            <w:r w:rsidRPr="000F5D96">
              <w:rPr>
                <w:rFonts w:ascii="Rockwell" w:hAnsi="Rockwell" w:cs="Rockwell"/>
                <w:sz w:val="26"/>
                <w:szCs w:val="26"/>
              </w:rPr>
              <w:t>Rogom-Nooma</w:t>
            </w:r>
            <w:proofErr w:type="spellEnd"/>
            <w:r w:rsidRPr="000F5D96">
              <w:rPr>
                <w:rFonts w:ascii="Rockwell" w:hAnsi="Rockwell" w:cs="Rockwell"/>
                <w:sz w:val="26"/>
                <w:szCs w:val="26"/>
              </w:rPr>
              <w:t xml:space="preserve"> Pélagie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6E2BB0" w14:textId="77777777" w:rsidR="00733207" w:rsidRPr="000F5D96" w:rsidRDefault="00912BAE">
            <w:pPr>
              <w:spacing w:after="0"/>
              <w:rPr>
                <w:rFonts w:ascii="Rockwell" w:hAnsi="Rockwell" w:cs="Rockwell"/>
                <w:sz w:val="26"/>
                <w:szCs w:val="26"/>
              </w:rPr>
            </w:pPr>
            <w:r w:rsidRPr="000F5D96">
              <w:rPr>
                <w:rFonts w:ascii="Rockwell" w:hAnsi="Rockwell" w:cs="Rockwell"/>
                <w:color w:val="000000"/>
                <w:sz w:val="26"/>
                <w:szCs w:val="26"/>
              </w:rPr>
              <w:t>107/CSC/SG/DP du 28/10/2022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C4E8C3" w14:textId="77777777" w:rsidR="00733207" w:rsidRPr="000F5D96" w:rsidRDefault="00912BAE">
            <w:pPr>
              <w:spacing w:after="0"/>
              <w:rPr>
                <w:rFonts w:ascii="Rockwell" w:hAnsi="Rockwell" w:cs="Rockwell"/>
                <w:sz w:val="26"/>
                <w:szCs w:val="26"/>
              </w:rPr>
            </w:pPr>
            <w:r w:rsidRPr="000F5D96">
              <w:rPr>
                <w:rFonts w:ascii="Rockwell" w:eastAsia="Times New Roman" w:hAnsi="Rockwell" w:cs="Rockwell"/>
                <w:color w:val="000000"/>
                <w:sz w:val="26"/>
                <w:szCs w:val="26"/>
                <w:lang w:eastAsia="fr-FR"/>
              </w:rPr>
              <w:t>RCCM : BF OUA 2020 M 5535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5520224"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:00019822F</w:t>
            </w:r>
          </w:p>
        </w:tc>
      </w:tr>
      <w:tr w:rsidR="00733207" w:rsidRPr="000F5D96" w14:paraId="53EC4689"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51DE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28</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59675B"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MEGA PRINT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F956E"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ZOUNGRANA W. </w:t>
            </w:r>
            <w:proofErr w:type="spellStart"/>
            <w:r w:rsidRPr="000F5D96">
              <w:rPr>
                <w:rFonts w:ascii="Rockwell" w:hAnsi="Rockwell" w:cs="Rockwell"/>
                <w:sz w:val="26"/>
                <w:szCs w:val="26"/>
              </w:rPr>
              <w:t>Raissa</w:t>
            </w:r>
            <w:proofErr w:type="spellEnd"/>
            <w:r w:rsidRPr="000F5D96">
              <w:rPr>
                <w:rFonts w:ascii="Rockwell" w:hAnsi="Rockwell" w:cs="Rockwell"/>
                <w:sz w:val="26"/>
                <w:szCs w:val="26"/>
              </w:rPr>
              <w:t xml:space="preserve"> Bertille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00C79" w14:textId="77777777" w:rsidR="00733207" w:rsidRPr="000F5D96" w:rsidRDefault="00912BAE">
            <w:pPr>
              <w:spacing w:after="0"/>
              <w:rPr>
                <w:rFonts w:ascii="Rockwell" w:hAnsi="Rockwell" w:cs="Rockwell"/>
                <w:color w:val="000000"/>
                <w:sz w:val="26"/>
                <w:szCs w:val="26"/>
              </w:rPr>
            </w:pPr>
            <w:r w:rsidRPr="000F5D96">
              <w:rPr>
                <w:rFonts w:ascii="Rockwell" w:eastAsia="Times New Roman" w:hAnsi="Rockwell" w:cs="Rockwell"/>
                <w:sz w:val="26"/>
                <w:szCs w:val="26"/>
                <w:lang w:eastAsia="fr-FR"/>
              </w:rPr>
              <w:t>053/CSC/SG/DP du 12/05/2023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FCC329E"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eastAsia="Times New Roman" w:hAnsi="Rockwell" w:cs="Rockwell"/>
                <w:color w:val="000000"/>
                <w:sz w:val="26"/>
                <w:szCs w:val="26"/>
                <w:lang w:eastAsia="fr-FR"/>
              </w:rPr>
              <w:t>RCCM : BF OUA 2018 A 1794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EE2657"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00101914E</w:t>
            </w:r>
          </w:p>
        </w:tc>
      </w:tr>
      <w:tr w:rsidR="00733207" w:rsidRPr="000F5D96" w14:paraId="410815B9"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2BE974"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29</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6725AB"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MILLENIUM HIGH COM</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8221C2"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HIEN Mamoudou </w:t>
            </w:r>
            <w:proofErr w:type="spellStart"/>
            <w:r w:rsidRPr="000F5D96">
              <w:rPr>
                <w:rFonts w:ascii="Rockwell" w:hAnsi="Rockwell" w:cs="Rockwell"/>
                <w:sz w:val="26"/>
                <w:szCs w:val="26"/>
              </w:rPr>
              <w:t>Bibata</w:t>
            </w:r>
            <w:proofErr w:type="spellEnd"/>
          </w:p>
          <w:p w14:paraId="0418CCC2" w14:textId="77777777" w:rsidR="00733207" w:rsidRPr="000F5D96" w:rsidRDefault="00733207">
            <w:pPr>
              <w:spacing w:after="0"/>
              <w:rPr>
                <w:rFonts w:ascii="Rockwell" w:hAnsi="Rockwell" w:cs="Rockwell"/>
                <w:sz w:val="26"/>
                <w:szCs w:val="26"/>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B7B3F3" w14:textId="77777777" w:rsidR="00733207" w:rsidRPr="000F5D96" w:rsidRDefault="00912BAE">
            <w:pPr>
              <w:rPr>
                <w:rFonts w:ascii="Rockwell" w:hAnsi="Rockwell" w:cs="Rockwell"/>
                <w:sz w:val="26"/>
                <w:szCs w:val="26"/>
              </w:rPr>
            </w:pPr>
            <w:r w:rsidRPr="000F5D96">
              <w:rPr>
                <w:rFonts w:ascii="Rockwell" w:hAnsi="Rockwell" w:cs="Rockwell"/>
                <w:sz w:val="26"/>
                <w:szCs w:val="26"/>
              </w:rPr>
              <w:t>N°109/CSC/SG/DP du 09/11/2022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7CBAD63" w14:textId="77777777" w:rsidR="00733207" w:rsidRPr="000F5D96" w:rsidRDefault="00912BAE">
            <w:pPr>
              <w:spacing w:after="0"/>
              <w:rPr>
                <w:rFonts w:ascii="Rockwell" w:eastAsia="Times New Roman" w:hAnsi="Rockwell" w:cs="Rockwell"/>
                <w:color w:val="000000"/>
                <w:sz w:val="26"/>
                <w:szCs w:val="26"/>
                <w:lang w:eastAsia="fr-FR"/>
              </w:rPr>
            </w:pPr>
            <w:r w:rsidRPr="000F5D96">
              <w:rPr>
                <w:rFonts w:ascii="Rockwell" w:hAnsi="Rockwell" w:cs="Rockwell"/>
                <w:sz w:val="26"/>
                <w:szCs w:val="26"/>
              </w:rPr>
              <w:t>RCCM :BF OUA 2017 B 2731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E0DAC56"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w:t>
            </w:r>
            <w:r w:rsidRPr="000F5D96">
              <w:rPr>
                <w:rFonts w:ascii="Rockwell" w:hAnsi="Rockwell" w:cs="Rockwell"/>
                <w:b/>
                <w:sz w:val="26"/>
                <w:szCs w:val="26"/>
              </w:rPr>
              <w:t>:</w:t>
            </w:r>
            <w:r w:rsidRPr="000F5D96">
              <w:rPr>
                <w:rFonts w:ascii="Rockwell" w:hAnsi="Rockwell" w:cs="Rockwell"/>
                <w:sz w:val="26"/>
                <w:szCs w:val="26"/>
              </w:rPr>
              <w:t>00088998S</w:t>
            </w:r>
          </w:p>
        </w:tc>
      </w:tr>
      <w:tr w:rsidR="00733207" w:rsidRPr="000F5D96" w14:paraId="24D0F6A5"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244A82"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30</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3A1E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OMEGA PRINT PLUS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B5CFD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ZONGO Nazaire Erick </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073891" w14:textId="77777777" w:rsidR="00733207" w:rsidRPr="000F5D96" w:rsidRDefault="00912BAE">
            <w:pPr>
              <w:spacing w:before="120" w:after="120"/>
              <w:rPr>
                <w:rFonts w:ascii="Rockwell" w:hAnsi="Rockwell" w:cs="Rockwell"/>
                <w:sz w:val="26"/>
                <w:szCs w:val="26"/>
              </w:rPr>
            </w:pPr>
            <w:r w:rsidRPr="000F5D96">
              <w:rPr>
                <w:rFonts w:ascii="Rockwell" w:hAnsi="Rockwell" w:cs="Rockwell"/>
                <w:sz w:val="26"/>
                <w:szCs w:val="26"/>
              </w:rPr>
              <w:t>008/CSC/SG/DP du 06/02/2023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C834038"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:BF OUA 2017 B 2265</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1E6E02B"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w:t>
            </w:r>
            <w:r w:rsidRPr="000F5D96">
              <w:rPr>
                <w:rFonts w:ascii="Rockwell" w:hAnsi="Rockwell" w:cs="Rockwell"/>
                <w:b/>
                <w:sz w:val="26"/>
                <w:szCs w:val="26"/>
              </w:rPr>
              <w:t>:</w:t>
            </w:r>
            <w:r w:rsidRPr="000F5D96">
              <w:rPr>
                <w:rFonts w:ascii="Rockwell" w:hAnsi="Rockwell" w:cs="Rockwell"/>
                <w:sz w:val="26"/>
                <w:szCs w:val="26"/>
              </w:rPr>
              <w:t>00088424D</w:t>
            </w:r>
          </w:p>
        </w:tc>
      </w:tr>
      <w:tr w:rsidR="00733207" w:rsidRPr="000F5D96" w14:paraId="016E9334"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65B96D"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B5D73E"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PRESTAPRO SARL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605A60"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BAYALA Ray Alexander</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4FE7E7"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028/CSC/SG/DP du 23/03/2023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992E80" w14:textId="77777777" w:rsidR="00733207" w:rsidRPr="000F5D96" w:rsidRDefault="00912BAE">
            <w:pPr>
              <w:spacing w:after="0"/>
              <w:rPr>
                <w:rFonts w:ascii="Rockwell" w:hAnsi="Rockwell" w:cs="Rockwell"/>
                <w:color w:val="FF0000"/>
                <w:sz w:val="26"/>
                <w:szCs w:val="26"/>
              </w:rPr>
            </w:pPr>
            <w:r w:rsidRPr="000F5D96">
              <w:rPr>
                <w:rFonts w:ascii="Rockwell" w:hAnsi="Rockwell" w:cs="Rockwell"/>
                <w:sz w:val="26"/>
                <w:szCs w:val="26"/>
              </w:rPr>
              <w:t xml:space="preserve">RCCM : </w:t>
            </w:r>
            <w:r w:rsidRPr="000F5D96">
              <w:rPr>
                <w:rFonts w:ascii="Rockwell" w:hAnsi="Rockwell" w:cs="Rockwell"/>
                <w:sz w:val="26"/>
                <w:szCs w:val="26"/>
                <w:lang w:val="en-US"/>
              </w:rPr>
              <w:t>BF OUA 2018 M 6810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D6E727" w14:textId="77777777" w:rsidR="00733207" w:rsidRPr="000F5D96" w:rsidRDefault="00912BAE">
            <w:pPr>
              <w:spacing w:before="120" w:after="0"/>
              <w:rPr>
                <w:rFonts w:ascii="Rockwell" w:hAnsi="Rockwell" w:cs="Rockwell"/>
                <w:color w:val="FF0000"/>
                <w:sz w:val="26"/>
                <w:szCs w:val="26"/>
              </w:rPr>
            </w:pPr>
            <w:r w:rsidRPr="000F5D96">
              <w:rPr>
                <w:rFonts w:ascii="Rockwell" w:hAnsi="Rockwell" w:cs="Rockwell"/>
                <w:sz w:val="26"/>
                <w:szCs w:val="26"/>
              </w:rPr>
              <w:t>IFU :00083770U</w:t>
            </w:r>
          </w:p>
        </w:tc>
      </w:tr>
      <w:tr w:rsidR="00733207" w:rsidRPr="000F5D96" w14:paraId="3E75448B"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21C11"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32</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77DDAA"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ROYAUME SPORT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7228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AKANGBE Kayodé Philippe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BE7D3"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021/CSC/SG/DP du15/03/2023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2D9BB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RCCM : </w:t>
            </w:r>
            <w:r w:rsidRPr="000F5D96">
              <w:rPr>
                <w:rFonts w:ascii="Rockwell" w:hAnsi="Rockwell" w:cs="Rockwell"/>
                <w:sz w:val="26"/>
                <w:szCs w:val="26"/>
                <w:lang w:val="en-US"/>
              </w:rPr>
              <w:t>BF OUA 2013 A 3178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D4B9AC8"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:00047912T</w:t>
            </w:r>
          </w:p>
        </w:tc>
      </w:tr>
      <w:tr w:rsidR="00733207" w:rsidRPr="000F5D96" w14:paraId="570FCBE6"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FC415" w14:textId="77777777" w:rsidR="00733207" w:rsidRPr="000F5D96" w:rsidRDefault="00912BAE">
            <w:pPr>
              <w:spacing w:after="0"/>
              <w:jc w:val="center"/>
              <w:rPr>
                <w:rFonts w:ascii="Rockwell" w:hAnsi="Rockwell" w:cs="Rockwell"/>
                <w:color w:val="FF0000"/>
                <w:sz w:val="26"/>
                <w:szCs w:val="26"/>
              </w:rPr>
            </w:pPr>
            <w:r w:rsidRPr="000F5D96">
              <w:rPr>
                <w:rFonts w:ascii="Rockwell" w:hAnsi="Rockwell" w:cs="Rockwell"/>
                <w:color w:val="000000"/>
                <w:sz w:val="26"/>
                <w:szCs w:val="26"/>
              </w:rPr>
              <w:t>33</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97A56"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SALEM GROUP SARL</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645E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SANKARA Jacques</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B91B2"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022/CSC/SG/DP du 21/03/2023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7812F1"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RCCM : </w:t>
            </w:r>
            <w:r w:rsidRPr="000F5D96">
              <w:rPr>
                <w:rFonts w:ascii="Rockwell" w:hAnsi="Rockwell" w:cs="Rockwell"/>
                <w:sz w:val="26"/>
                <w:szCs w:val="26"/>
                <w:lang w:val="en-US"/>
              </w:rPr>
              <w:t>BF OUA 2006 B 2863</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2BA19EC"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 00008549R</w:t>
            </w:r>
          </w:p>
        </w:tc>
      </w:tr>
      <w:tr w:rsidR="00733207" w:rsidRPr="000F5D96" w14:paraId="6DE01999"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3691A"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4BCE1"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SAM GENERAL LOGISTIQUE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4B1ED"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OUERMI </w:t>
            </w:r>
            <w:proofErr w:type="spellStart"/>
            <w:r w:rsidRPr="000F5D96">
              <w:rPr>
                <w:rFonts w:ascii="Rockwell" w:hAnsi="Rockwell" w:cs="Rockwell"/>
                <w:sz w:val="26"/>
                <w:szCs w:val="26"/>
              </w:rPr>
              <w:t>Sama</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5A69C"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014/CSC/SG/DP du 02/03/2023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E5188B7"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 OUA-01-2023 m-02439</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C4250A4"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:00077738C</w:t>
            </w:r>
          </w:p>
        </w:tc>
      </w:tr>
      <w:tr w:rsidR="00733207" w:rsidRPr="000F5D96" w14:paraId="25C5C631"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2953F"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lastRenderedPageBreak/>
              <w:t>35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F042D5"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SHINY SERVICES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CD214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OUEDRAOGO </w:t>
            </w:r>
            <w:proofErr w:type="spellStart"/>
            <w:r w:rsidRPr="000F5D96">
              <w:rPr>
                <w:rFonts w:ascii="Rockwell" w:hAnsi="Rockwell" w:cs="Rockwell"/>
                <w:sz w:val="26"/>
                <w:szCs w:val="26"/>
              </w:rPr>
              <w:t>Kadré</w:t>
            </w:r>
            <w:proofErr w:type="spellEnd"/>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10462"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073/CSC/SG/DP du 07/07/2023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4B19EC"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RCCM : BF-OUA-01- 2023 M-06502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5714295"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:00080208Y</w:t>
            </w:r>
          </w:p>
        </w:tc>
      </w:tr>
      <w:tr w:rsidR="00733207" w:rsidRPr="000F5D96" w14:paraId="055F0FC8" w14:textId="77777777">
        <w:trPr>
          <w:trHeight w:val="624"/>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E3546" w14:textId="77777777" w:rsidR="00733207" w:rsidRPr="000F5D96" w:rsidRDefault="00912BAE">
            <w:pPr>
              <w:spacing w:after="0"/>
              <w:jc w:val="center"/>
              <w:rPr>
                <w:rFonts w:ascii="Rockwell" w:hAnsi="Rockwell" w:cs="Rockwell"/>
                <w:sz w:val="26"/>
                <w:szCs w:val="26"/>
              </w:rPr>
            </w:pPr>
            <w:r w:rsidRPr="000F5D96">
              <w:rPr>
                <w:rFonts w:ascii="Rockwell" w:hAnsi="Rockwell" w:cs="Rockwell"/>
                <w:sz w:val="26"/>
                <w:szCs w:val="26"/>
              </w:rPr>
              <w:t>36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B10162" w14:textId="77777777" w:rsidR="00733207" w:rsidRPr="000F5D96" w:rsidRDefault="00912BAE">
            <w:pPr>
              <w:spacing w:after="0"/>
              <w:rPr>
                <w:rFonts w:ascii="Rockwell" w:hAnsi="Rockwell" w:cs="Rockwell"/>
                <w:sz w:val="26"/>
                <w:szCs w:val="26"/>
                <w:lang w:val="en-US"/>
              </w:rPr>
            </w:pPr>
            <w:r w:rsidRPr="000F5D96">
              <w:rPr>
                <w:rFonts w:ascii="Rockwell" w:hAnsi="Rockwell" w:cs="Rockwell"/>
                <w:sz w:val="26"/>
                <w:szCs w:val="26"/>
                <w:lang w:val="en-US"/>
              </w:rPr>
              <w:t>SIDABO VISION</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C0474"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BAMBARA </w:t>
            </w:r>
            <w:proofErr w:type="spellStart"/>
            <w:r w:rsidRPr="000F5D96">
              <w:rPr>
                <w:rFonts w:ascii="Rockwell" w:hAnsi="Rockwell" w:cs="Rockwell"/>
                <w:sz w:val="26"/>
                <w:szCs w:val="26"/>
              </w:rPr>
              <w:t>Halzula</w:t>
            </w:r>
            <w:proofErr w:type="spellEnd"/>
            <w:r w:rsidRPr="000F5D96">
              <w:rPr>
                <w:rFonts w:ascii="Rockwell" w:hAnsi="Rockwell" w:cs="Rockwell"/>
                <w:sz w:val="26"/>
                <w:szCs w:val="26"/>
              </w:rPr>
              <w:t xml:space="preserve"> Donatien</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306049" w14:textId="77777777" w:rsidR="00733207" w:rsidRPr="000F5D96" w:rsidRDefault="00912BAE">
            <w:pPr>
              <w:spacing w:after="0" w:line="254" w:lineRule="auto"/>
              <w:rPr>
                <w:rFonts w:ascii="Rockwell" w:eastAsia="Times New Roman" w:hAnsi="Rockwell" w:cs="Rockwell"/>
                <w:sz w:val="26"/>
                <w:szCs w:val="26"/>
                <w:lang w:eastAsia="fr-FR"/>
              </w:rPr>
            </w:pPr>
            <w:r w:rsidRPr="000F5D96">
              <w:rPr>
                <w:rFonts w:ascii="Rockwell" w:eastAsia="Times New Roman" w:hAnsi="Rockwell" w:cs="Rockwell"/>
                <w:sz w:val="26"/>
                <w:szCs w:val="26"/>
                <w:lang w:eastAsia="fr-FR"/>
              </w:rPr>
              <w:t>054/CSC/SG/DP du 12/05/2023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4B9F886" w14:textId="77777777" w:rsidR="00733207" w:rsidRPr="000F5D96" w:rsidRDefault="00912BAE">
            <w:pPr>
              <w:spacing w:after="0"/>
              <w:rPr>
                <w:rFonts w:ascii="Rockwell" w:hAnsi="Rockwell" w:cs="Rockwell"/>
                <w:sz w:val="26"/>
                <w:szCs w:val="26"/>
              </w:rPr>
            </w:pPr>
            <w:r w:rsidRPr="000F5D96">
              <w:rPr>
                <w:rFonts w:ascii="Rockwell" w:hAnsi="Rockwell" w:cs="Rockwell"/>
                <w:sz w:val="26"/>
                <w:szCs w:val="26"/>
              </w:rPr>
              <w:t xml:space="preserve">RCCM : </w:t>
            </w:r>
            <w:r w:rsidRPr="000F5D96">
              <w:rPr>
                <w:rFonts w:ascii="Rockwell" w:hAnsi="Rockwell" w:cs="Rockwell"/>
                <w:sz w:val="26"/>
                <w:szCs w:val="26"/>
                <w:lang w:val="en-US"/>
              </w:rPr>
              <w:t>BF OUA 2021 M 3426</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AE27D59" w14:textId="77777777" w:rsidR="00733207" w:rsidRPr="000F5D96" w:rsidRDefault="00912BAE">
            <w:pPr>
              <w:spacing w:before="120" w:after="0"/>
              <w:rPr>
                <w:rFonts w:ascii="Rockwell" w:hAnsi="Rockwell" w:cs="Rockwell"/>
                <w:sz w:val="26"/>
                <w:szCs w:val="26"/>
              </w:rPr>
            </w:pPr>
            <w:r w:rsidRPr="000F5D96">
              <w:rPr>
                <w:rFonts w:ascii="Rockwell" w:hAnsi="Rockwell" w:cs="Rockwell"/>
                <w:sz w:val="26"/>
                <w:szCs w:val="26"/>
              </w:rPr>
              <w:t>IFU :00020092M</w:t>
            </w:r>
          </w:p>
        </w:tc>
      </w:tr>
    </w:tbl>
    <w:p w14:paraId="20CD710D" w14:textId="77777777" w:rsidR="00733207" w:rsidRDefault="00912BAE">
      <w:pPr>
        <w:jc w:val="both"/>
        <w:rPr>
          <w:rFonts w:ascii="Rockwell" w:hAnsi="Rockwell"/>
          <w:b/>
          <w:i/>
          <w:sz w:val="32"/>
          <w:szCs w:val="32"/>
        </w:rPr>
      </w:pPr>
      <w:r>
        <w:rPr>
          <w:rFonts w:ascii="Rockwell" w:hAnsi="Rockwell"/>
          <w:b/>
          <w:i/>
          <w:noProof/>
          <w:sz w:val="32"/>
          <w:szCs w:val="32"/>
          <w:lang w:eastAsia="fr-FR"/>
        </w:rPr>
        <w:lastRenderedPageBreak/>
        <w:drawing>
          <wp:inline distT="0" distB="0" distL="0" distR="0" wp14:anchorId="1E94E109" wp14:editId="5089D3DC">
            <wp:extent cx="6816725" cy="9467850"/>
            <wp:effectExtent l="0" t="0" r="0" b="3175"/>
            <wp:docPr id="80" name="Imag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 80"/>
                    <pic:cNvPicPr>
                      <a:picLocks noChangeAspect="1" noChangeArrowheads="1"/>
                    </pic:cNvPicPr>
                  </pic:nvPicPr>
                  <pic:blipFill>
                    <a:blip r:embed="rId70" cstate="print">
                      <a:clrChange>
                        <a:clrFrom>
                          <a:srgbClr val="FCFCFC">
                            <a:alpha val="100000"/>
                          </a:srgbClr>
                        </a:clrFrom>
                        <a:clrTo>
                          <a:srgbClr val="FCFCFC">
                            <a:alpha val="100000"/>
                            <a:alpha val="0"/>
                          </a:srgbClr>
                        </a:clrTo>
                      </a:clrChange>
                      <a:extLst>
                        <a:ext uri="{28A0092B-C50C-407E-A947-70E740481C1C}">
                          <a14:useLocalDpi xmlns:a14="http://schemas.microsoft.com/office/drawing/2010/main" val="0"/>
                        </a:ext>
                      </a:extLst>
                    </a:blip>
                    <a:srcRect/>
                    <a:stretch>
                      <a:fillRect/>
                    </a:stretch>
                  </pic:blipFill>
                  <pic:spPr>
                    <a:xfrm rot="5400000">
                      <a:off x="0" y="0"/>
                      <a:ext cx="6819792" cy="9467850"/>
                    </a:xfrm>
                    <a:prstGeom prst="rect">
                      <a:avLst/>
                    </a:prstGeom>
                    <a:noFill/>
                    <a:ln>
                      <a:noFill/>
                    </a:ln>
                  </pic:spPr>
                </pic:pic>
              </a:graphicData>
            </a:graphic>
          </wp:inline>
        </w:drawing>
      </w:r>
    </w:p>
    <w:p w14:paraId="3A3987DF" w14:textId="77777777" w:rsidR="00733207" w:rsidRDefault="00733207">
      <w:pPr>
        <w:jc w:val="both"/>
        <w:rPr>
          <w:rFonts w:ascii="Rockwell" w:hAnsi="Rockwell"/>
          <w:b/>
          <w:i/>
          <w:sz w:val="32"/>
          <w:szCs w:val="32"/>
        </w:rPr>
        <w:sectPr w:rsidR="00733207">
          <w:pgSz w:w="16838" w:h="11906" w:orient="landscape"/>
          <w:pgMar w:top="1418" w:right="1418" w:bottom="1418" w:left="1418" w:header="709" w:footer="709" w:gutter="0"/>
          <w:cols w:space="708"/>
          <w:docGrid w:linePitch="360"/>
        </w:sectPr>
      </w:pPr>
    </w:p>
    <w:p w14:paraId="435ACD0E" w14:textId="77777777" w:rsidR="00733207" w:rsidRDefault="00733207">
      <w:pPr>
        <w:jc w:val="both"/>
        <w:rPr>
          <w:rFonts w:ascii="Rockwell" w:hAnsi="Rockwell"/>
          <w:b/>
          <w:i/>
          <w:sz w:val="32"/>
          <w:szCs w:val="32"/>
        </w:rPr>
      </w:pPr>
    </w:p>
    <w:p w14:paraId="3207D036" w14:textId="77777777" w:rsidR="00733207" w:rsidRDefault="00733207">
      <w:pPr>
        <w:jc w:val="both"/>
        <w:rPr>
          <w:rFonts w:ascii="Rockwell" w:hAnsi="Rockwell"/>
          <w:b/>
          <w:i/>
          <w:sz w:val="32"/>
          <w:szCs w:val="32"/>
        </w:rPr>
      </w:pPr>
    </w:p>
    <w:p w14:paraId="2AA7BFCE" w14:textId="77777777" w:rsidR="00733207" w:rsidRDefault="00733207">
      <w:pPr>
        <w:jc w:val="both"/>
        <w:rPr>
          <w:rFonts w:ascii="Rockwell" w:hAnsi="Rockwell"/>
          <w:b/>
          <w:i/>
          <w:sz w:val="32"/>
          <w:szCs w:val="32"/>
        </w:rPr>
      </w:pPr>
    </w:p>
    <w:p w14:paraId="2E048568" w14:textId="77777777" w:rsidR="00733207" w:rsidRDefault="00733207">
      <w:pPr>
        <w:jc w:val="both"/>
        <w:rPr>
          <w:rFonts w:ascii="Rockwell" w:hAnsi="Rockwell"/>
          <w:b/>
          <w:i/>
          <w:sz w:val="32"/>
          <w:szCs w:val="32"/>
        </w:rPr>
      </w:pPr>
    </w:p>
    <w:p w14:paraId="0A4ECA34" w14:textId="77777777" w:rsidR="00733207" w:rsidRDefault="00733207">
      <w:pPr>
        <w:jc w:val="both"/>
        <w:rPr>
          <w:rFonts w:ascii="Rockwell" w:hAnsi="Rockwell"/>
          <w:b/>
          <w:i/>
          <w:sz w:val="32"/>
          <w:szCs w:val="32"/>
        </w:rPr>
      </w:pPr>
    </w:p>
    <w:p w14:paraId="1B9AFBA0" w14:textId="77777777" w:rsidR="00733207" w:rsidRDefault="00733207">
      <w:pPr>
        <w:jc w:val="both"/>
        <w:rPr>
          <w:rFonts w:ascii="Rockwell" w:hAnsi="Rockwell"/>
          <w:b/>
          <w:i/>
          <w:sz w:val="32"/>
          <w:szCs w:val="32"/>
        </w:rPr>
      </w:pPr>
    </w:p>
    <w:p w14:paraId="6EBA9B19" w14:textId="77777777" w:rsidR="00733207" w:rsidRDefault="00733207">
      <w:pPr>
        <w:jc w:val="both"/>
        <w:rPr>
          <w:rFonts w:ascii="Rockwell" w:hAnsi="Rockwell"/>
          <w:b/>
          <w:i/>
          <w:sz w:val="32"/>
          <w:szCs w:val="32"/>
        </w:rPr>
      </w:pPr>
    </w:p>
    <w:p w14:paraId="4508780F" w14:textId="77777777" w:rsidR="00733207" w:rsidRDefault="00733207">
      <w:pPr>
        <w:jc w:val="both"/>
        <w:rPr>
          <w:rFonts w:ascii="Rockwell" w:hAnsi="Rockwell"/>
          <w:b/>
          <w:i/>
          <w:sz w:val="32"/>
          <w:szCs w:val="32"/>
        </w:rPr>
      </w:pPr>
    </w:p>
    <w:p w14:paraId="30946F0E" w14:textId="77777777" w:rsidR="00733207" w:rsidRDefault="00733207">
      <w:pPr>
        <w:jc w:val="both"/>
        <w:rPr>
          <w:rFonts w:ascii="Rockwell" w:hAnsi="Rockwell"/>
          <w:b/>
          <w:i/>
          <w:sz w:val="32"/>
          <w:szCs w:val="32"/>
        </w:rPr>
      </w:pPr>
    </w:p>
    <w:p w14:paraId="778ED196" w14:textId="77777777" w:rsidR="00733207" w:rsidRDefault="00733207">
      <w:pPr>
        <w:jc w:val="both"/>
        <w:rPr>
          <w:rFonts w:ascii="Rockwell" w:hAnsi="Rockwell"/>
          <w:b/>
          <w:i/>
          <w:sz w:val="32"/>
          <w:szCs w:val="32"/>
        </w:rPr>
      </w:pPr>
    </w:p>
    <w:p w14:paraId="5EAC03F1" w14:textId="77777777" w:rsidR="00733207" w:rsidRDefault="00733207">
      <w:pPr>
        <w:jc w:val="both"/>
        <w:rPr>
          <w:rFonts w:ascii="Rockwell" w:hAnsi="Rockwell"/>
          <w:b/>
          <w:i/>
          <w:sz w:val="32"/>
          <w:szCs w:val="32"/>
        </w:rPr>
      </w:pPr>
    </w:p>
    <w:p w14:paraId="0242FE8A" w14:textId="77777777" w:rsidR="00733207" w:rsidRDefault="00912BAE">
      <w:pPr>
        <w:jc w:val="center"/>
        <w:rPr>
          <w:rFonts w:ascii="Rockwell" w:hAnsi="Rockwell"/>
          <w:b/>
          <w:i/>
          <w:sz w:val="32"/>
          <w:szCs w:val="32"/>
        </w:rPr>
      </w:pPr>
      <w:r>
        <w:rPr>
          <w:rFonts w:ascii="Rockwell" w:hAnsi="Rockwell"/>
          <w:b/>
          <w:i/>
          <w:sz w:val="32"/>
          <w:szCs w:val="32"/>
        </w:rPr>
        <w:t>ANNEXE 2 : REPRERTOIRE DES MEDIAS AUDIOVISUELS</w:t>
      </w:r>
    </w:p>
    <w:p w14:paraId="5F2BA356" w14:textId="77777777" w:rsidR="00733207" w:rsidRDefault="00733207">
      <w:pPr>
        <w:jc w:val="both"/>
        <w:rPr>
          <w:rFonts w:ascii="Rockwell" w:hAnsi="Rockwell"/>
          <w:b/>
          <w:i/>
          <w:sz w:val="32"/>
          <w:szCs w:val="32"/>
        </w:rPr>
      </w:pPr>
    </w:p>
    <w:p w14:paraId="282604B8" w14:textId="77777777" w:rsidR="00733207" w:rsidRDefault="00733207">
      <w:pPr>
        <w:jc w:val="both"/>
        <w:rPr>
          <w:rFonts w:ascii="Rockwell" w:hAnsi="Rockwell"/>
          <w:b/>
          <w:i/>
          <w:sz w:val="32"/>
          <w:szCs w:val="32"/>
        </w:rPr>
      </w:pPr>
    </w:p>
    <w:p w14:paraId="558FD598" w14:textId="77777777" w:rsidR="00733207" w:rsidRDefault="00733207">
      <w:pPr>
        <w:jc w:val="both"/>
        <w:rPr>
          <w:rFonts w:ascii="Rockwell" w:hAnsi="Rockwell"/>
          <w:b/>
          <w:i/>
          <w:sz w:val="32"/>
          <w:szCs w:val="32"/>
        </w:rPr>
      </w:pPr>
    </w:p>
    <w:p w14:paraId="0A01FE64" w14:textId="77777777" w:rsidR="00733207" w:rsidRDefault="00733207">
      <w:pPr>
        <w:jc w:val="both"/>
        <w:rPr>
          <w:rFonts w:ascii="Rockwell" w:hAnsi="Rockwell"/>
          <w:b/>
          <w:i/>
          <w:sz w:val="32"/>
          <w:szCs w:val="32"/>
        </w:rPr>
      </w:pPr>
    </w:p>
    <w:p w14:paraId="0988F176" w14:textId="77777777" w:rsidR="00733207" w:rsidRDefault="00733207">
      <w:pPr>
        <w:jc w:val="both"/>
        <w:rPr>
          <w:rFonts w:ascii="Rockwell" w:hAnsi="Rockwell"/>
          <w:b/>
          <w:i/>
          <w:sz w:val="32"/>
          <w:szCs w:val="32"/>
        </w:rPr>
      </w:pPr>
    </w:p>
    <w:p w14:paraId="65A3F902" w14:textId="77777777" w:rsidR="00733207" w:rsidRDefault="00733207">
      <w:pPr>
        <w:jc w:val="both"/>
        <w:rPr>
          <w:rFonts w:ascii="Rockwell" w:hAnsi="Rockwell"/>
          <w:b/>
          <w:i/>
          <w:sz w:val="32"/>
          <w:szCs w:val="32"/>
        </w:rPr>
      </w:pPr>
    </w:p>
    <w:p w14:paraId="5E94A3F5" w14:textId="77777777" w:rsidR="00733207" w:rsidRDefault="00733207">
      <w:pPr>
        <w:jc w:val="both"/>
        <w:rPr>
          <w:rFonts w:ascii="Rockwell" w:hAnsi="Rockwell"/>
          <w:b/>
          <w:i/>
          <w:sz w:val="32"/>
          <w:szCs w:val="32"/>
        </w:rPr>
      </w:pPr>
    </w:p>
    <w:p w14:paraId="2AD84AD7" w14:textId="77777777" w:rsidR="00733207" w:rsidRDefault="00733207">
      <w:pPr>
        <w:jc w:val="both"/>
        <w:rPr>
          <w:rFonts w:ascii="Rockwell" w:hAnsi="Rockwell"/>
          <w:b/>
          <w:i/>
          <w:sz w:val="32"/>
          <w:szCs w:val="32"/>
        </w:rPr>
      </w:pPr>
    </w:p>
    <w:p w14:paraId="487B917D" w14:textId="77777777" w:rsidR="00733207" w:rsidRDefault="00733207">
      <w:pPr>
        <w:jc w:val="both"/>
        <w:rPr>
          <w:rFonts w:ascii="Rockwell" w:hAnsi="Rockwell"/>
          <w:b/>
          <w:i/>
          <w:sz w:val="32"/>
          <w:szCs w:val="32"/>
        </w:rPr>
      </w:pPr>
    </w:p>
    <w:p w14:paraId="346E28AE" w14:textId="77777777" w:rsidR="00733207" w:rsidRDefault="00733207">
      <w:pPr>
        <w:jc w:val="both"/>
        <w:rPr>
          <w:rFonts w:ascii="Rockwell" w:hAnsi="Rockwell"/>
          <w:b/>
          <w:i/>
          <w:sz w:val="32"/>
          <w:szCs w:val="32"/>
        </w:rPr>
      </w:pPr>
    </w:p>
    <w:p w14:paraId="38D88590" w14:textId="77777777" w:rsidR="00733207" w:rsidRDefault="00733207">
      <w:pPr>
        <w:jc w:val="both"/>
        <w:rPr>
          <w:rFonts w:ascii="Rockwell" w:hAnsi="Rockwell"/>
          <w:b/>
          <w:i/>
          <w:sz w:val="32"/>
          <w:szCs w:val="32"/>
        </w:rPr>
      </w:pPr>
    </w:p>
    <w:p w14:paraId="40BB854D" w14:textId="77777777" w:rsidR="00733207" w:rsidRDefault="00733207">
      <w:pPr>
        <w:jc w:val="both"/>
        <w:rPr>
          <w:rFonts w:ascii="Rockwell" w:hAnsi="Rockwell"/>
          <w:b/>
          <w:i/>
          <w:sz w:val="32"/>
          <w:szCs w:val="32"/>
        </w:rPr>
      </w:pPr>
    </w:p>
    <w:p w14:paraId="4500731B" w14:textId="77777777" w:rsidR="00733207" w:rsidRDefault="00733207">
      <w:pPr>
        <w:jc w:val="both"/>
        <w:rPr>
          <w:rFonts w:ascii="Rockwell" w:hAnsi="Rockwell"/>
          <w:b/>
          <w:i/>
          <w:sz w:val="32"/>
          <w:szCs w:val="32"/>
        </w:rPr>
      </w:pPr>
    </w:p>
    <w:p w14:paraId="507E56B0" w14:textId="77777777" w:rsidR="00733207" w:rsidRDefault="00912BAE">
      <w:pPr>
        <w:pStyle w:val="Paragraphedeliste"/>
        <w:numPr>
          <w:ilvl w:val="0"/>
          <w:numId w:val="51"/>
        </w:numPr>
        <w:spacing w:after="0" w:line="360" w:lineRule="auto"/>
        <w:ind w:left="0" w:hanging="371"/>
        <w:jc w:val="both"/>
        <w:rPr>
          <w:rFonts w:ascii="Rockwell" w:hAnsi="Rockwell" w:cs="Times New Roman"/>
          <w:b/>
          <w:sz w:val="24"/>
          <w:szCs w:val="24"/>
        </w:rPr>
      </w:pPr>
      <w:r>
        <w:rPr>
          <w:rFonts w:ascii="Rockwell" w:eastAsia="Times New Roman" w:hAnsi="Rockwell" w:cs="Times New Roman"/>
          <w:b/>
          <w:bCs/>
          <w:color w:val="000000"/>
          <w:sz w:val="24"/>
          <w:szCs w:val="24"/>
          <w:u w:val="single"/>
          <w:lang w:eastAsia="fr-FR"/>
        </w:rPr>
        <w:lastRenderedPageBreak/>
        <w:t>MEDIAS AUDIOVISUELS PRIVES</w:t>
      </w:r>
    </w:p>
    <w:p w14:paraId="19D07BFA" w14:textId="77777777" w:rsidR="00733207" w:rsidRDefault="00733207">
      <w:pPr>
        <w:pStyle w:val="Paragraphedeliste"/>
        <w:spacing w:after="0" w:line="360" w:lineRule="auto"/>
        <w:ind w:left="0"/>
        <w:jc w:val="both"/>
        <w:rPr>
          <w:rFonts w:ascii="Rockwell" w:hAnsi="Rockwell" w:cs="Times New Roman"/>
          <w:b/>
          <w:sz w:val="10"/>
          <w:szCs w:val="10"/>
        </w:rPr>
      </w:pPr>
    </w:p>
    <w:p w14:paraId="6E30D7B8" w14:textId="77777777" w:rsidR="00733207" w:rsidRDefault="00912BAE">
      <w:pPr>
        <w:pStyle w:val="Paragraphedeliste"/>
        <w:numPr>
          <w:ilvl w:val="0"/>
          <w:numId w:val="52"/>
        </w:numPr>
        <w:spacing w:after="0" w:line="360" w:lineRule="auto"/>
        <w:ind w:left="0"/>
        <w:jc w:val="both"/>
        <w:rPr>
          <w:rFonts w:ascii="Rockwell" w:hAnsi="Rockwell" w:cs="Times New Roman"/>
          <w:b/>
          <w:sz w:val="24"/>
          <w:szCs w:val="24"/>
        </w:rPr>
      </w:pPr>
      <w:r>
        <w:rPr>
          <w:rFonts w:ascii="Rockwell" w:eastAsia="Times New Roman" w:hAnsi="Rockwell" w:cs="Times New Roman"/>
          <w:b/>
          <w:bCs/>
          <w:color w:val="000000"/>
          <w:sz w:val="24"/>
          <w:szCs w:val="24"/>
          <w:lang w:eastAsia="fr-FR"/>
        </w:rPr>
        <w:t>RADIODIFFUSIONS SONORES</w:t>
      </w:r>
    </w:p>
    <w:p w14:paraId="62D0ACFF" w14:textId="77777777" w:rsidR="00733207" w:rsidRDefault="00912BAE">
      <w:pPr>
        <w:pStyle w:val="Paragraphedeliste"/>
        <w:numPr>
          <w:ilvl w:val="0"/>
          <w:numId w:val="53"/>
        </w:numPr>
        <w:spacing w:after="0" w:line="360" w:lineRule="auto"/>
        <w:ind w:left="0" w:hanging="371"/>
        <w:jc w:val="both"/>
        <w:rPr>
          <w:rFonts w:ascii="Rockwell" w:hAnsi="Rockwell" w:cs="Times New Roman"/>
          <w:b/>
          <w:sz w:val="24"/>
          <w:szCs w:val="24"/>
        </w:rPr>
      </w:pPr>
      <w:r>
        <w:rPr>
          <w:rFonts w:ascii="Rockwell" w:eastAsia="Times New Roman" w:hAnsi="Rockwell" w:cs="Times New Roman"/>
          <w:b/>
          <w:bCs/>
          <w:color w:val="000000"/>
          <w:sz w:val="24"/>
          <w:szCs w:val="24"/>
          <w:lang w:eastAsia="fr-FR"/>
        </w:rPr>
        <w:t>Radios Confessionnelles : quarante (40)</w:t>
      </w:r>
    </w:p>
    <w:tbl>
      <w:tblPr>
        <w:tblW w:w="10631" w:type="dxa"/>
        <w:jc w:val="center"/>
        <w:tblLayout w:type="fixed"/>
        <w:tblCellMar>
          <w:left w:w="70" w:type="dxa"/>
          <w:right w:w="70" w:type="dxa"/>
        </w:tblCellMar>
        <w:tblLook w:val="04A0" w:firstRow="1" w:lastRow="0" w:firstColumn="1" w:lastColumn="0" w:noHBand="0" w:noVBand="1"/>
      </w:tblPr>
      <w:tblGrid>
        <w:gridCol w:w="1129"/>
        <w:gridCol w:w="4395"/>
        <w:gridCol w:w="3402"/>
        <w:gridCol w:w="1705"/>
      </w:tblGrid>
      <w:tr w:rsidR="00733207" w14:paraId="018F14CC" w14:textId="77777777">
        <w:trPr>
          <w:trHeight w:val="416"/>
          <w:jc w:val="center"/>
        </w:trPr>
        <w:tc>
          <w:tcPr>
            <w:tcW w:w="1129" w:type="dxa"/>
            <w:tcBorders>
              <w:top w:val="single" w:sz="4" w:space="0" w:color="auto"/>
              <w:left w:val="single" w:sz="4" w:space="0" w:color="auto"/>
              <w:bottom w:val="single" w:sz="4" w:space="0" w:color="auto"/>
              <w:right w:val="single" w:sz="4" w:space="0" w:color="auto"/>
            </w:tcBorders>
            <w:shd w:val="clear" w:color="000000" w:fill="BFBFBF"/>
            <w:noWrap/>
          </w:tcPr>
          <w:p w14:paraId="7A8995EA"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b/>
                <w:bCs/>
                <w:color w:val="000000"/>
                <w:lang w:eastAsia="fr-FR"/>
              </w:rPr>
              <w:t>N°</w:t>
            </w:r>
          </w:p>
        </w:tc>
        <w:tc>
          <w:tcPr>
            <w:tcW w:w="4395" w:type="dxa"/>
            <w:tcBorders>
              <w:top w:val="single" w:sz="4" w:space="0" w:color="auto"/>
              <w:left w:val="nil"/>
              <w:bottom w:val="single" w:sz="4" w:space="0" w:color="auto"/>
              <w:right w:val="single" w:sz="4" w:space="0" w:color="auto"/>
            </w:tcBorders>
            <w:shd w:val="clear" w:color="000000" w:fill="BFBFBF"/>
            <w:noWrap/>
          </w:tcPr>
          <w:p w14:paraId="0B4925B3"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b/>
                <w:bCs/>
                <w:color w:val="000000"/>
                <w:lang w:eastAsia="fr-FR"/>
              </w:rPr>
              <w:t>Dénomination</w:t>
            </w:r>
          </w:p>
        </w:tc>
        <w:tc>
          <w:tcPr>
            <w:tcW w:w="3402" w:type="dxa"/>
            <w:tcBorders>
              <w:top w:val="single" w:sz="4" w:space="0" w:color="auto"/>
              <w:left w:val="nil"/>
              <w:bottom w:val="single" w:sz="4" w:space="0" w:color="auto"/>
              <w:right w:val="single" w:sz="4" w:space="0" w:color="auto"/>
            </w:tcBorders>
            <w:shd w:val="clear" w:color="000000" w:fill="BFBFBF"/>
            <w:noWrap/>
          </w:tcPr>
          <w:p w14:paraId="103808E4"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b/>
                <w:bCs/>
                <w:color w:val="000000"/>
                <w:lang w:eastAsia="fr-FR"/>
              </w:rPr>
              <w:t>Localité/Province</w:t>
            </w:r>
          </w:p>
        </w:tc>
        <w:tc>
          <w:tcPr>
            <w:tcW w:w="1705" w:type="dxa"/>
            <w:tcBorders>
              <w:top w:val="single" w:sz="4" w:space="0" w:color="auto"/>
              <w:left w:val="nil"/>
              <w:bottom w:val="single" w:sz="4" w:space="0" w:color="auto"/>
              <w:right w:val="single" w:sz="4" w:space="0" w:color="auto"/>
            </w:tcBorders>
            <w:shd w:val="clear" w:color="000000" w:fill="BFBFBF"/>
            <w:noWrap/>
          </w:tcPr>
          <w:p w14:paraId="50B9C388"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b/>
                <w:bCs/>
                <w:color w:val="000000"/>
                <w:lang w:eastAsia="fr-FR"/>
              </w:rPr>
              <w:t>Fréquence</w:t>
            </w:r>
          </w:p>
        </w:tc>
      </w:tr>
      <w:tr w:rsidR="00733207" w14:paraId="4BB2496B" w14:textId="77777777">
        <w:trPr>
          <w:trHeight w:val="49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91D8829"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color w:val="000000"/>
                <w:lang w:eastAsia="fr-FR"/>
              </w:rPr>
              <w:t>1</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2CFD73A0"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color w:val="000000"/>
                <w:lang w:eastAsia="fr-FR"/>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2498131"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28EDF3E4" w14:textId="77777777" w:rsidR="00733207" w:rsidRDefault="00912BAE">
            <w:pPr>
              <w:spacing w:after="0" w:line="240" w:lineRule="auto"/>
              <w:jc w:val="both"/>
              <w:rPr>
                <w:rFonts w:ascii="Rockwell" w:eastAsia="Times New Roman" w:hAnsi="Rockwell" w:cs="Times New Roman"/>
                <w:b/>
                <w:bCs/>
                <w:color w:val="000000"/>
                <w:lang w:eastAsia="fr-FR"/>
              </w:rPr>
            </w:pPr>
            <w:r>
              <w:rPr>
                <w:rFonts w:ascii="Rockwell" w:eastAsia="Times New Roman" w:hAnsi="Rockwell" w:cs="Times New Roman"/>
                <w:color w:val="000000"/>
                <w:lang w:eastAsia="fr-FR"/>
              </w:rPr>
              <w:t>93.4 MHz</w:t>
            </w:r>
          </w:p>
        </w:tc>
      </w:tr>
      <w:tr w:rsidR="00733207" w14:paraId="3E3BBF1F" w14:textId="77777777">
        <w:trPr>
          <w:trHeight w:val="568"/>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1B774A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4603CC6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AC5E7D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Ouahigouya/Yatenga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55CA53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104.00 MHz</w:t>
            </w:r>
          </w:p>
        </w:tc>
      </w:tr>
      <w:tr w:rsidR="00733207" w14:paraId="391B424B" w14:textId="77777777">
        <w:trPr>
          <w:trHeight w:val="548"/>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51FD75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0193E3B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Avé</w:t>
            </w:r>
            <w:proofErr w:type="spellEnd"/>
            <w:r>
              <w:rPr>
                <w:rFonts w:ascii="Rockwell" w:eastAsia="Times New Roman" w:hAnsi="Rockwell" w:cs="Times New Roman"/>
                <w:color w:val="000000"/>
                <w:lang w:eastAsia="fr-FR"/>
              </w:rPr>
              <w:t xml:space="preserve"> Maria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194B509"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60F1D8E9"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91.6 MHz</w:t>
            </w:r>
          </w:p>
        </w:tc>
      </w:tr>
      <w:tr w:rsidR="00733207" w14:paraId="428BB0BC" w14:textId="77777777">
        <w:trPr>
          <w:trHeight w:val="556"/>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5CAF8B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4</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6B514B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5BE7C6A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Bobo-Dioulasso/Houet</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65BDEF2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106.300 MHz</w:t>
            </w:r>
          </w:p>
        </w:tc>
      </w:tr>
      <w:tr w:rsidR="00733207" w14:paraId="60D225E8"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407FDC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5</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419FA13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Fréquence Espoir du CEDICOM</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3F7D63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Dédougou/Mouhoun</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5E156F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96.800 MHz</w:t>
            </w:r>
          </w:p>
        </w:tc>
      </w:tr>
      <w:tr w:rsidR="00733207" w14:paraId="291B9BA1" w14:textId="77777777">
        <w:trPr>
          <w:trHeight w:val="53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9052FF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6</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570CF14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Unitas</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6917B5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Diébougou/Bougouriba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634F80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94.700 Mhz</w:t>
            </w:r>
          </w:p>
        </w:tc>
      </w:tr>
      <w:tr w:rsidR="00733207" w14:paraId="0535F70C" w14:textId="77777777">
        <w:trPr>
          <w:trHeight w:val="552"/>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32E31B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7</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E3675E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Taanba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4A56D84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Fada/Fada N'Gourma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00B39A6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98.8 MHz</w:t>
            </w:r>
          </w:p>
        </w:tc>
      </w:tr>
      <w:tr w:rsidR="00733207" w14:paraId="66E96156" w14:textId="77777777">
        <w:trPr>
          <w:trHeight w:val="546"/>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53343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8</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4D080C4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du Sud-Ouest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48CC64A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Gaoua/</w:t>
            </w:r>
            <w:proofErr w:type="spellStart"/>
            <w:r>
              <w:rPr>
                <w:rFonts w:ascii="Rockwell" w:eastAsia="Times New Roman" w:hAnsi="Rockwell" w:cs="Times New Roman"/>
                <w:color w:val="000000"/>
                <w:lang w:eastAsia="fr-FR"/>
              </w:rPr>
              <w:t>Poni</w:t>
            </w:r>
            <w:proofErr w:type="spellEnd"/>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643F2E8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99.7 MHz</w:t>
            </w:r>
          </w:p>
        </w:tc>
      </w:tr>
      <w:tr w:rsidR="00733207" w14:paraId="41968C5D" w14:textId="77777777">
        <w:trPr>
          <w:trHeight w:val="554"/>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480E1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415146C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Notre </w:t>
            </w:r>
            <w:proofErr w:type="spellStart"/>
            <w:r>
              <w:rPr>
                <w:rFonts w:ascii="Rockwell" w:eastAsia="Times New Roman" w:hAnsi="Rockwell" w:cs="Times New Roman"/>
                <w:color w:val="000000"/>
                <w:lang w:eastAsia="fr-FR"/>
              </w:rPr>
              <w:t>Damde</w:t>
            </w:r>
            <w:proofErr w:type="spellEnd"/>
            <w:r>
              <w:rPr>
                <w:rFonts w:ascii="Rockwell" w:eastAsia="Times New Roman" w:hAnsi="Rockwell" w:cs="Times New Roman"/>
                <w:color w:val="000000"/>
                <w:lang w:eastAsia="fr-FR"/>
              </w:rPr>
              <w:t xml:space="preserve"> de la Réconciliation</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614D92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Koudougou/Boulkiemdé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48DC2C26"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105.8 MHz</w:t>
            </w:r>
          </w:p>
        </w:tc>
      </w:tr>
      <w:tr w:rsidR="00733207" w14:paraId="09A52BDE" w14:textId="77777777">
        <w:trPr>
          <w:trHeight w:val="434"/>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793AE7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0798ED8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Natigm</w:t>
            </w:r>
            <w:proofErr w:type="spellEnd"/>
            <w:r>
              <w:rPr>
                <w:rFonts w:ascii="Rockwell" w:eastAsia="Times New Roman" w:hAnsi="Rockwell" w:cs="Times New Roman"/>
                <w:color w:val="000000"/>
                <w:lang w:eastAsia="fr-FR"/>
              </w:rPr>
              <w:t>-B-</w:t>
            </w:r>
            <w:proofErr w:type="spellStart"/>
            <w:r>
              <w:rPr>
                <w:rFonts w:ascii="Rockwell" w:eastAsia="Times New Roman" w:hAnsi="Rockwell" w:cs="Times New Roman"/>
                <w:color w:val="000000"/>
                <w:lang w:eastAsia="fr-FR"/>
              </w:rPr>
              <w:t>Zanga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0DD869A" w14:textId="77777777" w:rsidR="00733207" w:rsidRDefault="00912BAE">
            <w:pPr>
              <w:spacing w:after="0" w:line="240" w:lineRule="auto"/>
              <w:jc w:val="both"/>
              <w:rPr>
                <w:rFonts w:ascii="Rockwell" w:eastAsia="Times New Roman" w:hAnsi="Rockwell" w:cs="Times New Roman"/>
                <w:color w:val="000000"/>
                <w:lang w:eastAsia="fr-FR"/>
              </w:rPr>
            </w:pPr>
            <w:proofErr w:type="spellStart"/>
            <w:r>
              <w:rPr>
                <w:rFonts w:ascii="Rockwell" w:eastAsia="Times New Roman" w:hAnsi="Rockwell" w:cs="Times New Roman"/>
                <w:color w:val="000000"/>
                <w:lang w:eastAsia="fr-FR"/>
              </w:rPr>
              <w:t>Yako</w:t>
            </w:r>
            <w:proofErr w:type="spellEnd"/>
            <w:r>
              <w:rPr>
                <w:rFonts w:ascii="Rockwell" w:eastAsia="Times New Roman" w:hAnsi="Rockwell" w:cs="Times New Roman"/>
                <w:color w:val="000000"/>
                <w:lang w:eastAsia="fr-FR"/>
              </w:rPr>
              <w:t>/Passoré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1D816FA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98.2 MHz</w:t>
            </w:r>
          </w:p>
        </w:tc>
      </w:tr>
      <w:tr w:rsidR="00733207" w14:paraId="48BD73E6" w14:textId="77777777">
        <w:trPr>
          <w:trHeight w:val="555"/>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090A11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11</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6780C71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Notre Dame du Sahel</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5262D87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Ouahigouya/Yatenga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516DA3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102.6 MHz</w:t>
            </w:r>
          </w:p>
        </w:tc>
      </w:tr>
      <w:tr w:rsidR="00733207" w14:paraId="06045A89"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714203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12</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4A239EE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Lumière Vie et Développement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539449C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AE032A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98.1 MHz</w:t>
            </w:r>
          </w:p>
        </w:tc>
      </w:tr>
      <w:tr w:rsidR="00733207" w14:paraId="7AFCD274"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011E4D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13</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79856A0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Alliance Chrétienne (RAC)</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E4202B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Bobo-Dioulasso/Houet</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156FBEF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95.900 MHz</w:t>
            </w:r>
          </w:p>
        </w:tc>
      </w:tr>
      <w:tr w:rsidR="00733207" w14:paraId="18088966"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022A11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14</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5B8B511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Notre Dame de la Paix</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AB3AA3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Manga/Zoundwéogo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2996C4C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99 MHz</w:t>
            </w:r>
          </w:p>
        </w:tc>
      </w:tr>
      <w:tr w:rsidR="00733207" w14:paraId="3CBEB201"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A8BC5E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15</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7F33089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Islamique </w:t>
            </w:r>
            <w:proofErr w:type="spellStart"/>
            <w:r>
              <w:rPr>
                <w:rFonts w:ascii="Rockwell" w:eastAsia="Times New Roman" w:hAnsi="Rockwell" w:cs="Times New Roman"/>
                <w:color w:val="000000"/>
                <w:lang w:eastAsia="fr-FR"/>
              </w:rPr>
              <w:t>Ahmadiyya</w:t>
            </w:r>
            <w:proofErr w:type="spellEnd"/>
            <w:r>
              <w:rPr>
                <w:rFonts w:ascii="Rockwell" w:eastAsia="Times New Roman" w:hAnsi="Rockwell" w:cs="Times New Roman"/>
                <w:color w:val="000000"/>
                <w:lang w:eastAsia="fr-FR"/>
              </w:rPr>
              <w:t xml:space="preserve"> (RIA)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3DCE65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Bobo-Dioulasso/Houet</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2C7C6F1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103.5 MHz</w:t>
            </w:r>
          </w:p>
        </w:tc>
      </w:tr>
      <w:tr w:rsidR="00733207" w14:paraId="78FDA7CF"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ABF925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16</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225F47B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3C4E0A79"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Houndé/Tuy</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18F48E2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95.5 MHz</w:t>
            </w:r>
          </w:p>
        </w:tc>
      </w:tr>
      <w:tr w:rsidR="00733207" w14:paraId="6AF750E2"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1B9AE6"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17</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5C12363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41B6622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Koudougou/Boulkiemdé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0CDF3B6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95.4 MHz</w:t>
            </w:r>
          </w:p>
        </w:tc>
      </w:tr>
      <w:tr w:rsidR="00733207" w14:paraId="2AEFB2BB" w14:textId="77777777">
        <w:trPr>
          <w:trHeight w:val="489"/>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CE6E63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18</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11A860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Al </w:t>
            </w:r>
            <w:proofErr w:type="spellStart"/>
            <w:r>
              <w:rPr>
                <w:rFonts w:ascii="Rockwell" w:eastAsia="Times New Roman" w:hAnsi="Rockwell" w:cs="Times New Roman"/>
                <w:color w:val="000000"/>
                <w:lang w:eastAsia="fr-FR"/>
              </w:rPr>
              <w:t>Mafaz</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19571C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Bobo-Dioulasso/Houet</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D3B671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93.500 MHz</w:t>
            </w:r>
          </w:p>
        </w:tc>
      </w:tr>
      <w:tr w:rsidR="00733207" w14:paraId="05DBBA39"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8A878B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19</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022AE01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Al Houda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41E3984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53552E3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98.5 MHz</w:t>
            </w:r>
          </w:p>
        </w:tc>
      </w:tr>
      <w:tr w:rsidR="00733207" w14:paraId="73194A3D" w14:textId="77777777">
        <w:trPr>
          <w:trHeight w:val="519"/>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83CAF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20</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00D35C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Evangélique Sourou/Nayala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5D5C06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Tougan/Sourou</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444165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97.900 MHz</w:t>
            </w:r>
          </w:p>
        </w:tc>
      </w:tr>
      <w:tr w:rsidR="00733207" w14:paraId="6F2F21EA"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C41E92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21</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7799E1F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de l'Alliance Chrétienne</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57EC36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Banfora/Comoé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4B1B3E3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105.100 MHz</w:t>
            </w:r>
          </w:p>
        </w:tc>
      </w:tr>
      <w:tr w:rsidR="00733207" w14:paraId="27F7C692"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E350EF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lastRenderedPageBreak/>
              <w:t>22</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548BBE1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Catholique </w:t>
            </w:r>
            <w:proofErr w:type="spellStart"/>
            <w:r>
              <w:rPr>
                <w:rFonts w:ascii="Rockwell" w:eastAsia="Times New Roman" w:hAnsi="Rockwell" w:cs="Times New Roman"/>
                <w:color w:val="000000"/>
                <w:lang w:eastAsia="fr-FR"/>
              </w:rPr>
              <w:t>Tériya</w:t>
            </w:r>
            <w:proofErr w:type="spellEnd"/>
            <w:r>
              <w:rPr>
                <w:rFonts w:ascii="Rockwell" w:eastAsia="Times New Roman" w:hAnsi="Rockwell" w:cs="Times New Roman"/>
                <w:color w:val="000000"/>
                <w:lang w:eastAsia="fr-FR"/>
              </w:rPr>
              <w:t xml:space="preserve"> (RCT)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007962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Banfora/Comoé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0E171E7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94.700 MHz</w:t>
            </w:r>
          </w:p>
        </w:tc>
      </w:tr>
      <w:tr w:rsidR="00733207" w14:paraId="634AE484"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78989A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23</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2271E75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Etoile</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6C4C62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Bobo-Dioulasso/Houet</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45F1AB7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91.800 MHz</w:t>
            </w:r>
          </w:p>
        </w:tc>
      </w:tr>
      <w:tr w:rsidR="00733207" w14:paraId="12FE504C"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B2D8D5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24</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2D9355D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Ridwane</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84FC9E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802803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100.300 MHz</w:t>
            </w:r>
          </w:p>
        </w:tc>
      </w:tr>
      <w:tr w:rsidR="00733207" w14:paraId="7E740597"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15B26A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25</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60E6097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Islamique </w:t>
            </w:r>
            <w:proofErr w:type="spellStart"/>
            <w:r>
              <w:rPr>
                <w:rFonts w:ascii="Rockwell" w:eastAsia="Times New Roman" w:hAnsi="Rockwell" w:cs="Times New Roman"/>
                <w:color w:val="000000"/>
                <w:lang w:eastAsia="fr-FR"/>
              </w:rPr>
              <w:t>Ahmadiyya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7404FFC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Léo/Sissili</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ED64DC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91.300 MHz</w:t>
            </w:r>
          </w:p>
        </w:tc>
      </w:tr>
      <w:tr w:rsidR="00733207" w14:paraId="5EE01CB1"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4077AC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26</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6DFCEC3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Islamique </w:t>
            </w:r>
            <w:proofErr w:type="spellStart"/>
            <w:r>
              <w:rPr>
                <w:rFonts w:ascii="Rockwell" w:eastAsia="Times New Roman" w:hAnsi="Rockwell" w:cs="Times New Roman"/>
                <w:color w:val="000000"/>
                <w:lang w:eastAsia="fr-FR"/>
              </w:rPr>
              <w:t>Ahmadiyya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AFE08D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Dori/Séno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1EA5EF7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101.00 MHz</w:t>
            </w:r>
          </w:p>
        </w:tc>
      </w:tr>
      <w:tr w:rsidR="00733207" w14:paraId="687DFB41"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6B98D3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27</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276A50F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Maria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34AFF39C" w14:textId="77777777" w:rsidR="00733207" w:rsidRDefault="00912BAE">
            <w:pPr>
              <w:spacing w:after="0" w:line="240" w:lineRule="auto"/>
              <w:jc w:val="both"/>
              <w:rPr>
                <w:rFonts w:ascii="Rockwell" w:eastAsia="Times New Roman" w:hAnsi="Rockwell" w:cs="Times New Roman"/>
                <w:color w:val="000000"/>
                <w:lang w:eastAsia="fr-FR"/>
              </w:rPr>
            </w:pPr>
            <w:proofErr w:type="spellStart"/>
            <w:r>
              <w:rPr>
                <w:rFonts w:ascii="Rockwell" w:eastAsia="Times New Roman" w:hAnsi="Rockwell" w:cs="Times New Roman"/>
                <w:color w:val="000000"/>
                <w:lang w:eastAsia="fr-FR"/>
              </w:rPr>
              <w:t>Koupèla</w:t>
            </w:r>
            <w:proofErr w:type="spellEnd"/>
            <w:r>
              <w:rPr>
                <w:rFonts w:ascii="Rockwell" w:eastAsia="Times New Roman" w:hAnsi="Rockwell" w:cs="Times New Roman"/>
                <w:color w:val="000000"/>
                <w:lang w:eastAsia="fr-FR"/>
              </w:rPr>
              <w:t>/Kouritenga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5D217B2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96.900 MHz</w:t>
            </w:r>
          </w:p>
        </w:tc>
      </w:tr>
      <w:tr w:rsidR="00733207" w14:paraId="4C7E50E9" w14:textId="77777777">
        <w:trPr>
          <w:trHeight w:val="482"/>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41CCB06"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28</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1FA579E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Notre Dame de Kaya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A433D49"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Kaya/Sanmatenga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092D83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102.900 MHz</w:t>
            </w:r>
          </w:p>
        </w:tc>
      </w:tr>
      <w:tr w:rsidR="00733207" w14:paraId="435BD452"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4F2CFB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29</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1216730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Kantigiya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246753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Nouna/Kossi</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640C350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88.800 MHz</w:t>
            </w:r>
          </w:p>
        </w:tc>
      </w:tr>
      <w:tr w:rsidR="00733207" w14:paraId="7D1CDD13"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4ED18CB"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30</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06DCF6C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de la Solidarité</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5F3A0E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Ouahigouya/Yatenga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4E71C199"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89.900 MHz</w:t>
            </w:r>
          </w:p>
        </w:tc>
      </w:tr>
      <w:tr w:rsidR="00733207" w14:paraId="5F1D203B"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75A219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31</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7C7186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BFF5DD6"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Fada/Fada N'Gourma</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EBFCCB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94.00 MHz</w:t>
            </w:r>
          </w:p>
        </w:tc>
      </w:tr>
      <w:tr w:rsidR="00733207" w14:paraId="23741955"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B6A6786"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32</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C1275B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Alliance Chrétienne (RAC)</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2B39E470"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Nouna/Kossi</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66FD6E0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106.700 MHz</w:t>
            </w:r>
          </w:p>
        </w:tc>
      </w:tr>
      <w:tr w:rsidR="00733207" w14:paraId="7EE139CA"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7FC8A3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33</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6E4F9D52"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Islamique </w:t>
            </w:r>
            <w:proofErr w:type="spellStart"/>
            <w:r>
              <w:rPr>
                <w:rFonts w:ascii="Rockwell" w:eastAsia="Times New Roman" w:hAnsi="Rockwell" w:cs="Times New Roman"/>
                <w:color w:val="000000"/>
                <w:lang w:eastAsia="fr-FR"/>
              </w:rPr>
              <w:t>Ahmadiyya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7F535336"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Dédougou/Mouhoun</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AAC4BB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107.200 MHz</w:t>
            </w:r>
          </w:p>
        </w:tc>
      </w:tr>
      <w:tr w:rsidR="00733207" w14:paraId="55B9C8A2"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172EED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34</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5140D29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Catholique </w:t>
            </w:r>
            <w:proofErr w:type="spellStart"/>
            <w:r>
              <w:rPr>
                <w:rFonts w:ascii="Rockwell" w:eastAsia="Times New Roman" w:hAnsi="Rockwell" w:cs="Times New Roman"/>
                <w:color w:val="000000"/>
                <w:lang w:eastAsia="fr-FR"/>
              </w:rPr>
              <w:t>Némaro</w:t>
            </w:r>
            <w:proofErr w:type="spellEnd"/>
            <w:r>
              <w:rPr>
                <w:rFonts w:ascii="Rockwell" w:eastAsia="Times New Roman" w:hAnsi="Rockwell" w:cs="Times New Roman"/>
                <w:color w:val="000000"/>
                <w:lang w:eastAsia="fr-FR"/>
              </w:rPr>
              <w:t xml:space="preserve"> </w:t>
            </w:r>
            <w:proofErr w:type="spellStart"/>
            <w:r>
              <w:rPr>
                <w:rFonts w:ascii="Rockwell" w:eastAsia="Times New Roman" w:hAnsi="Rockwell" w:cs="Times New Roman"/>
                <w:color w:val="000000"/>
                <w:lang w:eastAsia="fr-FR"/>
              </w:rPr>
              <w:t>Zien</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3EDCD98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Léo/Sissili</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992F47A"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101.300 MHz</w:t>
            </w:r>
          </w:p>
        </w:tc>
      </w:tr>
      <w:tr w:rsidR="00733207" w14:paraId="15EB24E1"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52C04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35</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28A80E7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El-Bethel</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523F791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6815585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95.700 MHz</w:t>
            </w:r>
          </w:p>
        </w:tc>
      </w:tr>
      <w:tr w:rsidR="00733207" w14:paraId="502B5FBF"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8F2775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36</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08D9603C"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IQRA</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64D9B9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3A57AA41"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96.100 MHz</w:t>
            </w:r>
          </w:p>
        </w:tc>
      </w:tr>
      <w:tr w:rsidR="00733207" w14:paraId="6D94E989"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B04FDF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37</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798F2BC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 (RED)</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048EEBE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Léo/Sissili</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79FCAD65"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97.8 MHz</w:t>
            </w:r>
          </w:p>
        </w:tc>
      </w:tr>
      <w:tr w:rsidR="00733207" w14:paraId="5A9B4AF2"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4D011B4"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38</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3D43CD47"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Radio Evangile Développement</w:t>
            </w:r>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6D27010B" w14:textId="77777777" w:rsidR="00733207" w:rsidRDefault="00912BAE">
            <w:pPr>
              <w:spacing w:after="0" w:line="240" w:lineRule="auto"/>
              <w:jc w:val="both"/>
              <w:rPr>
                <w:rFonts w:ascii="Rockwell" w:eastAsia="Times New Roman" w:hAnsi="Rockwell" w:cs="Times New Roman"/>
                <w:color w:val="000000"/>
                <w:lang w:eastAsia="fr-FR"/>
              </w:rPr>
            </w:pPr>
            <w:proofErr w:type="spellStart"/>
            <w:r>
              <w:rPr>
                <w:rFonts w:ascii="Rockwell" w:eastAsia="Times New Roman" w:hAnsi="Rockwell" w:cs="Times New Roman"/>
                <w:color w:val="000000"/>
                <w:lang w:eastAsia="fr-FR"/>
              </w:rPr>
              <w:t>Yako</w:t>
            </w:r>
            <w:proofErr w:type="spellEnd"/>
            <w:r>
              <w:rPr>
                <w:rFonts w:ascii="Rockwell" w:eastAsia="Times New Roman" w:hAnsi="Rockwell" w:cs="Times New Roman"/>
                <w:color w:val="000000"/>
                <w:lang w:eastAsia="fr-FR"/>
              </w:rPr>
              <w:t>/Passoré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0C60048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91.700 MHz</w:t>
            </w:r>
          </w:p>
        </w:tc>
      </w:tr>
      <w:tr w:rsidR="00733207" w14:paraId="21278DEA" w14:textId="77777777">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29708D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39</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473A3123"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Al </w:t>
            </w:r>
            <w:proofErr w:type="spellStart"/>
            <w:r>
              <w:rPr>
                <w:rFonts w:ascii="Rockwell" w:eastAsia="Times New Roman" w:hAnsi="Rockwell" w:cs="Times New Roman"/>
                <w:color w:val="000000"/>
                <w:lang w:eastAsia="fr-FR"/>
              </w:rPr>
              <w:t>Fadjr</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1E7BE52E"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Ouagadougou/Kadiogo</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1213EAE8"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101.6 MHz</w:t>
            </w:r>
          </w:p>
        </w:tc>
      </w:tr>
      <w:tr w:rsidR="00733207" w14:paraId="23A27371" w14:textId="77777777" w:rsidTr="00795618">
        <w:trPr>
          <w:trHeight w:val="60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57C165D"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40</w:t>
            </w:r>
          </w:p>
        </w:tc>
        <w:tc>
          <w:tcPr>
            <w:tcW w:w="4395" w:type="dxa"/>
            <w:tcBorders>
              <w:top w:val="single" w:sz="4" w:space="0" w:color="auto"/>
              <w:left w:val="nil"/>
              <w:bottom w:val="single" w:sz="4" w:space="0" w:color="auto"/>
              <w:right w:val="single" w:sz="4" w:space="0" w:color="auto"/>
            </w:tcBorders>
            <w:shd w:val="clear" w:color="auto" w:fill="FFFFFF" w:themeFill="background1"/>
            <w:noWrap/>
          </w:tcPr>
          <w:p w14:paraId="0472A4C9"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 xml:space="preserve">Radio </w:t>
            </w:r>
            <w:proofErr w:type="spellStart"/>
            <w:r>
              <w:rPr>
                <w:rFonts w:ascii="Rockwell" w:eastAsia="Times New Roman" w:hAnsi="Rockwell" w:cs="Times New Roman"/>
                <w:color w:val="000000"/>
                <w:lang w:eastAsia="fr-FR"/>
              </w:rPr>
              <w:t>Viim</w:t>
            </w:r>
            <w:proofErr w:type="spellEnd"/>
            <w:r>
              <w:rPr>
                <w:rFonts w:ascii="Rockwell" w:eastAsia="Times New Roman" w:hAnsi="Rockwell" w:cs="Times New Roman"/>
                <w:color w:val="000000"/>
                <w:lang w:eastAsia="fr-FR"/>
              </w:rPr>
              <w:t xml:space="preserve"> </w:t>
            </w:r>
            <w:proofErr w:type="spellStart"/>
            <w:r>
              <w:rPr>
                <w:rFonts w:ascii="Rockwell" w:eastAsia="Times New Roman" w:hAnsi="Rockwell" w:cs="Times New Roman"/>
                <w:color w:val="000000"/>
                <w:lang w:eastAsia="fr-FR"/>
              </w:rPr>
              <w:t>Koèga</w:t>
            </w:r>
            <w:proofErr w:type="spellEnd"/>
          </w:p>
        </w:tc>
        <w:tc>
          <w:tcPr>
            <w:tcW w:w="3402" w:type="dxa"/>
            <w:tcBorders>
              <w:top w:val="single" w:sz="4" w:space="0" w:color="auto"/>
              <w:left w:val="nil"/>
              <w:bottom w:val="single" w:sz="4" w:space="0" w:color="auto"/>
              <w:right w:val="single" w:sz="4" w:space="0" w:color="auto"/>
            </w:tcBorders>
            <w:shd w:val="clear" w:color="auto" w:fill="FFFFFF" w:themeFill="background1"/>
            <w:noWrap/>
          </w:tcPr>
          <w:p w14:paraId="3D2872EF" w14:textId="77777777" w:rsidR="00733207" w:rsidRDefault="00912BAE">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Koudougou/Boulkiemdé</w:t>
            </w:r>
          </w:p>
        </w:tc>
        <w:tc>
          <w:tcPr>
            <w:tcW w:w="1705" w:type="dxa"/>
            <w:tcBorders>
              <w:top w:val="single" w:sz="4" w:space="0" w:color="auto"/>
              <w:left w:val="nil"/>
              <w:bottom w:val="single" w:sz="4" w:space="0" w:color="auto"/>
              <w:right w:val="single" w:sz="4" w:space="0" w:color="auto"/>
            </w:tcBorders>
            <w:shd w:val="clear" w:color="auto" w:fill="FFFFFF" w:themeFill="background1"/>
            <w:noWrap/>
          </w:tcPr>
          <w:p w14:paraId="53CE1257" w14:textId="44955C1A" w:rsidR="00733207" w:rsidRPr="003F11D8" w:rsidRDefault="003F11D8" w:rsidP="003F11D8">
            <w:pPr>
              <w:spacing w:after="0" w:line="240" w:lineRule="auto"/>
              <w:jc w:val="both"/>
              <w:rPr>
                <w:rFonts w:ascii="Rockwell" w:eastAsia="Times New Roman" w:hAnsi="Rockwell" w:cs="Times New Roman"/>
                <w:color w:val="000000"/>
                <w:lang w:eastAsia="fr-FR"/>
              </w:rPr>
            </w:pPr>
            <w:r>
              <w:rPr>
                <w:rFonts w:ascii="Rockwell" w:eastAsia="Times New Roman" w:hAnsi="Rockwell" w:cs="Times New Roman"/>
                <w:color w:val="000000"/>
                <w:lang w:eastAsia="fr-FR"/>
              </w:rPr>
              <w:t>89.9 MHz</w:t>
            </w:r>
          </w:p>
        </w:tc>
      </w:tr>
    </w:tbl>
    <w:p w14:paraId="405E47FA" w14:textId="77777777" w:rsidR="00733207" w:rsidRDefault="00733207">
      <w:pPr>
        <w:spacing w:after="0" w:line="240" w:lineRule="auto"/>
        <w:jc w:val="both"/>
        <w:rPr>
          <w:rFonts w:ascii="Rockwell" w:hAnsi="Rockwell" w:cs="Times New Roman"/>
          <w:sz w:val="24"/>
          <w:szCs w:val="24"/>
        </w:rPr>
        <w:sectPr w:rsidR="00733207">
          <w:pgSz w:w="11906" w:h="16838"/>
          <w:pgMar w:top="1417" w:right="1417" w:bottom="1417" w:left="1417" w:header="708" w:footer="708" w:gutter="0"/>
          <w:cols w:space="708"/>
          <w:docGrid w:linePitch="360"/>
        </w:sectPr>
      </w:pPr>
    </w:p>
    <w:p w14:paraId="1338BCA3" w14:textId="77777777" w:rsidR="00733207" w:rsidRDefault="00912BAE">
      <w:pPr>
        <w:pStyle w:val="Paragraphedeliste"/>
        <w:numPr>
          <w:ilvl w:val="0"/>
          <w:numId w:val="53"/>
        </w:numPr>
        <w:spacing w:after="0" w:line="240" w:lineRule="auto"/>
        <w:ind w:left="0"/>
        <w:jc w:val="both"/>
        <w:rPr>
          <w:rFonts w:ascii="Rockwell" w:hAnsi="Rockwell" w:cs="Times New Roman"/>
          <w:b/>
          <w:sz w:val="24"/>
          <w:szCs w:val="24"/>
        </w:rPr>
      </w:pPr>
      <w:r>
        <w:rPr>
          <w:rFonts w:ascii="Rockwell" w:eastAsia="Times New Roman" w:hAnsi="Rockwell" w:cs="Times New Roman"/>
          <w:b/>
          <w:bCs/>
          <w:color w:val="000000"/>
          <w:sz w:val="24"/>
          <w:szCs w:val="24"/>
          <w:lang w:eastAsia="fr-FR"/>
        </w:rPr>
        <w:lastRenderedPageBreak/>
        <w:t>Radios communautaires : cinquante-un (51)</w:t>
      </w:r>
    </w:p>
    <w:p w14:paraId="02A97F0D" w14:textId="77777777" w:rsidR="00733207" w:rsidRDefault="00733207">
      <w:pPr>
        <w:pStyle w:val="Paragraphedeliste"/>
        <w:spacing w:after="0" w:line="240" w:lineRule="auto"/>
        <w:ind w:left="0"/>
        <w:jc w:val="both"/>
        <w:rPr>
          <w:rFonts w:ascii="Rockwell" w:hAnsi="Rockwell" w:cs="Times New Roman"/>
          <w:b/>
          <w:sz w:val="24"/>
          <w:szCs w:val="24"/>
        </w:rPr>
      </w:pPr>
    </w:p>
    <w:tbl>
      <w:tblPr>
        <w:tblW w:w="10627" w:type="dxa"/>
        <w:jc w:val="center"/>
        <w:tblLayout w:type="fixed"/>
        <w:tblCellMar>
          <w:left w:w="70" w:type="dxa"/>
          <w:right w:w="70" w:type="dxa"/>
        </w:tblCellMar>
        <w:tblLook w:val="04A0" w:firstRow="1" w:lastRow="0" w:firstColumn="1" w:lastColumn="0" w:noHBand="0" w:noVBand="1"/>
      </w:tblPr>
      <w:tblGrid>
        <w:gridCol w:w="1276"/>
        <w:gridCol w:w="3681"/>
        <w:gridCol w:w="713"/>
        <w:gridCol w:w="2830"/>
        <w:gridCol w:w="2127"/>
      </w:tblGrid>
      <w:tr w:rsidR="00733207" w14:paraId="19A49562"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000000" w:fill="BFBFBF"/>
            <w:noWrap/>
          </w:tcPr>
          <w:p w14:paraId="3B7BD44A"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4394" w:type="dxa"/>
            <w:gridSpan w:val="2"/>
            <w:tcBorders>
              <w:top w:val="single" w:sz="4" w:space="0" w:color="auto"/>
              <w:left w:val="nil"/>
              <w:bottom w:val="single" w:sz="4" w:space="0" w:color="auto"/>
              <w:right w:val="single" w:sz="4" w:space="0" w:color="auto"/>
            </w:tcBorders>
            <w:shd w:val="clear" w:color="000000" w:fill="BFBFBF"/>
            <w:noWrap/>
          </w:tcPr>
          <w:p w14:paraId="188BE810"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2830" w:type="dxa"/>
            <w:tcBorders>
              <w:top w:val="single" w:sz="4" w:space="0" w:color="auto"/>
              <w:left w:val="nil"/>
              <w:bottom w:val="single" w:sz="4" w:space="0" w:color="auto"/>
              <w:right w:val="single" w:sz="4" w:space="0" w:color="auto"/>
            </w:tcBorders>
            <w:shd w:val="clear" w:color="000000" w:fill="BFBFBF"/>
            <w:noWrap/>
          </w:tcPr>
          <w:p w14:paraId="4A527BBD"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2127" w:type="dxa"/>
            <w:tcBorders>
              <w:top w:val="single" w:sz="4" w:space="0" w:color="auto"/>
              <w:left w:val="nil"/>
              <w:bottom w:val="single" w:sz="4" w:space="0" w:color="auto"/>
              <w:right w:val="single" w:sz="4" w:space="0" w:color="auto"/>
            </w:tcBorders>
            <w:shd w:val="clear" w:color="000000" w:fill="BFBFBF"/>
            <w:noWrap/>
          </w:tcPr>
          <w:p w14:paraId="5961D7E7"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5E557055"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A03899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54C37B5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Salankoloto</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6A60A07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17F99F0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97.300 MHz</w:t>
            </w:r>
          </w:p>
        </w:tc>
      </w:tr>
      <w:tr w:rsidR="00733207" w14:paraId="45AC8D5D"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EC3429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73DEB9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La Voix du Paysan</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42842B5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6380223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97.00 MHz</w:t>
            </w:r>
          </w:p>
        </w:tc>
      </w:tr>
      <w:tr w:rsidR="00733207" w14:paraId="234DAEAF"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7B8014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3915C82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Vive le paysan</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13AB4A7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Saponé /Bazèga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D54A51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107.0 MHz</w:t>
            </w:r>
          </w:p>
        </w:tc>
      </w:tr>
      <w:tr w:rsidR="00733207" w14:paraId="5238A648"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6332ED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2497C71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Palabre</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6DBD9BF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Koudougou/Boulkiemdé</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1E16229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92.2 MHz</w:t>
            </w:r>
          </w:p>
        </w:tc>
      </w:tr>
      <w:tr w:rsidR="00733207" w14:paraId="4BDDC366"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2500C4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33F487E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Munyu</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470F00B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Banfora/Comoé</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59B24C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95.2 MHz</w:t>
            </w:r>
          </w:p>
        </w:tc>
      </w:tr>
      <w:tr w:rsidR="00733207" w14:paraId="7D69410E"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59DFE3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692F505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Manegda</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572AD05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Kaya/Sanmatenga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08730D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99.4 MHz</w:t>
            </w:r>
          </w:p>
        </w:tc>
      </w:tr>
      <w:tr w:rsidR="00733207" w14:paraId="4E04A511"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9F1A29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55F7089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kakoadb</w:t>
            </w:r>
            <w:proofErr w:type="spellEnd"/>
            <w:r>
              <w:rPr>
                <w:rFonts w:ascii="Rockwell" w:eastAsia="Times New Roman" w:hAnsi="Rockwell" w:cs="Times New Roman"/>
                <w:color w:val="000000"/>
                <w:sz w:val="24"/>
                <w:szCs w:val="24"/>
                <w:lang w:eastAsia="fr-FR"/>
              </w:rPr>
              <w:t xml:space="preserve"> Yam </w:t>
            </w:r>
            <w:proofErr w:type="spellStart"/>
            <w:r>
              <w:rPr>
                <w:rFonts w:ascii="Rockwell" w:eastAsia="Times New Roman" w:hAnsi="Rockwell" w:cs="Times New Roman"/>
                <w:color w:val="000000"/>
                <w:sz w:val="24"/>
                <w:szCs w:val="24"/>
                <w:lang w:eastAsia="fr-FR"/>
              </w:rPr>
              <w:t>Vénégré</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011085B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Ziniaré/Oubritenga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1E735B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107.7 MHz</w:t>
            </w:r>
          </w:p>
        </w:tc>
      </w:tr>
      <w:tr w:rsidR="00733207" w14:paraId="7A00C499"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33D5EA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046538F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Goulou</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3A4603D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Pô/Nahouri</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B0F035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99.500 MHz</w:t>
            </w:r>
          </w:p>
        </w:tc>
      </w:tr>
      <w:tr w:rsidR="00733207" w14:paraId="7C7BAA1E"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A831C2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62DC576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Nayinéré</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3A1172E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Boulsa/Namentenga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A716D5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92.00 MHz</w:t>
            </w:r>
          </w:p>
        </w:tc>
      </w:tr>
      <w:tr w:rsidR="00733207" w14:paraId="397F945E"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F3A3E1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686D595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Walde</w:t>
            </w:r>
            <w:proofErr w:type="spellEnd"/>
            <w:r>
              <w:rPr>
                <w:rFonts w:ascii="Rockwell" w:eastAsia="Times New Roman" w:hAnsi="Rockwell" w:cs="Times New Roman"/>
                <w:color w:val="000000"/>
                <w:sz w:val="24"/>
                <w:szCs w:val="24"/>
                <w:lang w:eastAsia="fr-FR"/>
              </w:rPr>
              <w:t xml:space="preserve"> EJEF</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460A3088"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Gorom-Gorm</w:t>
            </w:r>
            <w:proofErr w:type="spellEnd"/>
            <w:r>
              <w:rPr>
                <w:rFonts w:ascii="Rockwell" w:eastAsia="Times New Roman" w:hAnsi="Rockwell" w:cs="Times New Roman"/>
                <w:color w:val="000000"/>
                <w:sz w:val="24"/>
                <w:szCs w:val="24"/>
                <w:lang w:eastAsia="fr-FR"/>
              </w:rPr>
              <w:t>/</w:t>
            </w:r>
            <w:proofErr w:type="spellStart"/>
            <w:r>
              <w:rPr>
                <w:rFonts w:ascii="Rockwell" w:eastAsia="Times New Roman" w:hAnsi="Rockwell" w:cs="Times New Roman"/>
                <w:color w:val="000000"/>
                <w:sz w:val="24"/>
                <w:szCs w:val="24"/>
                <w:lang w:eastAsia="fr-FR"/>
              </w:rPr>
              <w:t>Oudalan</w:t>
            </w:r>
            <w:proofErr w:type="spellEnd"/>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0FF4B2E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92.200 MHz</w:t>
            </w:r>
          </w:p>
        </w:tc>
      </w:tr>
      <w:tr w:rsidR="00733207" w14:paraId="4F323123"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E6BB52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11</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3512C084" w14:textId="77777777" w:rsidR="00733207" w:rsidRDefault="00912BAE">
            <w:pPr>
              <w:spacing w:after="0" w:line="240" w:lineRule="auto"/>
              <w:jc w:val="both"/>
              <w:rPr>
                <w:rFonts w:ascii="Rockwell" w:eastAsia="Times New Roman" w:hAnsi="Rockwell" w:cs="Times New Roman"/>
                <w:color w:val="000000"/>
                <w:sz w:val="16"/>
                <w:szCs w:val="16"/>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Gambidi</w:t>
            </w:r>
            <w:proofErr w:type="spellEnd"/>
          </w:p>
          <w:p w14:paraId="2B7045E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0D372A8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186754F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97.700 MHz</w:t>
            </w:r>
          </w:p>
        </w:tc>
      </w:tr>
      <w:tr w:rsidR="00733207" w14:paraId="3FD0A04D" w14:textId="77777777">
        <w:trPr>
          <w:trHeight w:val="515"/>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93DD2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12</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6A9858B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des cotonniers</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71914B9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Solenzo/Banwa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6E0E90A9" w14:textId="77777777" w:rsidR="00733207" w:rsidRDefault="00912BAE">
            <w:pPr>
              <w:spacing w:after="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95.100 MHz</w:t>
            </w:r>
          </w:p>
        </w:tc>
      </w:tr>
      <w:tr w:rsidR="00733207" w14:paraId="49B31D22"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1A27C0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13</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117CA1B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Némaro</w:t>
            </w:r>
            <w:proofErr w:type="spellEnd"/>
            <w:r>
              <w:rPr>
                <w:rFonts w:ascii="Rockwell" w:eastAsia="Times New Roman" w:hAnsi="Rockwell" w:cs="Times New Roman"/>
                <w:color w:val="000000"/>
                <w:sz w:val="24"/>
                <w:szCs w:val="24"/>
                <w:lang w:eastAsia="fr-FR"/>
              </w:rPr>
              <w:t xml:space="preserve"> de Cassou (RNC)</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7553968E"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Kassou</w:t>
            </w:r>
            <w:proofErr w:type="spellEnd"/>
            <w:r>
              <w:rPr>
                <w:rFonts w:ascii="Rockwell" w:eastAsia="Times New Roman" w:hAnsi="Rockwell" w:cs="Times New Roman"/>
                <w:color w:val="000000"/>
                <w:sz w:val="24"/>
                <w:szCs w:val="24"/>
                <w:lang w:eastAsia="fr-FR"/>
              </w:rPr>
              <w:t>/</w:t>
            </w:r>
            <w:proofErr w:type="spellStart"/>
            <w:r>
              <w:rPr>
                <w:rFonts w:ascii="Rockwell" w:eastAsia="Times New Roman" w:hAnsi="Rockwell" w:cs="Times New Roman"/>
                <w:color w:val="000000"/>
                <w:sz w:val="24"/>
                <w:szCs w:val="24"/>
                <w:lang w:eastAsia="fr-FR"/>
              </w:rPr>
              <w:t>Ziro</w:t>
            </w:r>
            <w:proofErr w:type="spellEnd"/>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2C3B99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94.200 MHz</w:t>
            </w:r>
          </w:p>
        </w:tc>
      </w:tr>
      <w:tr w:rsidR="00733207" w14:paraId="6BA789AF"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7718E4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14</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5A6CD77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Pengdwendé</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1C93ED8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Sabou/</w:t>
            </w:r>
            <w:proofErr w:type="spellStart"/>
            <w:r>
              <w:rPr>
                <w:rFonts w:ascii="Rockwell" w:eastAsia="Times New Roman" w:hAnsi="Rockwell" w:cs="Times New Roman"/>
                <w:color w:val="000000"/>
                <w:sz w:val="24"/>
                <w:szCs w:val="24"/>
                <w:lang w:eastAsia="fr-FR"/>
              </w:rPr>
              <w:t>Bulkiemdé</w:t>
            </w:r>
            <w:proofErr w:type="spellEnd"/>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20CAF2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97.400 MHz</w:t>
            </w:r>
          </w:p>
        </w:tc>
      </w:tr>
      <w:tr w:rsidR="00733207" w14:paraId="07751554"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559F2C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15</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36C3FEB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Laafi</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1810337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Zorgho/Ganzourgou</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093F6E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95.6 MHz</w:t>
            </w:r>
          </w:p>
        </w:tc>
      </w:tr>
      <w:tr w:rsidR="00733207" w14:paraId="101FFD94"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BFFD9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16</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2D6FC3E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des Ecoles</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33BA293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07CAF4D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106.400 MHz</w:t>
            </w:r>
          </w:p>
        </w:tc>
      </w:tr>
      <w:tr w:rsidR="00733207" w14:paraId="0EB2F89B"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4FDAF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17</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308F815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Loudon</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0C625B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Sapouy/ZIRO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34507C0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104.9 MHz</w:t>
            </w:r>
          </w:p>
        </w:tc>
      </w:tr>
      <w:tr w:rsidR="00733207" w14:paraId="003C7B44"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F8008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18</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7F398AB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Pag-la-</w:t>
            </w:r>
            <w:proofErr w:type="spellStart"/>
            <w:r>
              <w:rPr>
                <w:rFonts w:ascii="Rockwell" w:eastAsia="Times New Roman" w:hAnsi="Rockwell" w:cs="Times New Roman"/>
                <w:color w:val="000000"/>
                <w:sz w:val="24"/>
                <w:szCs w:val="24"/>
                <w:lang w:eastAsia="fr-FR"/>
              </w:rPr>
              <w:t>Yiri</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5D8C885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Zabré/Boulgou</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357895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94.300 MHz</w:t>
            </w:r>
          </w:p>
        </w:tc>
      </w:tr>
      <w:tr w:rsidR="00733207" w14:paraId="3CA650D7"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B519D1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19</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75038C4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FM Femmes et Développement communautaire</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242AB9F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Arbollé/Passoré</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162C4D8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96.9 MHz</w:t>
            </w:r>
          </w:p>
        </w:tc>
      </w:tr>
      <w:tr w:rsidR="00733207" w14:paraId="7BFC6247"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780F1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20</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3FE6B3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Djawoampo</w:t>
            </w:r>
            <w:proofErr w:type="spellEnd"/>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1074A17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Bogandé/Gnagna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6562023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98.00 MHz</w:t>
            </w:r>
          </w:p>
        </w:tc>
      </w:tr>
      <w:tr w:rsidR="00733207" w14:paraId="4B0FF071"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C533D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21</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406FD21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Lutte contre la désertification (RLCD)</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1CDC2B6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Djibo/Soum</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578EC5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98.6 MHz</w:t>
            </w:r>
          </w:p>
        </w:tc>
      </w:tr>
      <w:tr w:rsidR="00733207" w14:paraId="5D36CF68" w14:textId="77777777">
        <w:trPr>
          <w:trHeight w:val="395"/>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D87FE4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lastRenderedPageBreak/>
              <w:t>22</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5330B3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Manivelle</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3241140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Dano/</w:t>
            </w:r>
            <w:proofErr w:type="spellStart"/>
            <w:r>
              <w:rPr>
                <w:rFonts w:ascii="Rockwell" w:eastAsia="Times New Roman" w:hAnsi="Rockwell" w:cs="Times New Roman"/>
                <w:color w:val="000000"/>
                <w:sz w:val="24"/>
                <w:szCs w:val="24"/>
                <w:lang w:eastAsia="fr-FR"/>
              </w:rPr>
              <w:t>Ioba</w:t>
            </w:r>
            <w:proofErr w:type="spellEnd"/>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05A9C6A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92.00 MHz</w:t>
            </w:r>
          </w:p>
        </w:tc>
      </w:tr>
      <w:tr w:rsidR="00733207" w14:paraId="2BE7BE4F" w14:textId="77777777">
        <w:trPr>
          <w:trHeight w:val="616"/>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ABFA15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23</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449DA1A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Tin-</w:t>
            </w:r>
            <w:proofErr w:type="spellStart"/>
            <w:r>
              <w:rPr>
                <w:rFonts w:ascii="Rockwell" w:eastAsia="Times New Roman" w:hAnsi="Rockwell" w:cs="Times New Roman"/>
                <w:color w:val="000000"/>
                <w:sz w:val="24"/>
                <w:szCs w:val="24"/>
                <w:lang w:eastAsia="fr-FR"/>
              </w:rPr>
              <w:t>Taani</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6E4E969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Kantchari/Tapoa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57F34D4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100.00 MHz</w:t>
            </w:r>
          </w:p>
        </w:tc>
      </w:tr>
      <w:tr w:rsidR="00733207" w14:paraId="366B1CF9" w14:textId="77777777">
        <w:trPr>
          <w:trHeight w:val="427"/>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47CB4A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24</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6F2BC10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Salaki</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7C996A0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Dédougou/Mouhoun</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485A7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100.100 MHz</w:t>
            </w:r>
          </w:p>
        </w:tc>
      </w:tr>
      <w:tr w:rsidR="00733207" w14:paraId="22E71E29"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6435C1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12FC95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Eveil</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414B442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Bogandé/Gnagna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F816AB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101.500 MHz</w:t>
            </w:r>
          </w:p>
        </w:tc>
      </w:tr>
      <w:tr w:rsidR="00733207" w14:paraId="1B9D1865"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7CC92A" w14:textId="77777777" w:rsidR="00733207" w:rsidRDefault="00912BAE">
            <w:pPr>
              <w:spacing w:after="0" w:line="240" w:lineRule="auto"/>
              <w:jc w:val="both"/>
              <w:rPr>
                <w:rFonts w:ascii="Rockwell" w:eastAsia="Times New Roman" w:hAnsi="Rockwell" w:cs="Times New Roman"/>
                <w:color w:val="FF0000"/>
                <w:sz w:val="24"/>
                <w:szCs w:val="24"/>
                <w:lang w:eastAsia="fr-FR"/>
              </w:rPr>
            </w:pPr>
            <w:r>
              <w:rPr>
                <w:rFonts w:ascii="Rockwell" w:eastAsia="Times New Roman" w:hAnsi="Rockwell" w:cs="Times New Roman"/>
                <w:color w:val="000000" w:themeColor="text1"/>
                <w:sz w:val="24"/>
                <w:szCs w:val="24"/>
                <w:lang w:eastAsia="fr-FR"/>
              </w:rPr>
              <w:t>26</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93E0190" w14:textId="77777777" w:rsidR="00733207" w:rsidRDefault="00912BAE">
            <w:pPr>
              <w:spacing w:after="0" w:line="240" w:lineRule="auto"/>
              <w:jc w:val="both"/>
              <w:rPr>
                <w:rFonts w:ascii="Rockwell" w:eastAsia="Times New Roman" w:hAnsi="Rockwell" w:cs="Times New Roman"/>
                <w:color w:val="FF0000"/>
                <w:sz w:val="24"/>
                <w:szCs w:val="24"/>
                <w:lang w:eastAsia="fr-FR"/>
              </w:rPr>
            </w:pPr>
            <w:r>
              <w:rPr>
                <w:rFonts w:ascii="Rockwell" w:eastAsia="Times New Roman" w:hAnsi="Rockwell" w:cs="Times New Roman"/>
                <w:color w:val="000000" w:themeColor="text1"/>
                <w:sz w:val="24"/>
                <w:szCs w:val="24"/>
                <w:lang w:eastAsia="fr-FR"/>
              </w:rPr>
              <w:t xml:space="preserve">Radio </w:t>
            </w:r>
            <w:proofErr w:type="spellStart"/>
            <w:r>
              <w:rPr>
                <w:rFonts w:ascii="Rockwell" w:eastAsia="Times New Roman" w:hAnsi="Rockwell" w:cs="Times New Roman"/>
                <w:color w:val="000000" w:themeColor="text1"/>
                <w:sz w:val="24"/>
                <w:szCs w:val="24"/>
                <w:lang w:eastAsia="fr-FR"/>
              </w:rPr>
              <w:t>Nerwaya</w:t>
            </w:r>
            <w:proofErr w:type="spellEnd"/>
            <w:r>
              <w:rPr>
                <w:rFonts w:ascii="Rockwell" w:eastAsia="Times New Roman" w:hAnsi="Rockwell" w:cs="Times New Roman"/>
                <w:color w:val="000000" w:themeColor="text1"/>
                <w:sz w:val="24"/>
                <w:szCs w:val="24"/>
                <w:lang w:eastAsia="fr-FR"/>
              </w:rPr>
              <w:t xml:space="preserve"> de Kongoussi</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4ACEB8B8" w14:textId="77777777" w:rsidR="00733207" w:rsidRDefault="00912BAE">
            <w:pPr>
              <w:spacing w:after="0" w:line="240" w:lineRule="auto"/>
              <w:jc w:val="both"/>
              <w:rPr>
                <w:rFonts w:ascii="Rockwell" w:eastAsia="Times New Roman" w:hAnsi="Rockwell" w:cs="Times New Roman"/>
                <w:color w:val="FF0000"/>
                <w:sz w:val="24"/>
                <w:szCs w:val="24"/>
                <w:lang w:eastAsia="fr-FR"/>
              </w:rPr>
            </w:pPr>
            <w:r>
              <w:rPr>
                <w:rFonts w:ascii="Rockwell" w:eastAsia="Times New Roman" w:hAnsi="Rockwell" w:cs="Times New Roman"/>
                <w:color w:val="000000" w:themeColor="text1"/>
                <w:sz w:val="24"/>
                <w:szCs w:val="24"/>
                <w:lang w:eastAsia="fr-FR"/>
              </w:rPr>
              <w:t>Kongoussi/Bam</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79148A7" w14:textId="77777777" w:rsidR="00733207" w:rsidRDefault="00912BAE">
            <w:pPr>
              <w:spacing w:after="0" w:line="240" w:lineRule="auto"/>
              <w:jc w:val="both"/>
              <w:rPr>
                <w:rFonts w:ascii="Rockwell" w:eastAsia="Times New Roman" w:hAnsi="Rockwell" w:cs="Times New Roman"/>
                <w:color w:val="FF0000"/>
                <w:sz w:val="24"/>
                <w:szCs w:val="24"/>
                <w:lang w:eastAsia="fr-FR"/>
              </w:rPr>
            </w:pPr>
            <w:r>
              <w:rPr>
                <w:rFonts w:ascii="Rockwell" w:eastAsia="Times New Roman" w:hAnsi="Rockwell" w:cs="Times New Roman"/>
                <w:color w:val="000000" w:themeColor="text1"/>
                <w:sz w:val="24"/>
                <w:szCs w:val="24"/>
                <w:lang w:eastAsia="fr-FR"/>
              </w:rPr>
              <w:t>99.700 MHz</w:t>
            </w:r>
          </w:p>
        </w:tc>
      </w:tr>
      <w:tr w:rsidR="00733207" w14:paraId="623560AC"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4BD998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27</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8B8C5A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Pognéré</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5382CB2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Pouytenga/Kouritenga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5BB8F900" w14:textId="77777777" w:rsidR="00733207" w:rsidRDefault="00912BAE">
            <w:pPr>
              <w:spacing w:after="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100.200 MHz</w:t>
            </w:r>
          </w:p>
        </w:tc>
      </w:tr>
      <w:tr w:rsidR="00733207" w14:paraId="6AD009C7"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4CA810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28</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7C3A0A9"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Wuelo</w:t>
            </w:r>
            <w:proofErr w:type="spellEnd"/>
            <w:r>
              <w:rPr>
                <w:rFonts w:ascii="Rockwell" w:eastAsia="Times New Roman" w:hAnsi="Rockwell" w:cs="Times New Roman"/>
                <w:color w:val="000000"/>
                <w:sz w:val="24"/>
                <w:szCs w:val="24"/>
                <w:lang w:eastAsia="fr-FR"/>
              </w:rPr>
              <w:t>-Ho</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06F74E10"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Bondounkuy</w:t>
            </w:r>
            <w:proofErr w:type="spellEnd"/>
            <w:r>
              <w:rPr>
                <w:rFonts w:ascii="Rockwell" w:eastAsia="Times New Roman" w:hAnsi="Rockwell" w:cs="Times New Roman"/>
                <w:color w:val="000000"/>
                <w:sz w:val="24"/>
                <w:szCs w:val="24"/>
                <w:lang w:eastAsia="fr-FR"/>
              </w:rPr>
              <w:t>/Mouhoun</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587A670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90.8 MHz</w:t>
            </w:r>
          </w:p>
        </w:tc>
      </w:tr>
      <w:tr w:rsidR="00733207" w14:paraId="340D856D"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A14100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29</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7EB6C1D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Baasnéré</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443645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Tougouri/Namentenga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110FED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98.500 MHz</w:t>
            </w:r>
          </w:p>
        </w:tc>
      </w:tr>
      <w:tr w:rsidR="00733207" w14:paraId="688096E3"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5C4823D" w14:textId="77777777" w:rsidR="00733207" w:rsidRDefault="00733207">
            <w:pPr>
              <w:spacing w:after="0" w:line="240" w:lineRule="auto"/>
              <w:jc w:val="both"/>
              <w:rPr>
                <w:rFonts w:ascii="Rockwell" w:eastAsia="Times New Roman" w:hAnsi="Rockwell" w:cs="Times New Roman"/>
                <w:color w:val="000000"/>
                <w:sz w:val="16"/>
                <w:szCs w:val="16"/>
                <w:lang w:eastAsia="fr-FR"/>
              </w:rPr>
            </w:pPr>
          </w:p>
          <w:p w14:paraId="5EC5174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30</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4A1A023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Bama</w:t>
            </w:r>
            <w:proofErr w:type="spellEnd"/>
            <w:r>
              <w:rPr>
                <w:rFonts w:ascii="Rockwell" w:eastAsia="Times New Roman" w:hAnsi="Rockwell" w:cs="Times New Roman"/>
                <w:color w:val="000000"/>
                <w:sz w:val="24"/>
                <w:szCs w:val="24"/>
                <w:lang w:eastAsia="fr-FR"/>
              </w:rPr>
              <w:t xml:space="preserve"> Pilé</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62D2C2A7"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Bama</w:t>
            </w:r>
            <w:proofErr w:type="spellEnd"/>
            <w:r>
              <w:rPr>
                <w:rFonts w:ascii="Rockwell" w:eastAsia="Times New Roman" w:hAnsi="Rockwell" w:cs="Times New Roman"/>
                <w:color w:val="000000"/>
                <w:sz w:val="24"/>
                <w:szCs w:val="24"/>
                <w:lang w:eastAsia="fr-FR"/>
              </w:rPr>
              <w:t>/Houet</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A826AFE" w14:textId="77777777" w:rsidR="00733207" w:rsidRDefault="00733207">
            <w:pPr>
              <w:spacing w:after="0" w:line="240" w:lineRule="auto"/>
              <w:jc w:val="both"/>
              <w:rPr>
                <w:rFonts w:ascii="Rockwell" w:eastAsia="Times New Roman" w:hAnsi="Rockwell" w:cs="Times New Roman"/>
                <w:color w:val="000000"/>
                <w:sz w:val="16"/>
                <w:szCs w:val="16"/>
                <w:lang w:eastAsia="fr-FR"/>
              </w:rPr>
            </w:pPr>
          </w:p>
          <w:p w14:paraId="084F627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97.100 MHz</w:t>
            </w:r>
          </w:p>
        </w:tc>
      </w:tr>
      <w:tr w:rsidR="00733207" w14:paraId="45085327"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8297CC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31</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AA3960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Buamitandi</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50BEB6C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Kantchari/Tapoa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3F76A0E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93.500 MHz</w:t>
            </w:r>
          </w:p>
        </w:tc>
      </w:tr>
      <w:tr w:rsidR="00733207" w14:paraId="6C4D4444"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B6ADBB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32</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7D7B6EB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FADIMA FM</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03544DA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Koubri/Kadiogo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54340FC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106.00 MHz</w:t>
            </w:r>
          </w:p>
        </w:tc>
      </w:tr>
      <w:tr w:rsidR="00733207" w14:paraId="15FF05F1"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B40DDC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33</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3289563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Radio ZAAM</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59BE437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Pissila/Sanmatenga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33010B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106.500 MHz</w:t>
            </w:r>
          </w:p>
        </w:tc>
      </w:tr>
      <w:tr w:rsidR="00733207" w14:paraId="43CF7D16"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393BBF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34</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059E4B7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Dounia FM</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24C20D8B"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Boussé</w:t>
            </w:r>
            <w:proofErr w:type="spellEnd"/>
            <w:r>
              <w:rPr>
                <w:rFonts w:ascii="Rockwell" w:eastAsia="Times New Roman" w:hAnsi="Rockwell" w:cs="Times New Roman"/>
                <w:color w:val="000000"/>
                <w:sz w:val="24"/>
                <w:szCs w:val="24"/>
                <w:lang w:eastAsia="fr-FR"/>
              </w:rPr>
              <w:t>/Kourwéogo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38E43E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89.300 MHz</w:t>
            </w:r>
          </w:p>
        </w:tc>
      </w:tr>
      <w:tr w:rsidR="00733207" w14:paraId="4707F6A9"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9FE87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35</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0492406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Liberté</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79BC585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99728E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92.800 MHz</w:t>
            </w:r>
          </w:p>
        </w:tc>
      </w:tr>
      <w:tr w:rsidR="00733207" w14:paraId="3F16889F"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8E90B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36</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352250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Manupugisa</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11635D0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Piéla/Gnagna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BF3B29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105.100 MHz</w:t>
            </w:r>
          </w:p>
        </w:tc>
      </w:tr>
      <w:tr w:rsidR="00733207" w14:paraId="4FA53FAD"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E83FFB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37</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08F62C6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Tin Tua</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67116CB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Fada N'Gourma/Gourma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2847C6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105.900 MHz</w:t>
            </w:r>
          </w:p>
        </w:tc>
      </w:tr>
      <w:tr w:rsidR="00733207" w14:paraId="45D9160D"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188BBE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38</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459D172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M'</w:t>
            </w:r>
            <w:proofErr w:type="spellStart"/>
            <w:r>
              <w:rPr>
                <w:rFonts w:ascii="Rockwell" w:eastAsia="Times New Roman" w:hAnsi="Rockwell" w:cs="Times New Roman"/>
                <w:color w:val="000000"/>
                <w:sz w:val="24"/>
                <w:szCs w:val="24"/>
                <w:lang w:eastAsia="fr-FR"/>
              </w:rPr>
              <w:t>Ballo</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Anndal</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368F3B7E"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Tangangari</w:t>
            </w:r>
            <w:proofErr w:type="spellEnd"/>
            <w:r>
              <w:rPr>
                <w:rFonts w:ascii="Rockwell" w:eastAsia="Times New Roman" w:hAnsi="Rockwell" w:cs="Times New Roman"/>
                <w:color w:val="000000"/>
                <w:sz w:val="24"/>
                <w:szCs w:val="24"/>
                <w:lang w:eastAsia="fr-FR"/>
              </w:rPr>
              <w:t>/Yagha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2FEA2D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92.500 MHz</w:t>
            </w:r>
          </w:p>
        </w:tc>
      </w:tr>
      <w:tr w:rsidR="00733207" w14:paraId="2ACCC724"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42FCF3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39</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292CFFF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La Voix des Hippopotames</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3E648D28"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Bama</w:t>
            </w:r>
            <w:proofErr w:type="spellEnd"/>
            <w:r>
              <w:rPr>
                <w:rFonts w:ascii="Rockwell" w:eastAsia="Times New Roman" w:hAnsi="Rockwell" w:cs="Times New Roman"/>
                <w:color w:val="000000"/>
                <w:sz w:val="24"/>
                <w:szCs w:val="24"/>
                <w:lang w:eastAsia="fr-FR"/>
              </w:rPr>
              <w:t>/Houet</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32881CF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89.200 MHz</w:t>
            </w:r>
          </w:p>
        </w:tc>
      </w:tr>
      <w:tr w:rsidR="00733207" w14:paraId="69254276"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00708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40</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64E959E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Buayaba</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672A1C7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Diapaga/Tapoa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5592507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96.2 MHz</w:t>
            </w:r>
          </w:p>
        </w:tc>
      </w:tr>
      <w:tr w:rsidR="00733207" w14:paraId="0D8E6F43"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5739E4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41</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4F8BFBD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Intégration (</w:t>
            </w:r>
            <w:proofErr w:type="spellStart"/>
            <w:r>
              <w:rPr>
                <w:rFonts w:ascii="Rockwell" w:eastAsia="Times New Roman" w:hAnsi="Rockwell" w:cs="Times New Roman"/>
                <w:color w:val="000000"/>
                <w:sz w:val="24"/>
                <w:szCs w:val="24"/>
                <w:lang w:eastAsia="fr-FR"/>
              </w:rPr>
              <w:t>Zekoula</w:t>
            </w:r>
            <w:proofErr w:type="spellEnd"/>
            <w:r>
              <w:rPr>
                <w:rFonts w:ascii="Rockwell" w:eastAsia="Times New Roman" w:hAnsi="Rockwell" w:cs="Times New Roman"/>
                <w:color w:val="000000"/>
                <w:sz w:val="24"/>
                <w:szCs w:val="24"/>
                <w:lang w:eastAsia="fr-FR"/>
              </w:rPr>
              <w:t xml:space="preserve"> FM)</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484905C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Bittou/Boulgou</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346E7BC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88.00 MHz</w:t>
            </w:r>
          </w:p>
        </w:tc>
      </w:tr>
      <w:tr w:rsidR="00733207" w14:paraId="7B9D8E01"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C4F102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42</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702B14C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Dauphin FM</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3FC854F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Koupéla/Kouritenga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037005D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90.6 MHz</w:t>
            </w:r>
          </w:p>
        </w:tc>
      </w:tr>
      <w:tr w:rsidR="00733207" w14:paraId="6202C2A6"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65DA85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43</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320FBB5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Sud FM</w:t>
            </w:r>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2092D9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Nobéré/Zoundwéogo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3CA0059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89.4 MHz</w:t>
            </w:r>
          </w:p>
        </w:tc>
      </w:tr>
      <w:tr w:rsidR="00733207" w14:paraId="685FBD10"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EF249E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44</w:t>
            </w:r>
          </w:p>
        </w:tc>
        <w:tc>
          <w:tcPr>
            <w:tcW w:w="3681" w:type="dxa"/>
            <w:tcBorders>
              <w:top w:val="single" w:sz="4" w:space="0" w:color="auto"/>
              <w:left w:val="nil"/>
              <w:bottom w:val="single" w:sz="4" w:space="0" w:color="auto"/>
              <w:right w:val="single" w:sz="4" w:space="0" w:color="auto"/>
            </w:tcBorders>
            <w:shd w:val="clear" w:color="auto" w:fill="FFFFFF" w:themeFill="background1"/>
            <w:noWrap/>
          </w:tcPr>
          <w:p w14:paraId="5008DB9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Argoutar</w:t>
            </w:r>
            <w:proofErr w:type="spellEnd"/>
          </w:p>
        </w:tc>
        <w:tc>
          <w:tcPr>
            <w:tcW w:w="3543" w:type="dxa"/>
            <w:gridSpan w:val="2"/>
            <w:tcBorders>
              <w:top w:val="single" w:sz="4" w:space="0" w:color="auto"/>
              <w:left w:val="nil"/>
              <w:bottom w:val="single" w:sz="4" w:space="0" w:color="auto"/>
              <w:right w:val="single" w:sz="4" w:space="0" w:color="auto"/>
            </w:tcBorders>
            <w:shd w:val="clear" w:color="auto" w:fill="FFFFFF" w:themeFill="background1"/>
            <w:noWrap/>
          </w:tcPr>
          <w:p w14:paraId="7EDDC33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Dissin/</w:t>
            </w:r>
            <w:proofErr w:type="spellStart"/>
            <w:r>
              <w:rPr>
                <w:rFonts w:ascii="Rockwell" w:eastAsia="Times New Roman" w:hAnsi="Rockwell" w:cs="Times New Roman"/>
                <w:color w:val="000000"/>
                <w:sz w:val="24"/>
                <w:szCs w:val="24"/>
                <w:lang w:eastAsia="fr-FR"/>
              </w:rPr>
              <w:t>Ioba</w:t>
            </w:r>
            <w:proofErr w:type="spellEnd"/>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1C97032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105.1 MHz</w:t>
            </w:r>
          </w:p>
        </w:tc>
      </w:tr>
      <w:tr w:rsidR="00733207" w14:paraId="5F78EA6C"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BE4F1D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lastRenderedPageBreak/>
              <w:t>45</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591FB06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Développement Solidaire Durable (Radio DEVSO)</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2FC0638C"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Nadiagou</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Pama</w:t>
            </w:r>
            <w:proofErr w:type="spellEnd"/>
            <w:r>
              <w:rPr>
                <w:rFonts w:ascii="Rockwell" w:eastAsia="Times New Roman" w:hAnsi="Rockwell" w:cs="Times New Roman"/>
                <w:color w:val="000000"/>
                <w:sz w:val="24"/>
                <w:szCs w:val="24"/>
                <w:lang w:eastAsia="fr-FR"/>
              </w:rPr>
              <w:t>)/Kompienga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02B7C7C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88.3 MHz</w:t>
            </w:r>
          </w:p>
        </w:tc>
      </w:tr>
      <w:tr w:rsidR="00733207" w14:paraId="319382F2"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CC6211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46</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17F0DA8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Woassa</w:t>
            </w:r>
            <w:proofErr w:type="spellEnd"/>
            <w:r>
              <w:rPr>
                <w:rFonts w:ascii="Rockwell" w:eastAsia="Times New Roman" w:hAnsi="Rockwell" w:cs="Times New Roman"/>
                <w:color w:val="000000"/>
                <w:sz w:val="24"/>
                <w:szCs w:val="24"/>
                <w:lang w:eastAsia="fr-FR"/>
              </w:rPr>
              <w:t>-La Voix du Sourou Nayala</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0DFD59F2"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Yaba</w:t>
            </w:r>
            <w:proofErr w:type="spellEnd"/>
            <w:r>
              <w:rPr>
                <w:rFonts w:ascii="Rockwell" w:eastAsia="Times New Roman" w:hAnsi="Rockwell" w:cs="Times New Roman"/>
                <w:color w:val="000000"/>
                <w:sz w:val="24"/>
                <w:szCs w:val="24"/>
                <w:lang w:eastAsia="fr-FR"/>
              </w:rPr>
              <w:t>/Nayala</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B70630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90.00 MHz</w:t>
            </w:r>
          </w:p>
        </w:tc>
      </w:tr>
      <w:tr w:rsidR="00733207" w14:paraId="5DBCE4F4"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313466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47</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157F76C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Flambeau</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55FCF9C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Tenkodogo/Boulgou</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6507225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102.6 MHZ</w:t>
            </w:r>
          </w:p>
        </w:tc>
      </w:tr>
      <w:tr w:rsidR="00733207" w14:paraId="5469C6E8"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2A848D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48</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7CFE748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ARC FM</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48C87F5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Niangoloko/Comoé</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ECAC80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107.00 MHz</w:t>
            </w:r>
          </w:p>
        </w:tc>
      </w:tr>
      <w:tr w:rsidR="00733207" w14:paraId="0D77D880"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9009BD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49</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2767F7C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DANKOUN</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5A99514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w:t>
            </w:r>
            <w:proofErr w:type="spellStart"/>
            <w:r>
              <w:rPr>
                <w:rFonts w:ascii="Rockwell" w:eastAsia="Times New Roman" w:hAnsi="Rockwell" w:cs="Times New Roman"/>
                <w:color w:val="000000"/>
                <w:sz w:val="24"/>
                <w:szCs w:val="24"/>
                <w:lang w:eastAsia="fr-FR"/>
              </w:rPr>
              <w:t>Dorola</w:t>
            </w:r>
            <w:proofErr w:type="spellEnd"/>
            <w:r>
              <w:rPr>
                <w:rFonts w:ascii="Rockwell" w:eastAsia="Times New Roman" w:hAnsi="Rockwell" w:cs="Times New Roman"/>
                <w:color w:val="000000"/>
                <w:sz w:val="24"/>
                <w:szCs w:val="24"/>
                <w:lang w:eastAsia="fr-FR"/>
              </w:rPr>
              <w:t>/Kénédougou</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46CEFAC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sz w:val="24"/>
                <w:szCs w:val="24"/>
                <w:lang w:eastAsia="fr-FR"/>
              </w:rPr>
              <w:t>92.7 MHZ</w:t>
            </w:r>
          </w:p>
        </w:tc>
      </w:tr>
      <w:tr w:rsidR="00733207" w14:paraId="0477E3A7"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9B9540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50</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65DA87B5" w14:textId="77777777" w:rsidR="00733207" w:rsidRDefault="00912BAE">
            <w:pPr>
              <w:spacing w:after="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Kawral</w:t>
            </w:r>
            <w:proofErr w:type="spellEnd"/>
            <w:r>
              <w:rPr>
                <w:rFonts w:ascii="Rockwell" w:eastAsia="Times New Roman" w:hAnsi="Rockwell" w:cs="Times New Roman"/>
                <w:color w:val="000000"/>
                <w:sz w:val="24"/>
                <w:szCs w:val="24"/>
                <w:lang w:eastAsia="fr-FR"/>
              </w:rPr>
              <w:t xml:space="preserve"> FM</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0B9516C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Dori/Séno</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71988D7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104.6 MHz</w:t>
            </w:r>
          </w:p>
        </w:tc>
      </w:tr>
      <w:tr w:rsidR="00733207" w14:paraId="2D787A23" w14:textId="77777777">
        <w:trPr>
          <w:trHeight w:val="600"/>
          <w:jc w:val="center"/>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66533D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51</w:t>
            </w:r>
          </w:p>
        </w:tc>
        <w:tc>
          <w:tcPr>
            <w:tcW w:w="4394" w:type="dxa"/>
            <w:gridSpan w:val="2"/>
            <w:tcBorders>
              <w:top w:val="single" w:sz="4" w:space="0" w:color="auto"/>
              <w:left w:val="nil"/>
              <w:bottom w:val="single" w:sz="4" w:space="0" w:color="auto"/>
              <w:right w:val="single" w:sz="4" w:space="0" w:color="auto"/>
            </w:tcBorders>
            <w:shd w:val="clear" w:color="auto" w:fill="FFFFFF" w:themeFill="background1"/>
            <w:noWrap/>
          </w:tcPr>
          <w:p w14:paraId="7382A57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LANGUEGOUBE</w:t>
            </w:r>
          </w:p>
        </w:tc>
        <w:tc>
          <w:tcPr>
            <w:tcW w:w="2830" w:type="dxa"/>
            <w:tcBorders>
              <w:top w:val="single" w:sz="4" w:space="0" w:color="auto"/>
              <w:left w:val="nil"/>
              <w:bottom w:val="single" w:sz="4" w:space="0" w:color="auto"/>
              <w:right w:val="single" w:sz="4" w:space="0" w:color="auto"/>
            </w:tcBorders>
            <w:shd w:val="clear" w:color="auto" w:fill="FFFFFF" w:themeFill="background1"/>
            <w:noWrap/>
          </w:tcPr>
          <w:p w14:paraId="761257FC"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Guelwongo</w:t>
            </w:r>
            <w:proofErr w:type="spellEnd"/>
            <w:r>
              <w:rPr>
                <w:rFonts w:ascii="Rockwell" w:eastAsia="Times New Roman" w:hAnsi="Rockwell" w:cs="Times New Roman"/>
                <w:color w:val="000000"/>
                <w:sz w:val="24"/>
                <w:szCs w:val="24"/>
                <w:lang w:eastAsia="fr-FR"/>
              </w:rPr>
              <w:t>/Nahouri</w:t>
            </w:r>
          </w:p>
        </w:tc>
        <w:tc>
          <w:tcPr>
            <w:tcW w:w="2127" w:type="dxa"/>
            <w:tcBorders>
              <w:top w:val="single" w:sz="4" w:space="0" w:color="auto"/>
              <w:left w:val="nil"/>
              <w:bottom w:val="single" w:sz="4" w:space="0" w:color="auto"/>
              <w:right w:val="single" w:sz="4" w:space="0" w:color="auto"/>
            </w:tcBorders>
            <w:shd w:val="clear" w:color="auto" w:fill="FFFFFF" w:themeFill="background1"/>
            <w:noWrap/>
          </w:tcPr>
          <w:p w14:paraId="38C660B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94.9 MHz</w:t>
            </w:r>
          </w:p>
        </w:tc>
      </w:tr>
    </w:tbl>
    <w:p w14:paraId="01F252A8"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4859A483"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3209193F" w14:textId="77777777" w:rsidR="00733207" w:rsidRDefault="00733207">
      <w:pPr>
        <w:pStyle w:val="Paragraphedeliste"/>
        <w:spacing w:after="0" w:line="240" w:lineRule="auto"/>
        <w:ind w:left="0"/>
        <w:jc w:val="both"/>
        <w:rPr>
          <w:rFonts w:ascii="Rockwell" w:eastAsia="Times New Roman" w:hAnsi="Rockwell" w:cs="Times New Roman"/>
          <w:b/>
          <w:bCs/>
          <w:color w:val="000000"/>
          <w:sz w:val="24"/>
          <w:szCs w:val="24"/>
          <w:lang w:eastAsia="fr-FR"/>
        </w:rPr>
      </w:pPr>
    </w:p>
    <w:p w14:paraId="221A66B2" w14:textId="77777777" w:rsidR="00733207" w:rsidRDefault="00912BAE">
      <w:pPr>
        <w:pStyle w:val="Paragraphedeliste"/>
        <w:numPr>
          <w:ilvl w:val="0"/>
          <w:numId w:val="53"/>
        </w:numPr>
        <w:spacing w:after="0" w:line="240" w:lineRule="auto"/>
        <w:ind w:left="0"/>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Radios commerciales : quarante-un (41)</w:t>
      </w:r>
    </w:p>
    <w:p w14:paraId="69E28836"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tbl>
      <w:tblPr>
        <w:tblW w:w="10499" w:type="dxa"/>
        <w:jc w:val="center"/>
        <w:tblLayout w:type="fixed"/>
        <w:tblCellMar>
          <w:left w:w="70" w:type="dxa"/>
          <w:right w:w="70" w:type="dxa"/>
        </w:tblCellMar>
        <w:tblLook w:val="04A0" w:firstRow="1" w:lastRow="0" w:firstColumn="1" w:lastColumn="0" w:noHBand="0" w:noVBand="1"/>
      </w:tblPr>
      <w:tblGrid>
        <w:gridCol w:w="1280"/>
        <w:gridCol w:w="3965"/>
        <w:gridCol w:w="3118"/>
        <w:gridCol w:w="2136"/>
      </w:tblGrid>
      <w:tr w:rsidR="00733207" w14:paraId="18594FC7" w14:textId="77777777">
        <w:trPr>
          <w:trHeight w:val="341"/>
          <w:jc w:val="center"/>
        </w:trPr>
        <w:tc>
          <w:tcPr>
            <w:tcW w:w="1280"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32907FBF"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3965" w:type="dxa"/>
            <w:tcBorders>
              <w:top w:val="single" w:sz="4" w:space="0" w:color="auto"/>
              <w:left w:val="nil"/>
              <w:bottom w:val="single" w:sz="4" w:space="0" w:color="auto"/>
              <w:right w:val="single" w:sz="4" w:space="0" w:color="auto"/>
            </w:tcBorders>
            <w:shd w:val="clear" w:color="000000" w:fill="BFBFBF"/>
            <w:noWrap/>
            <w:vAlign w:val="bottom"/>
          </w:tcPr>
          <w:p w14:paraId="6C818D16"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118" w:type="dxa"/>
            <w:tcBorders>
              <w:top w:val="single" w:sz="4" w:space="0" w:color="auto"/>
              <w:left w:val="nil"/>
              <w:bottom w:val="single" w:sz="4" w:space="0" w:color="auto"/>
              <w:right w:val="single" w:sz="4" w:space="0" w:color="auto"/>
            </w:tcBorders>
            <w:shd w:val="clear" w:color="000000" w:fill="BFBFBF"/>
            <w:noWrap/>
            <w:vAlign w:val="bottom"/>
          </w:tcPr>
          <w:p w14:paraId="410E88DE"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2136" w:type="dxa"/>
            <w:tcBorders>
              <w:top w:val="single" w:sz="4" w:space="0" w:color="auto"/>
              <w:left w:val="nil"/>
              <w:bottom w:val="single" w:sz="4" w:space="0" w:color="auto"/>
              <w:right w:val="single" w:sz="4" w:space="0" w:color="auto"/>
            </w:tcBorders>
            <w:shd w:val="clear" w:color="000000" w:fill="BFBFBF"/>
            <w:noWrap/>
            <w:vAlign w:val="bottom"/>
          </w:tcPr>
          <w:p w14:paraId="65A57A7F"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243BA1BE"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5563F8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8CF639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de l'Amitié (Fréquence </w:t>
            </w:r>
            <w:proofErr w:type="spellStart"/>
            <w:r>
              <w:rPr>
                <w:rFonts w:ascii="Rockwell" w:eastAsia="Times New Roman" w:hAnsi="Rockwell" w:cs="Times New Roman"/>
                <w:color w:val="000000"/>
                <w:sz w:val="24"/>
                <w:szCs w:val="24"/>
                <w:lang w:eastAsia="fr-FR"/>
              </w:rPr>
              <w:t>Zoodo</w:t>
            </w:r>
            <w:proofErr w:type="spellEnd"/>
            <w:r>
              <w:rPr>
                <w:rFonts w:ascii="Rockwell" w:eastAsia="Times New Roman" w:hAnsi="Rockwell" w:cs="Times New Roman"/>
                <w:color w:val="000000"/>
                <w:sz w:val="24"/>
                <w:szCs w:val="24"/>
                <w:lang w:eastAsia="fr-FR"/>
              </w:rPr>
              <w:t>)</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572CCAB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6C6971B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100.400 MHz</w:t>
            </w:r>
          </w:p>
        </w:tc>
      </w:tr>
      <w:tr w:rsidR="00733207" w14:paraId="6E0ABF05"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EB8B50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2F06114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Savane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16D0D58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649CCA5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103.400 MHz</w:t>
            </w:r>
          </w:p>
        </w:tc>
      </w:tr>
      <w:tr w:rsidR="00733207" w14:paraId="4DA61963"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D4F201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F8F2D8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Pulsar</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2D29B1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24939AC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94.800 MHz</w:t>
            </w:r>
          </w:p>
        </w:tc>
      </w:tr>
      <w:tr w:rsidR="00733207" w14:paraId="1295135C"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828DB4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52713DB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Kourita</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5D593FF7"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Koupèla</w:t>
            </w:r>
            <w:proofErr w:type="spellEnd"/>
            <w:r>
              <w:rPr>
                <w:rFonts w:ascii="Rockwell" w:eastAsia="Times New Roman" w:hAnsi="Rockwell" w:cs="Times New Roman"/>
                <w:color w:val="000000"/>
                <w:sz w:val="24"/>
                <w:szCs w:val="24"/>
                <w:lang w:eastAsia="fr-FR"/>
              </w:rPr>
              <w:t>/Kouritenga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3F7C03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93.700 MHz</w:t>
            </w:r>
          </w:p>
        </w:tc>
      </w:tr>
      <w:tr w:rsidR="00733207" w14:paraId="06341FA0"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C14780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384E7D7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Ouaga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362F0F2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664058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105.200 MHz</w:t>
            </w:r>
          </w:p>
        </w:tc>
      </w:tr>
      <w:tr w:rsidR="00733207" w14:paraId="45CB34CA"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8ADF6F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64E86A9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Balafon</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34F507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Bobo-Dioulasso/Houet </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54CFDFD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102.700 MHz</w:t>
            </w:r>
          </w:p>
        </w:tc>
      </w:tr>
      <w:tr w:rsidR="00733207" w14:paraId="7E040439"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FB502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7E32746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Wiskamba</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70A8DA8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Koudougou/Boulkiemdé</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18D3522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98.700 MHz</w:t>
            </w:r>
          </w:p>
        </w:tc>
      </w:tr>
      <w:tr w:rsidR="00733207" w14:paraId="7580C8A7"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B22FF4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8A861A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Horizon FM Fréquence Magique</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3EB7C85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2B8DAF0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104.400 MHz</w:t>
            </w:r>
          </w:p>
        </w:tc>
      </w:tr>
      <w:tr w:rsidR="00733207" w14:paraId="17ACCFC0"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89EAD7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2A70D52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Cascade</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5ADA10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Banfora/Comoé</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3107EA1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98.00 MHz</w:t>
            </w:r>
          </w:p>
        </w:tc>
      </w:tr>
      <w:tr w:rsidR="00733207" w14:paraId="23F2F288"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BAAA63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3CB8091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Or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7B41812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Kaya/Sanmatenga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1B04D88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96.100 MHz</w:t>
            </w:r>
          </w:p>
        </w:tc>
      </w:tr>
      <w:tr w:rsidR="00733207" w14:paraId="0E04F70B"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A4F162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11</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712ED8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Frontière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7C302A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Tenkodogo/Boulgou</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5ED4351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97.600 MHz</w:t>
            </w:r>
          </w:p>
        </w:tc>
      </w:tr>
      <w:tr w:rsidR="00733207" w14:paraId="43EF0DAD"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F860C0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12</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487663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Grand Nord</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596A374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Dori/Séno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5AD8A2E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104.600 MHz</w:t>
            </w:r>
          </w:p>
        </w:tc>
      </w:tr>
      <w:tr w:rsidR="00733207" w14:paraId="62BB96F5"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4EC8CC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13</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1E25DF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FM Boulgou</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43C20E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Garango/Boulgou</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31C80D8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101.100 MHz</w:t>
            </w:r>
          </w:p>
        </w:tc>
      </w:tr>
      <w:tr w:rsidR="00733207" w14:paraId="3539F4D0"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19B279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lastRenderedPageBreak/>
              <w:t>14</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849DB7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Nabonswendé</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54752C6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Pouytenga/Kouritenga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2E34A8B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103.700 MHz</w:t>
            </w:r>
          </w:p>
        </w:tc>
      </w:tr>
      <w:tr w:rsidR="00733207" w14:paraId="2E426908"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B71921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15</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1EFEAE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Liberté de Parler et de Communiquer</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B71F5C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DED938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105.500 MHz</w:t>
            </w:r>
          </w:p>
        </w:tc>
      </w:tr>
      <w:tr w:rsidR="00733207" w14:paraId="74DACC1D"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4C4257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16</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33DDD34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Lotamu</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5FFEC8C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Solenzo/Banwa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C690B1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101.900 MHz</w:t>
            </w:r>
          </w:p>
        </w:tc>
      </w:tr>
      <w:tr w:rsidR="00733207" w14:paraId="46B8691E"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8D56A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17</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7E56FAB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Légende </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9DD2B6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64D7D2A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94.400 MHz</w:t>
            </w:r>
          </w:p>
        </w:tc>
      </w:tr>
      <w:tr w:rsidR="00733207" w14:paraId="495B39D5"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BA57CB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18</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6AD4F2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Soleil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1C204C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B3EF57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104.800 MHz</w:t>
            </w:r>
          </w:p>
        </w:tc>
      </w:tr>
      <w:tr w:rsidR="00733207" w14:paraId="146EC34F"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C6804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19</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19345D8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La Voix des </w:t>
            </w:r>
            <w:proofErr w:type="spellStart"/>
            <w:r>
              <w:rPr>
                <w:rFonts w:ascii="Rockwell" w:eastAsia="Times New Roman" w:hAnsi="Rockwell" w:cs="Times New Roman"/>
                <w:color w:val="000000"/>
                <w:sz w:val="24"/>
                <w:szCs w:val="24"/>
                <w:lang w:eastAsia="fr-FR"/>
              </w:rPr>
              <w:t>Balés</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08F55BF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Boromo/</w:t>
            </w:r>
            <w:proofErr w:type="spellStart"/>
            <w:r>
              <w:rPr>
                <w:rFonts w:ascii="Rockwell" w:eastAsia="Times New Roman" w:hAnsi="Rockwell" w:cs="Times New Roman"/>
                <w:color w:val="000000"/>
                <w:sz w:val="24"/>
                <w:szCs w:val="24"/>
                <w:lang w:eastAsia="fr-FR"/>
              </w:rPr>
              <w:t>Balé</w:t>
            </w:r>
            <w:proofErr w:type="spellEnd"/>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7D6BF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103.600 MHz</w:t>
            </w:r>
          </w:p>
        </w:tc>
      </w:tr>
      <w:tr w:rsidR="00733207" w14:paraId="1E19C850"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847664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20</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662B443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4E532E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Kaya/Sanmatenga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07DF570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92.900 MHz</w:t>
            </w:r>
          </w:p>
        </w:tc>
      </w:tr>
      <w:tr w:rsidR="00733207" w14:paraId="7ADC3552"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E265DB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21</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0E5CEE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Tilgré</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0B3E7DA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Koudougou/Boulkiemdé</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7768644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102.200 MHz</w:t>
            </w:r>
          </w:p>
        </w:tc>
      </w:tr>
      <w:tr w:rsidR="00733207" w14:paraId="6349E0ED"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CF6897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22</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905869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Savane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7409CE6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3741684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96.100 MHz</w:t>
            </w:r>
          </w:p>
        </w:tc>
      </w:tr>
      <w:tr w:rsidR="00733207" w14:paraId="317E21CD"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446D75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23</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CBFE60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Bassy</w:t>
            </w:r>
            <w:proofErr w:type="spellEnd"/>
            <w:r>
              <w:rPr>
                <w:rFonts w:ascii="Rockwell" w:eastAsia="Times New Roman" w:hAnsi="Rockwell" w:cs="Times New Roman"/>
                <w:color w:val="000000"/>
                <w:sz w:val="24"/>
                <w:szCs w:val="24"/>
                <w:lang w:eastAsia="fr-FR"/>
              </w:rPr>
              <w:t xml:space="preserve">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78E8173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Ziniaré/Oubritenga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7AD0A60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98.900 MHz</w:t>
            </w:r>
          </w:p>
        </w:tc>
      </w:tr>
      <w:tr w:rsidR="00733207" w14:paraId="3DD6724E"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EE3856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24</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98252C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Savane FM Nord</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7AF89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Gourcy/</w:t>
            </w:r>
            <w:proofErr w:type="spellStart"/>
            <w:r>
              <w:rPr>
                <w:rFonts w:ascii="Rockwell" w:eastAsia="Times New Roman" w:hAnsi="Rockwell" w:cs="Times New Roman"/>
                <w:color w:val="000000"/>
                <w:sz w:val="24"/>
                <w:szCs w:val="24"/>
                <w:lang w:eastAsia="fr-FR"/>
              </w:rPr>
              <w:t>Zondoma</w:t>
            </w:r>
            <w:proofErr w:type="spellEnd"/>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542C2D6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103.100 MHz</w:t>
            </w:r>
          </w:p>
        </w:tc>
      </w:tr>
      <w:tr w:rsidR="00733207" w14:paraId="476D76FD"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EBE26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259F2A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Jam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FBF75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7EFCE86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92.400 MHz</w:t>
            </w:r>
          </w:p>
        </w:tc>
      </w:tr>
      <w:tr w:rsidR="00733207" w14:paraId="53C7ED7E"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D7A963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72E1685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Fémina</w:t>
            </w:r>
            <w:proofErr w:type="spellEnd"/>
            <w:r>
              <w:rPr>
                <w:rFonts w:ascii="Rockwell" w:eastAsia="Times New Roman" w:hAnsi="Rockwell" w:cs="Times New Roman"/>
                <w:color w:val="000000"/>
                <w:sz w:val="24"/>
                <w:szCs w:val="24"/>
                <w:lang w:eastAsia="fr-FR"/>
              </w:rPr>
              <w:t xml:space="preserve">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C6C997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7D48253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102.800 MHz</w:t>
            </w:r>
          </w:p>
        </w:tc>
      </w:tr>
      <w:tr w:rsidR="00733207" w14:paraId="4C66BD1B"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7EEDE3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27</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61CF4C2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Wendpanga</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8A9572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381249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95.800 MHz</w:t>
            </w:r>
          </w:p>
        </w:tc>
      </w:tr>
      <w:tr w:rsidR="00733207" w14:paraId="475E9A30"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718A6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28</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AD66F5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Unité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1F7A877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Gourcy/</w:t>
            </w:r>
            <w:proofErr w:type="spellStart"/>
            <w:r>
              <w:rPr>
                <w:rFonts w:ascii="Rockwell" w:eastAsia="Times New Roman" w:hAnsi="Rockwell" w:cs="Times New Roman"/>
                <w:color w:val="000000"/>
                <w:sz w:val="24"/>
                <w:szCs w:val="24"/>
                <w:lang w:eastAsia="fr-FR"/>
              </w:rPr>
              <w:t>Zondoma</w:t>
            </w:r>
            <w:proofErr w:type="spellEnd"/>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3AAAD94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99.100 MHz</w:t>
            </w:r>
          </w:p>
        </w:tc>
      </w:tr>
      <w:tr w:rsidR="00733207" w14:paraId="15F504C9"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34E070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29</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33700DA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Légende Bobo</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CC89A6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66D8605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103.100 MHz</w:t>
            </w:r>
          </w:p>
        </w:tc>
      </w:tr>
      <w:tr w:rsidR="00733207" w14:paraId="4495CDB9"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3C54D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30</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7333DC0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Diva</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78D4DB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72EB367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88.100 MHz</w:t>
            </w:r>
          </w:p>
        </w:tc>
      </w:tr>
      <w:tr w:rsidR="00733207" w14:paraId="0A484508"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201FF2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31</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61A6904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Oméga</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DF9B91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003EF4F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103.900 MHz</w:t>
            </w:r>
          </w:p>
        </w:tc>
      </w:tr>
      <w:tr w:rsidR="00733207" w14:paraId="78B8CEFD"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18CF83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32</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681AE93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Oméga Bobo</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B723AC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18470C8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104.700 MHz</w:t>
            </w:r>
          </w:p>
        </w:tc>
      </w:tr>
      <w:tr w:rsidR="00733207" w14:paraId="6AF510DE"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4E9BD5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33</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76118F2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Optima</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1AAD3E6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0340E09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106.800 MHz</w:t>
            </w:r>
          </w:p>
        </w:tc>
      </w:tr>
      <w:tr w:rsidR="00733207" w14:paraId="76F44766"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694F2D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34</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2B34D29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Ouaga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47F8BF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4C29B43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101.100 MHz</w:t>
            </w:r>
          </w:p>
        </w:tc>
      </w:tr>
      <w:tr w:rsidR="00733207" w14:paraId="2F10376C"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463F99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35</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5A6AA7C3"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Watamu</w:t>
            </w:r>
            <w:proofErr w:type="spellEnd"/>
            <w:r>
              <w:rPr>
                <w:rFonts w:ascii="Rockwell" w:eastAsia="Times New Roman" w:hAnsi="Rockwell" w:cs="Times New Roman"/>
                <w:color w:val="000000"/>
                <w:sz w:val="24"/>
                <w:szCs w:val="24"/>
                <w:lang w:eastAsia="fr-FR"/>
              </w:rPr>
              <w:t xml:space="preserve"> FM (Wat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8B2CD7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0E82129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100.7 MHz</w:t>
            </w:r>
          </w:p>
        </w:tc>
      </w:tr>
      <w:tr w:rsidR="00733207" w14:paraId="0C0DF575"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2AFAC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lastRenderedPageBreak/>
              <w:t>36</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37E3AE9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Hit Radio</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34AE7C5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24E54ED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87.7 MHz</w:t>
            </w:r>
          </w:p>
        </w:tc>
      </w:tr>
      <w:tr w:rsidR="00733207" w14:paraId="1124A602"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8E463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37</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0327CAF4"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Tampani</w:t>
            </w:r>
            <w:proofErr w:type="spellEnd"/>
            <w:r>
              <w:rPr>
                <w:rFonts w:ascii="Rockwell" w:eastAsia="Times New Roman" w:hAnsi="Rockwell" w:cs="Times New Roman"/>
                <w:color w:val="000000"/>
                <w:sz w:val="24"/>
                <w:szCs w:val="24"/>
                <w:lang w:eastAsia="fr-FR"/>
              </w:rPr>
              <w:t xml:space="preserve"> FM</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8A19D8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Léo/Sissili</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5B240D7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88.2 MHz</w:t>
            </w:r>
          </w:p>
        </w:tc>
      </w:tr>
      <w:tr w:rsidR="00733207" w14:paraId="090D9DFE"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6015B2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38</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3D133C3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Bam </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5F8E6C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Kongoussi/Bam</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58BA95B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96.4 MHz</w:t>
            </w:r>
          </w:p>
        </w:tc>
      </w:tr>
      <w:tr w:rsidR="00733207" w14:paraId="75F5924F"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A72C1F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39</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4F87C60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Liberté de Parler et de Communiquer (LPC)</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26C57F5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Tenkodogo/Boulgou</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01B41E2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104.7 MHz</w:t>
            </w:r>
          </w:p>
        </w:tc>
      </w:tr>
      <w:tr w:rsidR="00733207" w14:paraId="3A2BC87F" w14:textId="77777777">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8FAE03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40</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7B7907D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La Voix du Mouhoun</w:t>
            </w:r>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6D2E4C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Dédougou/Mouhoun</w:t>
            </w:r>
          </w:p>
        </w:tc>
        <w:tc>
          <w:tcPr>
            <w:tcW w:w="2136" w:type="dxa"/>
            <w:tcBorders>
              <w:top w:val="single" w:sz="4" w:space="0" w:color="auto"/>
              <w:left w:val="nil"/>
              <w:bottom w:val="single" w:sz="4" w:space="0" w:color="auto"/>
              <w:right w:val="single" w:sz="4" w:space="0" w:color="auto"/>
            </w:tcBorders>
            <w:shd w:val="clear" w:color="auto" w:fill="FFFFFF" w:themeFill="background1"/>
            <w:noWrap/>
            <w:vAlign w:val="bottom"/>
          </w:tcPr>
          <w:p w14:paraId="2435AC9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94.1 MHz</w:t>
            </w:r>
          </w:p>
        </w:tc>
      </w:tr>
      <w:tr w:rsidR="00733207" w14:paraId="01C4D9D5" w14:textId="77777777">
        <w:trPr>
          <w:trHeight w:val="487"/>
          <w:jc w:val="center"/>
        </w:trPr>
        <w:tc>
          <w:tcPr>
            <w:tcW w:w="12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CB7723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41</w:t>
            </w:r>
          </w:p>
        </w:tc>
        <w:tc>
          <w:tcPr>
            <w:tcW w:w="3965" w:type="dxa"/>
            <w:tcBorders>
              <w:top w:val="single" w:sz="4" w:space="0" w:color="auto"/>
              <w:left w:val="nil"/>
              <w:bottom w:val="single" w:sz="4" w:space="0" w:color="auto"/>
              <w:right w:val="single" w:sz="4" w:space="0" w:color="auto"/>
            </w:tcBorders>
            <w:shd w:val="clear" w:color="auto" w:fill="FFFFFF" w:themeFill="background1"/>
            <w:noWrap/>
            <w:vAlign w:val="bottom"/>
          </w:tcPr>
          <w:p w14:paraId="64A5D67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Bass-</w:t>
            </w:r>
            <w:proofErr w:type="spellStart"/>
            <w:r>
              <w:rPr>
                <w:rFonts w:ascii="Rockwell" w:eastAsia="Times New Roman" w:hAnsi="Rockwell" w:cs="Times New Roman"/>
                <w:color w:val="000000"/>
                <w:sz w:val="24"/>
                <w:szCs w:val="24"/>
                <w:lang w:eastAsia="fr-FR"/>
              </w:rPr>
              <w:t>Yardé</w:t>
            </w:r>
            <w:proofErr w:type="spellEnd"/>
          </w:p>
        </w:tc>
        <w:tc>
          <w:tcPr>
            <w:tcW w:w="3118" w:type="dxa"/>
            <w:tcBorders>
              <w:top w:val="single" w:sz="4" w:space="0" w:color="auto"/>
              <w:left w:val="nil"/>
              <w:bottom w:val="single" w:sz="4" w:space="0" w:color="auto"/>
              <w:right w:val="single" w:sz="4" w:space="0" w:color="auto"/>
            </w:tcBorders>
            <w:shd w:val="clear" w:color="auto" w:fill="FFFFFF" w:themeFill="background1"/>
            <w:noWrap/>
            <w:vAlign w:val="bottom"/>
          </w:tcPr>
          <w:p w14:paraId="492254D3"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Cinkansé</w:t>
            </w:r>
            <w:proofErr w:type="spellEnd"/>
            <w:r>
              <w:rPr>
                <w:rFonts w:ascii="Rockwell" w:eastAsia="Times New Roman" w:hAnsi="Rockwell" w:cs="Times New Roman"/>
                <w:color w:val="000000"/>
                <w:sz w:val="24"/>
                <w:szCs w:val="24"/>
                <w:lang w:eastAsia="fr-FR"/>
              </w:rPr>
              <w:t>/Koulpélogo</w:t>
            </w:r>
          </w:p>
        </w:tc>
        <w:tc>
          <w:tcPr>
            <w:tcW w:w="2136" w:type="dxa"/>
            <w:tcBorders>
              <w:top w:val="single" w:sz="4" w:space="0" w:color="auto"/>
              <w:left w:val="nil"/>
              <w:bottom w:val="single" w:sz="4" w:space="0" w:color="auto"/>
              <w:right w:val="single" w:sz="4" w:space="0" w:color="auto"/>
            </w:tcBorders>
            <w:shd w:val="clear" w:color="auto" w:fill="FFFFFF" w:themeFill="background1"/>
            <w:vAlign w:val="bottom"/>
          </w:tcPr>
          <w:p w14:paraId="451CED3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99.3MHZ</w:t>
            </w:r>
          </w:p>
        </w:tc>
      </w:tr>
    </w:tbl>
    <w:p w14:paraId="77E5701B" w14:textId="77777777" w:rsidR="00733207" w:rsidRDefault="00733207">
      <w:pPr>
        <w:spacing w:after="0" w:line="240" w:lineRule="auto"/>
        <w:ind w:left="360"/>
        <w:jc w:val="both"/>
        <w:rPr>
          <w:rFonts w:ascii="Rockwell" w:hAnsi="Rockwell" w:cs="Times New Roman"/>
          <w:sz w:val="16"/>
          <w:szCs w:val="16"/>
        </w:rPr>
      </w:pPr>
    </w:p>
    <w:p w14:paraId="380AB0B3" w14:textId="77777777" w:rsidR="00733207" w:rsidRDefault="00733207">
      <w:pPr>
        <w:spacing w:after="0" w:line="240" w:lineRule="auto"/>
        <w:ind w:left="360"/>
        <w:jc w:val="both"/>
        <w:rPr>
          <w:rFonts w:ascii="Rockwell" w:hAnsi="Rockwell" w:cs="Times New Roman"/>
          <w:sz w:val="16"/>
          <w:szCs w:val="16"/>
        </w:rPr>
      </w:pPr>
    </w:p>
    <w:p w14:paraId="0D299B5F" w14:textId="77777777" w:rsidR="00733207" w:rsidRDefault="00733207">
      <w:pPr>
        <w:spacing w:after="0" w:line="240" w:lineRule="auto"/>
        <w:ind w:left="360"/>
        <w:jc w:val="both"/>
        <w:rPr>
          <w:rFonts w:ascii="Rockwell" w:hAnsi="Rockwell" w:cs="Times New Roman"/>
          <w:sz w:val="16"/>
          <w:szCs w:val="16"/>
        </w:rPr>
      </w:pPr>
    </w:p>
    <w:p w14:paraId="103A44E9" w14:textId="77777777" w:rsidR="00733207" w:rsidRDefault="00912BAE">
      <w:pPr>
        <w:pStyle w:val="Paragraphedeliste"/>
        <w:numPr>
          <w:ilvl w:val="0"/>
          <w:numId w:val="51"/>
        </w:numPr>
        <w:spacing w:after="0" w:line="240" w:lineRule="auto"/>
        <w:ind w:left="-284" w:hanging="142"/>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LES MEDIAS AUDIOVISUELS INTERNATIONAUX</w:t>
      </w:r>
    </w:p>
    <w:p w14:paraId="2672575E" w14:textId="77777777" w:rsidR="00733207" w:rsidRDefault="00733207">
      <w:pPr>
        <w:pStyle w:val="Paragraphedeliste"/>
        <w:spacing w:after="0" w:line="240" w:lineRule="auto"/>
        <w:ind w:left="0"/>
        <w:jc w:val="both"/>
        <w:rPr>
          <w:rFonts w:ascii="Rockwell" w:eastAsia="Times New Roman" w:hAnsi="Rockwell" w:cs="Times New Roman"/>
          <w:b/>
          <w:bCs/>
          <w:color w:val="000000"/>
          <w:sz w:val="24"/>
          <w:szCs w:val="24"/>
          <w:lang w:eastAsia="fr-FR"/>
        </w:rPr>
      </w:pPr>
    </w:p>
    <w:p w14:paraId="0B8E77E2" w14:textId="77777777" w:rsidR="00733207" w:rsidRDefault="00912BAE">
      <w:pPr>
        <w:pStyle w:val="Paragraphedeliste"/>
        <w:numPr>
          <w:ilvl w:val="0"/>
          <w:numId w:val="55"/>
        </w:numPr>
        <w:spacing w:after="0" w:line="240" w:lineRule="auto"/>
        <w:ind w:left="0"/>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RADIODIFFUSIONS SONORES</w:t>
      </w:r>
    </w:p>
    <w:p w14:paraId="7399DE8F" w14:textId="77777777" w:rsidR="00733207" w:rsidRDefault="00733207">
      <w:pPr>
        <w:pStyle w:val="Paragraphedeliste"/>
        <w:spacing w:after="0" w:line="240" w:lineRule="auto"/>
        <w:ind w:left="0"/>
        <w:jc w:val="both"/>
        <w:rPr>
          <w:rFonts w:ascii="Rockwell" w:eastAsia="Times New Roman" w:hAnsi="Rockwell" w:cs="Times New Roman"/>
          <w:b/>
          <w:bCs/>
          <w:color w:val="000000"/>
          <w:sz w:val="16"/>
          <w:szCs w:val="16"/>
          <w:lang w:eastAsia="fr-FR"/>
        </w:rPr>
      </w:pPr>
    </w:p>
    <w:p w14:paraId="70FBFC66" w14:textId="77777777" w:rsidR="00733207" w:rsidRDefault="00912BAE">
      <w:pPr>
        <w:pStyle w:val="Paragraphedeliste"/>
        <w:numPr>
          <w:ilvl w:val="0"/>
          <w:numId w:val="56"/>
        </w:numPr>
        <w:spacing w:after="0" w:line="240" w:lineRule="auto"/>
        <w:ind w:left="0"/>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Radios internationales : quatre (04)</w:t>
      </w:r>
    </w:p>
    <w:p w14:paraId="0E0EB6FD" w14:textId="77777777" w:rsidR="00733207" w:rsidRDefault="00733207">
      <w:pPr>
        <w:pStyle w:val="Paragraphedeliste"/>
        <w:spacing w:after="0" w:line="240" w:lineRule="auto"/>
        <w:ind w:left="0"/>
        <w:jc w:val="both"/>
        <w:rPr>
          <w:rFonts w:ascii="Rockwell" w:eastAsia="Times New Roman" w:hAnsi="Rockwell" w:cs="Times New Roman"/>
          <w:b/>
          <w:bCs/>
          <w:color w:val="000000"/>
          <w:sz w:val="24"/>
          <w:szCs w:val="24"/>
          <w:lang w:eastAsia="fr-FR"/>
        </w:rPr>
      </w:pPr>
    </w:p>
    <w:tbl>
      <w:tblPr>
        <w:tblW w:w="10751" w:type="dxa"/>
        <w:jc w:val="center"/>
        <w:tblLayout w:type="fixed"/>
        <w:tblCellMar>
          <w:left w:w="70" w:type="dxa"/>
          <w:right w:w="70" w:type="dxa"/>
        </w:tblCellMar>
        <w:tblLook w:val="04A0" w:firstRow="1" w:lastRow="0" w:firstColumn="1" w:lastColumn="0" w:noHBand="0" w:noVBand="1"/>
      </w:tblPr>
      <w:tblGrid>
        <w:gridCol w:w="1411"/>
        <w:gridCol w:w="3963"/>
        <w:gridCol w:w="3113"/>
        <w:gridCol w:w="2264"/>
      </w:tblGrid>
      <w:tr w:rsidR="00733207" w14:paraId="3FCF1C46" w14:textId="77777777">
        <w:trPr>
          <w:trHeight w:val="793"/>
          <w:jc w:val="center"/>
        </w:trPr>
        <w:tc>
          <w:tcPr>
            <w:tcW w:w="1411" w:type="dxa"/>
            <w:tcBorders>
              <w:top w:val="single" w:sz="4" w:space="0" w:color="auto"/>
              <w:left w:val="single" w:sz="4" w:space="0" w:color="auto"/>
              <w:bottom w:val="single" w:sz="4" w:space="0" w:color="auto"/>
              <w:right w:val="single" w:sz="4" w:space="0" w:color="auto"/>
            </w:tcBorders>
            <w:shd w:val="clear" w:color="000000" w:fill="BFBFBF"/>
            <w:noWrap/>
          </w:tcPr>
          <w:p w14:paraId="658ECAF8"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3963" w:type="dxa"/>
            <w:tcBorders>
              <w:top w:val="single" w:sz="4" w:space="0" w:color="auto"/>
              <w:left w:val="nil"/>
              <w:bottom w:val="single" w:sz="4" w:space="0" w:color="auto"/>
              <w:right w:val="single" w:sz="4" w:space="0" w:color="auto"/>
            </w:tcBorders>
            <w:shd w:val="clear" w:color="000000" w:fill="BFBFBF"/>
            <w:noWrap/>
          </w:tcPr>
          <w:p w14:paraId="320D7BBD"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113" w:type="dxa"/>
            <w:tcBorders>
              <w:top w:val="single" w:sz="4" w:space="0" w:color="auto"/>
              <w:left w:val="nil"/>
              <w:bottom w:val="single" w:sz="4" w:space="0" w:color="auto"/>
              <w:right w:val="single" w:sz="4" w:space="0" w:color="auto"/>
            </w:tcBorders>
            <w:shd w:val="clear" w:color="000000" w:fill="BFBFBF"/>
            <w:noWrap/>
          </w:tcPr>
          <w:p w14:paraId="4A50CDDD"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2264" w:type="dxa"/>
            <w:tcBorders>
              <w:top w:val="single" w:sz="4" w:space="0" w:color="auto"/>
              <w:left w:val="nil"/>
              <w:bottom w:val="single" w:sz="4" w:space="0" w:color="auto"/>
              <w:right w:val="single" w:sz="4" w:space="0" w:color="auto"/>
            </w:tcBorders>
            <w:shd w:val="clear" w:color="000000" w:fill="BFBFBF"/>
            <w:noWrap/>
          </w:tcPr>
          <w:p w14:paraId="18F666B6"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4929BEE7" w14:textId="77777777">
        <w:trPr>
          <w:trHeight w:val="1068"/>
          <w:jc w:val="center"/>
        </w:trPr>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77C803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3963" w:type="dxa"/>
            <w:tcBorders>
              <w:top w:val="single" w:sz="4" w:space="0" w:color="auto"/>
              <w:left w:val="nil"/>
              <w:bottom w:val="single" w:sz="4" w:space="0" w:color="auto"/>
              <w:right w:val="single" w:sz="4" w:space="0" w:color="auto"/>
            </w:tcBorders>
            <w:shd w:val="clear" w:color="auto" w:fill="FFFFFF" w:themeFill="background1"/>
            <w:noWrap/>
          </w:tcPr>
          <w:p w14:paraId="4E4EE50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France Internationale (RFI)</w:t>
            </w:r>
          </w:p>
        </w:tc>
        <w:tc>
          <w:tcPr>
            <w:tcW w:w="3113" w:type="dxa"/>
            <w:tcBorders>
              <w:top w:val="single" w:sz="4" w:space="0" w:color="auto"/>
              <w:left w:val="nil"/>
              <w:bottom w:val="single" w:sz="4" w:space="0" w:color="auto"/>
              <w:right w:val="single" w:sz="4" w:space="0" w:color="auto"/>
            </w:tcBorders>
            <w:shd w:val="clear" w:color="auto" w:fill="FFFFFF" w:themeFill="background1"/>
            <w:noWrap/>
          </w:tcPr>
          <w:p w14:paraId="43B5998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264" w:type="dxa"/>
            <w:tcBorders>
              <w:top w:val="single" w:sz="4" w:space="0" w:color="auto"/>
              <w:left w:val="nil"/>
              <w:bottom w:val="single" w:sz="4" w:space="0" w:color="auto"/>
              <w:right w:val="single" w:sz="4" w:space="0" w:color="auto"/>
            </w:tcBorders>
            <w:shd w:val="clear" w:color="auto" w:fill="FFFFFF" w:themeFill="background1"/>
            <w:noWrap/>
          </w:tcPr>
          <w:p w14:paraId="28CFDBA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94.00 MHz</w:t>
            </w:r>
          </w:p>
        </w:tc>
      </w:tr>
      <w:tr w:rsidR="00733207" w14:paraId="7A5EA5DF" w14:textId="77777777">
        <w:trPr>
          <w:trHeight w:val="793"/>
          <w:jc w:val="center"/>
        </w:trPr>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18D70B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3963" w:type="dxa"/>
            <w:tcBorders>
              <w:top w:val="single" w:sz="4" w:space="0" w:color="auto"/>
              <w:left w:val="nil"/>
              <w:bottom w:val="single" w:sz="4" w:space="0" w:color="auto"/>
              <w:right w:val="single" w:sz="4" w:space="0" w:color="auto"/>
            </w:tcBorders>
            <w:shd w:val="clear" w:color="auto" w:fill="FFFFFF" w:themeFill="background1"/>
            <w:noWrap/>
          </w:tcPr>
          <w:p w14:paraId="0A2A23A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BBC</w:t>
            </w:r>
          </w:p>
        </w:tc>
        <w:tc>
          <w:tcPr>
            <w:tcW w:w="3113" w:type="dxa"/>
            <w:tcBorders>
              <w:top w:val="single" w:sz="4" w:space="0" w:color="auto"/>
              <w:left w:val="nil"/>
              <w:bottom w:val="single" w:sz="4" w:space="0" w:color="auto"/>
              <w:right w:val="single" w:sz="4" w:space="0" w:color="auto"/>
            </w:tcBorders>
            <w:shd w:val="clear" w:color="auto" w:fill="FFFFFF" w:themeFill="background1"/>
            <w:noWrap/>
          </w:tcPr>
          <w:p w14:paraId="0DA68B3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264" w:type="dxa"/>
            <w:tcBorders>
              <w:top w:val="single" w:sz="4" w:space="0" w:color="auto"/>
              <w:left w:val="nil"/>
              <w:bottom w:val="single" w:sz="4" w:space="0" w:color="auto"/>
              <w:right w:val="single" w:sz="4" w:space="0" w:color="auto"/>
            </w:tcBorders>
            <w:shd w:val="clear" w:color="auto" w:fill="FFFFFF" w:themeFill="background1"/>
            <w:noWrap/>
          </w:tcPr>
          <w:p w14:paraId="4937BD1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99.200 MHz</w:t>
            </w:r>
          </w:p>
        </w:tc>
      </w:tr>
      <w:tr w:rsidR="00733207" w14:paraId="5E56B17F" w14:textId="77777777">
        <w:trPr>
          <w:trHeight w:val="793"/>
          <w:jc w:val="center"/>
        </w:trPr>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C0E5FE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3963" w:type="dxa"/>
            <w:tcBorders>
              <w:top w:val="single" w:sz="4" w:space="0" w:color="auto"/>
              <w:left w:val="nil"/>
              <w:bottom w:val="single" w:sz="4" w:space="0" w:color="auto"/>
              <w:right w:val="single" w:sz="4" w:space="0" w:color="auto"/>
            </w:tcBorders>
            <w:shd w:val="clear" w:color="auto" w:fill="FFFFFF" w:themeFill="background1"/>
            <w:noWrap/>
          </w:tcPr>
          <w:p w14:paraId="6E8155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VOA</w:t>
            </w:r>
          </w:p>
        </w:tc>
        <w:tc>
          <w:tcPr>
            <w:tcW w:w="3113" w:type="dxa"/>
            <w:tcBorders>
              <w:top w:val="single" w:sz="4" w:space="0" w:color="auto"/>
              <w:left w:val="nil"/>
              <w:bottom w:val="single" w:sz="4" w:space="0" w:color="auto"/>
              <w:right w:val="single" w:sz="4" w:space="0" w:color="auto"/>
            </w:tcBorders>
            <w:shd w:val="clear" w:color="auto" w:fill="FFFFFF" w:themeFill="background1"/>
            <w:noWrap/>
          </w:tcPr>
          <w:p w14:paraId="72B2D3B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264" w:type="dxa"/>
            <w:tcBorders>
              <w:top w:val="single" w:sz="4" w:space="0" w:color="auto"/>
              <w:left w:val="nil"/>
              <w:bottom w:val="single" w:sz="4" w:space="0" w:color="auto"/>
              <w:right w:val="single" w:sz="4" w:space="0" w:color="auto"/>
            </w:tcBorders>
            <w:shd w:val="clear" w:color="auto" w:fill="FFFFFF" w:themeFill="background1"/>
            <w:noWrap/>
          </w:tcPr>
          <w:p w14:paraId="51705AC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102.400 MHz</w:t>
            </w:r>
          </w:p>
        </w:tc>
      </w:tr>
      <w:tr w:rsidR="00733207" w14:paraId="6220EA1D" w14:textId="77777777">
        <w:trPr>
          <w:trHeight w:val="793"/>
          <w:jc w:val="center"/>
        </w:trPr>
        <w:tc>
          <w:tcPr>
            <w:tcW w:w="1411"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E439F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3963" w:type="dxa"/>
            <w:tcBorders>
              <w:top w:val="single" w:sz="4" w:space="0" w:color="auto"/>
              <w:left w:val="nil"/>
              <w:bottom w:val="single" w:sz="4" w:space="0" w:color="auto"/>
              <w:right w:val="single" w:sz="4" w:space="0" w:color="auto"/>
            </w:tcBorders>
            <w:shd w:val="clear" w:color="auto" w:fill="FFFFFF" w:themeFill="background1"/>
            <w:noWrap/>
          </w:tcPr>
          <w:p w14:paraId="54918B7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sz w:val="24"/>
                <w:szCs w:val="24"/>
                <w:lang w:eastAsia="fr-FR"/>
              </w:rPr>
              <w:t>Radio</w:t>
            </w:r>
            <w:r>
              <w:rPr>
                <w:rFonts w:ascii="Rockwell" w:eastAsia="Times New Roman" w:hAnsi="Rockwell" w:cs="Times New Roman"/>
                <w:b/>
                <w:sz w:val="24"/>
                <w:szCs w:val="24"/>
                <w:lang w:eastAsia="fr-FR"/>
              </w:rPr>
              <w:t xml:space="preserve"> </w:t>
            </w:r>
            <w:r>
              <w:rPr>
                <w:rFonts w:ascii="Rockwell" w:eastAsia="Times New Roman" w:hAnsi="Rockwell" w:cs="Times New Roman"/>
                <w:color w:val="000000"/>
                <w:sz w:val="24"/>
                <w:szCs w:val="24"/>
                <w:lang w:eastAsia="fr-FR"/>
              </w:rPr>
              <w:t>Médi1</w:t>
            </w:r>
          </w:p>
        </w:tc>
        <w:tc>
          <w:tcPr>
            <w:tcW w:w="3113" w:type="dxa"/>
            <w:tcBorders>
              <w:top w:val="single" w:sz="4" w:space="0" w:color="auto"/>
              <w:left w:val="nil"/>
              <w:bottom w:val="single" w:sz="4" w:space="0" w:color="auto"/>
              <w:right w:val="single" w:sz="4" w:space="0" w:color="auto"/>
            </w:tcBorders>
            <w:shd w:val="clear" w:color="auto" w:fill="FFFFFF" w:themeFill="background1"/>
            <w:noWrap/>
          </w:tcPr>
          <w:p w14:paraId="6EA0CF1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2264" w:type="dxa"/>
            <w:tcBorders>
              <w:top w:val="single" w:sz="4" w:space="0" w:color="auto"/>
              <w:left w:val="nil"/>
              <w:bottom w:val="single" w:sz="4" w:space="0" w:color="auto"/>
              <w:right w:val="single" w:sz="4" w:space="0" w:color="auto"/>
            </w:tcBorders>
            <w:shd w:val="clear" w:color="auto" w:fill="FFFFFF" w:themeFill="background1"/>
            <w:noWrap/>
          </w:tcPr>
          <w:p w14:paraId="2A35844B" w14:textId="77777777" w:rsidR="00733207" w:rsidRDefault="00912BAE">
            <w:pPr>
              <w:pStyle w:val="Paragraphedeliste"/>
              <w:numPr>
                <w:ilvl w:val="0"/>
                <w:numId w:val="57"/>
              </w:numPr>
              <w:spacing w:after="0" w:line="240" w:lineRule="auto"/>
              <w:ind w:left="0"/>
              <w:jc w:val="both"/>
              <w:rPr>
                <w:rFonts w:ascii="Rockwell" w:eastAsia="Times New Roman" w:hAnsi="Rockwell" w:cs="Times New Roman"/>
                <w:color w:val="000000"/>
                <w:sz w:val="24"/>
                <w:szCs w:val="24"/>
                <w:lang w:eastAsia="fr-FR"/>
              </w:rPr>
            </w:pPr>
            <w:r>
              <w:rPr>
                <w:rFonts w:ascii="Rockwell" w:eastAsia="Times New Roman" w:hAnsi="Rockwell" w:cs="Times New Roman"/>
                <w:sz w:val="24"/>
                <w:szCs w:val="24"/>
                <w:lang w:eastAsia="fr-FR"/>
              </w:rPr>
              <w:t>MHz</w:t>
            </w:r>
          </w:p>
        </w:tc>
      </w:tr>
    </w:tbl>
    <w:p w14:paraId="23C25592" w14:textId="77777777" w:rsidR="00733207" w:rsidRDefault="00733207">
      <w:pPr>
        <w:spacing w:after="0" w:line="240" w:lineRule="auto"/>
        <w:jc w:val="both"/>
        <w:rPr>
          <w:rFonts w:ascii="Rockwell" w:hAnsi="Rockwell" w:cs="Times New Roman"/>
          <w:sz w:val="24"/>
          <w:szCs w:val="24"/>
        </w:rPr>
      </w:pPr>
    </w:p>
    <w:p w14:paraId="71597F41" w14:textId="77777777" w:rsidR="00733207" w:rsidRDefault="00733207">
      <w:pPr>
        <w:spacing w:after="0" w:line="240" w:lineRule="auto"/>
        <w:jc w:val="both"/>
        <w:rPr>
          <w:rFonts w:ascii="Rockwell" w:hAnsi="Rockwell" w:cs="Times New Roman"/>
          <w:sz w:val="24"/>
          <w:szCs w:val="24"/>
        </w:rPr>
      </w:pPr>
    </w:p>
    <w:p w14:paraId="1173C9D1" w14:textId="77777777" w:rsidR="00733207" w:rsidRDefault="00733207">
      <w:pPr>
        <w:spacing w:after="0" w:line="240" w:lineRule="auto"/>
        <w:jc w:val="both"/>
        <w:rPr>
          <w:rFonts w:ascii="Rockwell" w:hAnsi="Rockwell" w:cs="Times New Roman"/>
          <w:sz w:val="24"/>
          <w:szCs w:val="24"/>
        </w:rPr>
      </w:pPr>
    </w:p>
    <w:p w14:paraId="22120B4E" w14:textId="77777777" w:rsidR="00733207" w:rsidRDefault="00733207">
      <w:pPr>
        <w:spacing w:after="0" w:line="240" w:lineRule="auto"/>
        <w:jc w:val="both"/>
        <w:rPr>
          <w:rFonts w:ascii="Rockwell" w:hAnsi="Rockwell" w:cs="Times New Roman"/>
          <w:sz w:val="24"/>
          <w:szCs w:val="24"/>
        </w:rPr>
      </w:pPr>
    </w:p>
    <w:p w14:paraId="7CB74722" w14:textId="77777777" w:rsidR="00733207" w:rsidRDefault="00733207">
      <w:pPr>
        <w:spacing w:after="0" w:line="240" w:lineRule="auto"/>
        <w:jc w:val="both"/>
        <w:rPr>
          <w:rFonts w:ascii="Rockwell" w:hAnsi="Rockwell" w:cs="Times New Roman"/>
          <w:sz w:val="24"/>
          <w:szCs w:val="24"/>
        </w:rPr>
        <w:sectPr w:rsidR="00733207">
          <w:pgSz w:w="11906" w:h="16838"/>
          <w:pgMar w:top="1417" w:right="1417" w:bottom="1417" w:left="1417" w:header="708" w:footer="708" w:gutter="0"/>
          <w:cols w:space="708"/>
          <w:docGrid w:linePitch="360"/>
        </w:sectPr>
      </w:pPr>
    </w:p>
    <w:p w14:paraId="58D2B96F" w14:textId="77777777" w:rsidR="00733207" w:rsidRDefault="00912BAE">
      <w:pPr>
        <w:pStyle w:val="Paragraphedeliste"/>
        <w:numPr>
          <w:ilvl w:val="0"/>
          <w:numId w:val="55"/>
        </w:numPr>
        <w:spacing w:after="240" w:line="276" w:lineRule="auto"/>
        <w:ind w:hanging="19"/>
        <w:jc w:val="both"/>
        <w:rPr>
          <w:rFonts w:ascii="Rockwell" w:hAnsi="Rockwell" w:cs="Times New Roman"/>
          <w:sz w:val="24"/>
          <w:szCs w:val="24"/>
        </w:rPr>
      </w:pPr>
      <w:r>
        <w:rPr>
          <w:rFonts w:ascii="Rockwell" w:eastAsia="Times New Roman" w:hAnsi="Rockwell" w:cs="Times New Roman"/>
          <w:b/>
          <w:bCs/>
          <w:color w:val="000000"/>
          <w:sz w:val="24"/>
          <w:szCs w:val="24"/>
          <w:lang w:eastAsia="fr-FR"/>
        </w:rPr>
        <w:lastRenderedPageBreak/>
        <w:t>RADIODIFFUSIONS TELEVISUELLES</w:t>
      </w:r>
    </w:p>
    <w:p w14:paraId="2720AA0C" w14:textId="77777777" w:rsidR="00733207" w:rsidRDefault="00733207">
      <w:pPr>
        <w:pStyle w:val="Paragraphedeliste"/>
        <w:spacing w:after="240"/>
        <w:ind w:left="641"/>
        <w:jc w:val="both"/>
        <w:rPr>
          <w:rFonts w:ascii="Rockwell" w:hAnsi="Rockwell" w:cs="Times New Roman"/>
          <w:sz w:val="16"/>
          <w:szCs w:val="16"/>
        </w:rPr>
      </w:pPr>
    </w:p>
    <w:p w14:paraId="2B285638" w14:textId="77777777" w:rsidR="00733207" w:rsidRDefault="00912BAE">
      <w:pPr>
        <w:pStyle w:val="Paragraphedeliste"/>
        <w:numPr>
          <w:ilvl w:val="3"/>
          <w:numId w:val="43"/>
        </w:numPr>
        <w:spacing w:before="240" w:after="120" w:line="276" w:lineRule="auto"/>
        <w:ind w:left="0" w:hanging="284"/>
        <w:jc w:val="both"/>
        <w:rPr>
          <w:rFonts w:ascii="Rockwell" w:hAnsi="Rockwell" w:cs="Times New Roman"/>
          <w:sz w:val="24"/>
          <w:szCs w:val="24"/>
        </w:rPr>
      </w:pPr>
      <w:r>
        <w:rPr>
          <w:rFonts w:ascii="Rockwell" w:eastAsia="Times New Roman" w:hAnsi="Rockwell" w:cs="Times New Roman"/>
          <w:b/>
          <w:bCs/>
          <w:color w:val="000000"/>
          <w:sz w:val="24"/>
          <w:szCs w:val="24"/>
          <w:lang w:eastAsia="fr-FR"/>
        </w:rPr>
        <w:t>Télévisions confessionnelles : cinq (05)</w:t>
      </w:r>
    </w:p>
    <w:p w14:paraId="45805D3D" w14:textId="77777777" w:rsidR="00733207" w:rsidRDefault="00733207">
      <w:pPr>
        <w:pStyle w:val="Paragraphedeliste"/>
        <w:spacing w:before="240" w:after="120" w:line="276" w:lineRule="auto"/>
        <w:ind w:left="1843"/>
        <w:jc w:val="both"/>
        <w:rPr>
          <w:rFonts w:ascii="Rockwell" w:hAnsi="Rockwell" w:cs="Times New Roman"/>
          <w:sz w:val="24"/>
          <w:szCs w:val="24"/>
        </w:rPr>
      </w:pPr>
    </w:p>
    <w:tbl>
      <w:tblPr>
        <w:tblW w:w="10064" w:type="dxa"/>
        <w:jc w:val="center"/>
        <w:tblLayout w:type="fixed"/>
        <w:tblCellMar>
          <w:left w:w="70" w:type="dxa"/>
          <w:right w:w="70" w:type="dxa"/>
        </w:tblCellMar>
        <w:tblLook w:val="04A0" w:firstRow="1" w:lastRow="0" w:firstColumn="1" w:lastColumn="0" w:noHBand="0" w:noVBand="1"/>
      </w:tblPr>
      <w:tblGrid>
        <w:gridCol w:w="1134"/>
        <w:gridCol w:w="2835"/>
        <w:gridCol w:w="2835"/>
        <w:gridCol w:w="1758"/>
        <w:gridCol w:w="1502"/>
      </w:tblGrid>
      <w:tr w:rsidR="00733207" w14:paraId="3D4F3539" w14:textId="77777777">
        <w:trPr>
          <w:trHeight w:val="741"/>
          <w:jc w:val="center"/>
        </w:trPr>
        <w:tc>
          <w:tcPr>
            <w:tcW w:w="1134" w:type="dxa"/>
            <w:tcBorders>
              <w:top w:val="single" w:sz="4" w:space="0" w:color="auto"/>
              <w:left w:val="single" w:sz="4" w:space="0" w:color="auto"/>
              <w:bottom w:val="single" w:sz="4" w:space="0" w:color="auto"/>
              <w:right w:val="single" w:sz="4" w:space="0" w:color="auto"/>
            </w:tcBorders>
            <w:shd w:val="clear" w:color="000000" w:fill="BFBFBF"/>
            <w:noWrap/>
          </w:tcPr>
          <w:p w14:paraId="6885BE28" w14:textId="77777777" w:rsidR="00733207" w:rsidRDefault="00912BAE">
            <w:pPr>
              <w:spacing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2835" w:type="dxa"/>
            <w:tcBorders>
              <w:top w:val="single" w:sz="4" w:space="0" w:color="auto"/>
              <w:left w:val="nil"/>
              <w:bottom w:val="single" w:sz="4" w:space="0" w:color="auto"/>
              <w:right w:val="single" w:sz="4" w:space="0" w:color="auto"/>
            </w:tcBorders>
            <w:shd w:val="clear" w:color="000000" w:fill="BFBFBF"/>
            <w:noWrap/>
          </w:tcPr>
          <w:p w14:paraId="6DDCEBEE" w14:textId="77777777" w:rsidR="00733207" w:rsidRDefault="00912BAE">
            <w:pPr>
              <w:spacing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2835" w:type="dxa"/>
            <w:tcBorders>
              <w:top w:val="single" w:sz="4" w:space="0" w:color="auto"/>
              <w:left w:val="nil"/>
              <w:bottom w:val="single" w:sz="4" w:space="0" w:color="auto"/>
              <w:right w:val="single" w:sz="4" w:space="0" w:color="auto"/>
            </w:tcBorders>
            <w:shd w:val="clear" w:color="000000" w:fill="BFBFBF"/>
            <w:noWrap/>
          </w:tcPr>
          <w:p w14:paraId="4F53FCC6" w14:textId="77777777" w:rsidR="00733207" w:rsidRDefault="00912BAE">
            <w:pPr>
              <w:spacing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758" w:type="dxa"/>
            <w:tcBorders>
              <w:top w:val="single" w:sz="4" w:space="0" w:color="auto"/>
              <w:left w:val="nil"/>
              <w:bottom w:val="single" w:sz="4" w:space="0" w:color="auto"/>
              <w:right w:val="single" w:sz="4" w:space="0" w:color="auto"/>
            </w:tcBorders>
            <w:shd w:val="clear" w:color="000000" w:fill="BFBFBF"/>
            <w:noWrap/>
          </w:tcPr>
          <w:p w14:paraId="641526BF" w14:textId="77777777" w:rsidR="00733207" w:rsidRDefault="00912BAE">
            <w:pPr>
              <w:spacing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Canal TNT</w:t>
            </w:r>
          </w:p>
        </w:tc>
        <w:tc>
          <w:tcPr>
            <w:tcW w:w="1502" w:type="dxa"/>
            <w:tcBorders>
              <w:top w:val="single" w:sz="4" w:space="0" w:color="auto"/>
              <w:left w:val="nil"/>
              <w:bottom w:val="single" w:sz="4" w:space="0" w:color="auto"/>
              <w:right w:val="single" w:sz="4" w:space="0" w:color="auto"/>
            </w:tcBorders>
            <w:shd w:val="clear" w:color="000000" w:fill="BFBFBF"/>
          </w:tcPr>
          <w:p w14:paraId="1A7C6008" w14:textId="77777777" w:rsidR="00733207" w:rsidRDefault="00912BAE">
            <w:pPr>
              <w:spacing w:before="120"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Zone de couverture</w:t>
            </w:r>
          </w:p>
          <w:p w14:paraId="307CC2F0"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tc>
      </w:tr>
      <w:tr w:rsidR="00733207" w14:paraId="3B939EFC" w14:textId="77777777">
        <w:trPr>
          <w:trHeight w:val="741"/>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2B9A2D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46A9423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proofErr w:type="spellStart"/>
            <w:r>
              <w:rPr>
                <w:rFonts w:ascii="Rockwell" w:eastAsia="Times New Roman" w:hAnsi="Rockwell" w:cs="Times New Roman"/>
                <w:color w:val="000000"/>
                <w:sz w:val="24"/>
                <w:szCs w:val="24"/>
                <w:lang w:eastAsia="fr-FR"/>
              </w:rPr>
              <w:t>Viim</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Koèga</w:t>
            </w:r>
            <w:proofErr w:type="spellEnd"/>
            <w:r>
              <w:rPr>
                <w:rFonts w:ascii="Rockwell" w:eastAsia="Times New Roman" w:hAnsi="Rockwell" w:cs="Times New Roman"/>
                <w:color w:val="000000"/>
                <w:sz w:val="24"/>
                <w:szCs w:val="24"/>
                <w:lang w:eastAsia="fr-FR"/>
              </w:rPr>
              <w:t xml:space="preserve"> (CVK)</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665CFFBB"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58" w:type="dxa"/>
            <w:tcBorders>
              <w:top w:val="single" w:sz="4" w:space="0" w:color="auto"/>
              <w:left w:val="nil"/>
              <w:bottom w:val="single" w:sz="4" w:space="0" w:color="auto"/>
              <w:right w:val="single" w:sz="4" w:space="0" w:color="auto"/>
            </w:tcBorders>
            <w:shd w:val="clear" w:color="auto" w:fill="FFFFFF" w:themeFill="background1"/>
            <w:noWrap/>
          </w:tcPr>
          <w:p w14:paraId="18CB900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02" w:type="dxa"/>
            <w:tcBorders>
              <w:top w:val="single" w:sz="4" w:space="0" w:color="auto"/>
              <w:left w:val="nil"/>
              <w:bottom w:val="single" w:sz="4" w:space="0" w:color="auto"/>
              <w:right w:val="single" w:sz="4" w:space="0" w:color="auto"/>
            </w:tcBorders>
            <w:shd w:val="clear" w:color="auto" w:fill="FFFFFF" w:themeFill="background1"/>
          </w:tcPr>
          <w:p w14:paraId="546180B6"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0575B4E9" w14:textId="77777777">
        <w:trPr>
          <w:trHeight w:val="741"/>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946ED5C" w14:textId="77777777" w:rsidR="00733207" w:rsidRDefault="00912BAE">
            <w:pPr>
              <w:spacing w:after="120" w:line="240" w:lineRule="auto"/>
              <w:ind w:firstLine="67"/>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210CA4A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TV Maria</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7D15B0B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58" w:type="dxa"/>
            <w:tcBorders>
              <w:top w:val="single" w:sz="4" w:space="0" w:color="auto"/>
              <w:left w:val="nil"/>
              <w:bottom w:val="single" w:sz="4" w:space="0" w:color="auto"/>
              <w:right w:val="single" w:sz="4" w:space="0" w:color="auto"/>
            </w:tcBorders>
            <w:shd w:val="clear" w:color="auto" w:fill="FFFFFF" w:themeFill="background1"/>
            <w:noWrap/>
          </w:tcPr>
          <w:p w14:paraId="442A88EC" w14:textId="77777777" w:rsidR="00733207" w:rsidRDefault="00912BAE">
            <w:pPr>
              <w:spacing w:before="120" w:after="120"/>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02" w:type="dxa"/>
            <w:tcBorders>
              <w:top w:val="single" w:sz="4" w:space="0" w:color="auto"/>
              <w:left w:val="nil"/>
              <w:bottom w:val="single" w:sz="4" w:space="0" w:color="auto"/>
              <w:right w:val="single" w:sz="4" w:space="0" w:color="auto"/>
            </w:tcBorders>
            <w:shd w:val="clear" w:color="auto" w:fill="FFFFFF" w:themeFill="background1"/>
          </w:tcPr>
          <w:p w14:paraId="2ED39130"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0848F03B" w14:textId="77777777">
        <w:trPr>
          <w:trHeight w:val="741"/>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FA9F34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05E70A8B"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EL-Bethel TV</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0B8C33D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58" w:type="dxa"/>
            <w:tcBorders>
              <w:top w:val="single" w:sz="4" w:space="0" w:color="auto"/>
              <w:left w:val="nil"/>
              <w:bottom w:val="single" w:sz="4" w:space="0" w:color="auto"/>
              <w:right w:val="single" w:sz="4" w:space="0" w:color="auto"/>
            </w:tcBorders>
            <w:shd w:val="clear" w:color="auto" w:fill="FFFFFF" w:themeFill="background1"/>
            <w:noWrap/>
          </w:tcPr>
          <w:p w14:paraId="1CAE760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02" w:type="dxa"/>
            <w:tcBorders>
              <w:top w:val="single" w:sz="4" w:space="0" w:color="auto"/>
              <w:left w:val="nil"/>
              <w:bottom w:val="single" w:sz="4" w:space="0" w:color="auto"/>
              <w:right w:val="single" w:sz="4" w:space="0" w:color="auto"/>
            </w:tcBorders>
            <w:shd w:val="clear" w:color="auto" w:fill="FFFFFF" w:themeFill="background1"/>
          </w:tcPr>
          <w:p w14:paraId="6BF3EFF1"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47DBBA6B" w14:textId="77777777">
        <w:trPr>
          <w:trHeight w:val="741"/>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134CEB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11EA2C2D"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Impact TV</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5FAD861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58" w:type="dxa"/>
            <w:tcBorders>
              <w:top w:val="single" w:sz="4" w:space="0" w:color="auto"/>
              <w:left w:val="nil"/>
              <w:bottom w:val="single" w:sz="4" w:space="0" w:color="auto"/>
              <w:right w:val="single" w:sz="4" w:space="0" w:color="auto"/>
            </w:tcBorders>
            <w:shd w:val="clear" w:color="auto" w:fill="FFFFFF" w:themeFill="background1"/>
            <w:noWrap/>
          </w:tcPr>
          <w:p w14:paraId="1EFE5F6D" w14:textId="77777777" w:rsidR="00733207" w:rsidRDefault="00912BAE">
            <w:pPr>
              <w:spacing w:after="120"/>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02" w:type="dxa"/>
            <w:tcBorders>
              <w:top w:val="single" w:sz="4" w:space="0" w:color="auto"/>
              <w:left w:val="nil"/>
              <w:bottom w:val="single" w:sz="4" w:space="0" w:color="auto"/>
              <w:right w:val="single" w:sz="4" w:space="0" w:color="auto"/>
            </w:tcBorders>
            <w:shd w:val="clear" w:color="auto" w:fill="FFFFFF" w:themeFill="background1"/>
          </w:tcPr>
          <w:p w14:paraId="1F9F931E"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528206CF" w14:textId="77777777">
        <w:trPr>
          <w:trHeight w:val="741"/>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38B708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27684308"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TV Al Houda</w:t>
            </w:r>
          </w:p>
        </w:tc>
        <w:tc>
          <w:tcPr>
            <w:tcW w:w="2835" w:type="dxa"/>
            <w:tcBorders>
              <w:top w:val="single" w:sz="4" w:space="0" w:color="auto"/>
              <w:left w:val="nil"/>
              <w:bottom w:val="single" w:sz="4" w:space="0" w:color="auto"/>
              <w:right w:val="single" w:sz="4" w:space="0" w:color="auto"/>
            </w:tcBorders>
            <w:shd w:val="clear" w:color="auto" w:fill="FFFFFF" w:themeFill="background1"/>
            <w:noWrap/>
          </w:tcPr>
          <w:p w14:paraId="65E063E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58" w:type="dxa"/>
            <w:tcBorders>
              <w:top w:val="single" w:sz="4" w:space="0" w:color="auto"/>
              <w:left w:val="nil"/>
              <w:bottom w:val="single" w:sz="4" w:space="0" w:color="auto"/>
              <w:right w:val="single" w:sz="4" w:space="0" w:color="auto"/>
            </w:tcBorders>
            <w:shd w:val="clear" w:color="auto" w:fill="FFFFFF" w:themeFill="background1"/>
            <w:noWrap/>
          </w:tcPr>
          <w:p w14:paraId="6C6527C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02" w:type="dxa"/>
            <w:tcBorders>
              <w:top w:val="single" w:sz="4" w:space="0" w:color="auto"/>
              <w:left w:val="nil"/>
              <w:bottom w:val="single" w:sz="4" w:space="0" w:color="auto"/>
              <w:right w:val="single" w:sz="4" w:space="0" w:color="auto"/>
            </w:tcBorders>
            <w:shd w:val="clear" w:color="auto" w:fill="FFFFFF" w:themeFill="background1"/>
          </w:tcPr>
          <w:p w14:paraId="7FB4B49E"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bl>
    <w:p w14:paraId="614C2550" w14:textId="77777777" w:rsidR="00733207" w:rsidRDefault="00733207">
      <w:pPr>
        <w:jc w:val="both"/>
        <w:rPr>
          <w:rFonts w:ascii="Rockwell" w:hAnsi="Rockwell" w:cs="Times New Roman"/>
          <w:sz w:val="16"/>
          <w:szCs w:val="16"/>
        </w:rPr>
      </w:pPr>
    </w:p>
    <w:p w14:paraId="41406067" w14:textId="77777777" w:rsidR="00733207" w:rsidRDefault="00733207">
      <w:pPr>
        <w:jc w:val="both"/>
        <w:rPr>
          <w:rFonts w:ascii="Rockwell" w:hAnsi="Rockwell" w:cs="Times New Roman"/>
          <w:sz w:val="16"/>
          <w:szCs w:val="16"/>
        </w:rPr>
      </w:pPr>
    </w:p>
    <w:p w14:paraId="5DBF304C" w14:textId="77777777" w:rsidR="00733207" w:rsidRDefault="00912BAE">
      <w:pPr>
        <w:pStyle w:val="Paragraphedeliste"/>
        <w:numPr>
          <w:ilvl w:val="3"/>
          <w:numId w:val="43"/>
        </w:numPr>
        <w:spacing w:after="200" w:line="276" w:lineRule="auto"/>
        <w:ind w:left="0"/>
        <w:jc w:val="both"/>
        <w:rPr>
          <w:rFonts w:ascii="Rockwell" w:hAnsi="Rockwell" w:cs="Times New Roman"/>
          <w:sz w:val="24"/>
          <w:szCs w:val="24"/>
        </w:rPr>
      </w:pPr>
      <w:r>
        <w:rPr>
          <w:rFonts w:ascii="Rockwell" w:eastAsia="Times New Roman" w:hAnsi="Rockwell" w:cs="Times New Roman"/>
          <w:b/>
          <w:bCs/>
          <w:color w:val="000000"/>
          <w:sz w:val="24"/>
          <w:szCs w:val="24"/>
          <w:lang w:eastAsia="fr-FR"/>
        </w:rPr>
        <w:t>Télévisions communautaires : sept (07)</w:t>
      </w:r>
    </w:p>
    <w:tbl>
      <w:tblPr>
        <w:tblW w:w="10182" w:type="dxa"/>
        <w:jc w:val="center"/>
        <w:tblLayout w:type="fixed"/>
        <w:tblCellMar>
          <w:left w:w="70" w:type="dxa"/>
          <w:right w:w="70" w:type="dxa"/>
        </w:tblCellMar>
        <w:tblLook w:val="04A0" w:firstRow="1" w:lastRow="0" w:firstColumn="1" w:lastColumn="0" w:noHBand="0" w:noVBand="1"/>
      </w:tblPr>
      <w:tblGrid>
        <w:gridCol w:w="1129"/>
        <w:gridCol w:w="3032"/>
        <w:gridCol w:w="3010"/>
        <w:gridCol w:w="1434"/>
        <w:gridCol w:w="1577"/>
      </w:tblGrid>
      <w:tr w:rsidR="00733207" w14:paraId="5DEC3E35" w14:textId="77777777">
        <w:trPr>
          <w:trHeight w:val="758"/>
          <w:jc w:val="center"/>
        </w:trPr>
        <w:tc>
          <w:tcPr>
            <w:tcW w:w="1129" w:type="dxa"/>
            <w:tcBorders>
              <w:top w:val="single" w:sz="4" w:space="0" w:color="auto"/>
              <w:left w:val="single" w:sz="4" w:space="0" w:color="auto"/>
              <w:bottom w:val="single" w:sz="4" w:space="0" w:color="auto"/>
              <w:right w:val="single" w:sz="4" w:space="0" w:color="auto"/>
            </w:tcBorders>
            <w:shd w:val="clear" w:color="000000" w:fill="BFBFBF"/>
            <w:noWrap/>
          </w:tcPr>
          <w:p w14:paraId="0AACCE7F" w14:textId="77777777" w:rsidR="00733207" w:rsidRDefault="00912BAE">
            <w:pPr>
              <w:spacing w:before="120"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3032" w:type="dxa"/>
            <w:tcBorders>
              <w:top w:val="single" w:sz="4" w:space="0" w:color="auto"/>
              <w:left w:val="nil"/>
              <w:bottom w:val="single" w:sz="4" w:space="0" w:color="auto"/>
              <w:right w:val="single" w:sz="4" w:space="0" w:color="auto"/>
            </w:tcBorders>
            <w:shd w:val="clear" w:color="000000" w:fill="BFBFBF"/>
            <w:noWrap/>
          </w:tcPr>
          <w:p w14:paraId="227A8D6B" w14:textId="77777777" w:rsidR="00733207" w:rsidRDefault="00912BAE">
            <w:pPr>
              <w:spacing w:before="120"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010" w:type="dxa"/>
            <w:tcBorders>
              <w:top w:val="single" w:sz="4" w:space="0" w:color="auto"/>
              <w:left w:val="nil"/>
              <w:bottom w:val="single" w:sz="4" w:space="0" w:color="auto"/>
              <w:right w:val="single" w:sz="4" w:space="0" w:color="auto"/>
            </w:tcBorders>
            <w:shd w:val="clear" w:color="000000" w:fill="BFBFBF"/>
            <w:noWrap/>
          </w:tcPr>
          <w:p w14:paraId="52900CF3" w14:textId="77777777" w:rsidR="00733207" w:rsidRDefault="00912BAE">
            <w:pPr>
              <w:spacing w:before="120"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434" w:type="dxa"/>
            <w:tcBorders>
              <w:top w:val="single" w:sz="4" w:space="0" w:color="auto"/>
              <w:left w:val="nil"/>
              <w:bottom w:val="single" w:sz="4" w:space="0" w:color="auto"/>
              <w:right w:val="single" w:sz="4" w:space="0" w:color="auto"/>
            </w:tcBorders>
            <w:shd w:val="clear" w:color="000000" w:fill="BFBFBF"/>
            <w:noWrap/>
          </w:tcPr>
          <w:p w14:paraId="7B4DA043" w14:textId="77777777" w:rsidR="00733207" w:rsidRDefault="00912BAE">
            <w:pPr>
              <w:spacing w:before="120" w:after="24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Canal TNT</w:t>
            </w:r>
          </w:p>
        </w:tc>
        <w:tc>
          <w:tcPr>
            <w:tcW w:w="1577" w:type="dxa"/>
            <w:tcBorders>
              <w:top w:val="single" w:sz="4" w:space="0" w:color="auto"/>
              <w:left w:val="nil"/>
              <w:bottom w:val="single" w:sz="4" w:space="0" w:color="auto"/>
              <w:right w:val="single" w:sz="4" w:space="0" w:color="auto"/>
            </w:tcBorders>
            <w:shd w:val="clear" w:color="000000" w:fill="BFBFBF"/>
          </w:tcPr>
          <w:p w14:paraId="6C0A304F"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Zone de couverture</w:t>
            </w:r>
          </w:p>
        </w:tc>
      </w:tr>
      <w:tr w:rsidR="00733207" w14:paraId="2CCD1F8E" w14:textId="77777777">
        <w:trPr>
          <w:trHeight w:val="758"/>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B1B6CA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7624A7C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Sanmatenga </w:t>
            </w:r>
            <w:proofErr w:type="spellStart"/>
            <w:r>
              <w:rPr>
                <w:rFonts w:ascii="Rockwell" w:eastAsia="Times New Roman" w:hAnsi="Rockwell" w:cs="Times New Roman"/>
                <w:color w:val="000000"/>
                <w:sz w:val="24"/>
                <w:szCs w:val="24"/>
                <w:lang w:eastAsia="fr-FR"/>
              </w:rPr>
              <w:t>Television</w:t>
            </w:r>
            <w:proofErr w:type="spellEnd"/>
            <w:r>
              <w:rPr>
                <w:rFonts w:ascii="Rockwell" w:eastAsia="Times New Roman" w:hAnsi="Rockwell" w:cs="Times New Roman"/>
                <w:color w:val="000000"/>
                <w:sz w:val="24"/>
                <w:szCs w:val="24"/>
                <w:lang w:eastAsia="fr-FR"/>
              </w:rPr>
              <w:t xml:space="preserve"> (STV)</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7746287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Kaya/Sanmatenga</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598BDBC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657AA307"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w:t>
            </w:r>
          </w:p>
        </w:tc>
      </w:tr>
      <w:tr w:rsidR="00733207" w14:paraId="00FE4B4D" w14:textId="77777777">
        <w:trPr>
          <w:trHeight w:val="752"/>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40668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45A9F7A6"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Hakili</w:t>
            </w:r>
            <w:proofErr w:type="spellEnd"/>
            <w:r>
              <w:rPr>
                <w:rFonts w:ascii="Rockwell" w:eastAsia="Times New Roman" w:hAnsi="Rockwell" w:cs="Times New Roman"/>
                <w:color w:val="000000"/>
                <w:sz w:val="24"/>
                <w:szCs w:val="24"/>
                <w:lang w:eastAsia="fr-FR"/>
              </w:rPr>
              <w:t xml:space="preserve"> TV</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248E74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08141F6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0705B506"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w:t>
            </w:r>
          </w:p>
        </w:tc>
      </w:tr>
      <w:tr w:rsidR="00733207" w14:paraId="035AB369" w14:textId="77777777">
        <w:trPr>
          <w:trHeight w:val="582"/>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69B6B3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p w14:paraId="036CF733"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065412C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OPEN TV</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62613F6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Kaya/Sanmatenga</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47CAF7F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50987203"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w:t>
            </w:r>
          </w:p>
        </w:tc>
      </w:tr>
      <w:tr w:rsidR="00733207" w14:paraId="4D26FE3A" w14:textId="77777777">
        <w:trPr>
          <w:trHeight w:val="575"/>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9A1803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53C072E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Voix du paysan TV</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190404B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4A35DEA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0FABCEBE"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C</w:t>
            </w:r>
          </w:p>
        </w:tc>
      </w:tr>
      <w:tr w:rsidR="00733207" w14:paraId="4B8B7DF1" w14:textId="77777777">
        <w:trPr>
          <w:trHeight w:val="530"/>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BF3E18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06206F9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MUNYU TV</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25666C8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Banfora/Comoé</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655EE52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048A5FD7"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C</w:t>
            </w:r>
          </w:p>
        </w:tc>
      </w:tr>
      <w:tr w:rsidR="00733207" w14:paraId="1550DB77" w14:textId="77777777">
        <w:trPr>
          <w:trHeight w:val="758"/>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16B614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4F802C7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Télé TIN TUA</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0336061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Fada N’Gourma/Gourma</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4A93FFF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2AD054C5"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C</w:t>
            </w:r>
          </w:p>
        </w:tc>
      </w:tr>
      <w:tr w:rsidR="00733207" w14:paraId="07EE2D08" w14:textId="77777777">
        <w:trPr>
          <w:trHeight w:val="758"/>
          <w:jc w:val="center"/>
        </w:trPr>
        <w:tc>
          <w:tcPr>
            <w:tcW w:w="112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A002C2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3032" w:type="dxa"/>
            <w:tcBorders>
              <w:top w:val="single" w:sz="4" w:space="0" w:color="auto"/>
              <w:left w:val="nil"/>
              <w:bottom w:val="single" w:sz="4" w:space="0" w:color="auto"/>
              <w:right w:val="single" w:sz="4" w:space="0" w:color="auto"/>
            </w:tcBorders>
            <w:shd w:val="clear" w:color="auto" w:fill="FFFFFF" w:themeFill="background1"/>
            <w:noWrap/>
          </w:tcPr>
          <w:p w14:paraId="53AB09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OGN TV</w:t>
            </w:r>
          </w:p>
        </w:tc>
        <w:tc>
          <w:tcPr>
            <w:tcW w:w="3010" w:type="dxa"/>
            <w:tcBorders>
              <w:top w:val="single" w:sz="4" w:space="0" w:color="auto"/>
              <w:left w:val="nil"/>
              <w:bottom w:val="single" w:sz="4" w:space="0" w:color="auto"/>
              <w:right w:val="single" w:sz="4" w:space="0" w:color="auto"/>
            </w:tcBorders>
            <w:shd w:val="clear" w:color="auto" w:fill="FFFFFF" w:themeFill="background1"/>
            <w:noWrap/>
          </w:tcPr>
          <w:p w14:paraId="6389B72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1434" w:type="dxa"/>
            <w:tcBorders>
              <w:top w:val="single" w:sz="4" w:space="0" w:color="auto"/>
              <w:left w:val="nil"/>
              <w:bottom w:val="single" w:sz="4" w:space="0" w:color="auto"/>
              <w:right w:val="single" w:sz="4" w:space="0" w:color="auto"/>
            </w:tcBorders>
            <w:shd w:val="clear" w:color="auto" w:fill="FFFFFF" w:themeFill="background1"/>
            <w:noWrap/>
          </w:tcPr>
          <w:p w14:paraId="3543A17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1577" w:type="dxa"/>
            <w:tcBorders>
              <w:top w:val="single" w:sz="4" w:space="0" w:color="auto"/>
              <w:left w:val="nil"/>
              <w:bottom w:val="single" w:sz="4" w:space="0" w:color="auto"/>
              <w:right w:val="single" w:sz="4" w:space="0" w:color="auto"/>
            </w:tcBorders>
            <w:shd w:val="clear" w:color="auto" w:fill="FFFFFF" w:themeFill="background1"/>
          </w:tcPr>
          <w:p w14:paraId="7E972833"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C</w:t>
            </w:r>
          </w:p>
        </w:tc>
      </w:tr>
    </w:tbl>
    <w:p w14:paraId="57425329" w14:textId="77777777" w:rsidR="00733207" w:rsidRDefault="00733207">
      <w:pPr>
        <w:jc w:val="both"/>
        <w:rPr>
          <w:rFonts w:ascii="Rockwell" w:hAnsi="Rockwell" w:cs="Times New Roman"/>
          <w:sz w:val="16"/>
          <w:szCs w:val="16"/>
        </w:rPr>
      </w:pPr>
    </w:p>
    <w:p w14:paraId="267D4222" w14:textId="77777777" w:rsidR="00733207" w:rsidRDefault="00733207">
      <w:pPr>
        <w:jc w:val="both"/>
        <w:rPr>
          <w:rFonts w:ascii="Rockwell" w:hAnsi="Rockwell" w:cs="Times New Roman"/>
          <w:sz w:val="16"/>
          <w:szCs w:val="16"/>
        </w:rPr>
      </w:pPr>
    </w:p>
    <w:p w14:paraId="68DB44E5" w14:textId="77777777" w:rsidR="00733207" w:rsidRDefault="00733207">
      <w:pPr>
        <w:jc w:val="both"/>
        <w:rPr>
          <w:rFonts w:ascii="Rockwell" w:hAnsi="Rockwell" w:cs="Times New Roman"/>
          <w:sz w:val="16"/>
          <w:szCs w:val="16"/>
        </w:rPr>
        <w:sectPr w:rsidR="00733207">
          <w:pgSz w:w="11906" w:h="16838"/>
          <w:pgMar w:top="1417" w:right="1417" w:bottom="1417" w:left="1417" w:header="708" w:footer="708" w:gutter="0"/>
          <w:cols w:space="708"/>
          <w:docGrid w:linePitch="360"/>
        </w:sectPr>
      </w:pPr>
    </w:p>
    <w:p w14:paraId="0875BE0C" w14:textId="77777777" w:rsidR="00733207" w:rsidRDefault="00912BAE">
      <w:pPr>
        <w:pStyle w:val="Paragraphedeliste"/>
        <w:numPr>
          <w:ilvl w:val="3"/>
          <w:numId w:val="43"/>
        </w:numPr>
        <w:ind w:left="142"/>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lastRenderedPageBreak/>
        <w:t>Télévisions commerciales : seize (16)</w:t>
      </w:r>
    </w:p>
    <w:p w14:paraId="2808951F" w14:textId="77777777" w:rsidR="00733207" w:rsidRDefault="00733207">
      <w:pPr>
        <w:pStyle w:val="Paragraphedeliste"/>
        <w:ind w:left="2880"/>
        <w:jc w:val="both"/>
        <w:rPr>
          <w:rFonts w:ascii="Rockwell" w:eastAsia="Times New Roman" w:hAnsi="Rockwell" w:cs="Times New Roman"/>
          <w:b/>
          <w:bCs/>
          <w:color w:val="000000"/>
          <w:sz w:val="24"/>
          <w:szCs w:val="24"/>
          <w:lang w:eastAsia="fr-FR"/>
        </w:rPr>
      </w:pPr>
    </w:p>
    <w:tbl>
      <w:tblPr>
        <w:tblW w:w="10485" w:type="dxa"/>
        <w:jc w:val="center"/>
        <w:tblLayout w:type="fixed"/>
        <w:tblCellMar>
          <w:left w:w="70" w:type="dxa"/>
          <w:right w:w="70" w:type="dxa"/>
        </w:tblCellMar>
        <w:tblLook w:val="04A0" w:firstRow="1" w:lastRow="0" w:firstColumn="1" w:lastColumn="0" w:noHBand="0" w:noVBand="1"/>
      </w:tblPr>
      <w:tblGrid>
        <w:gridCol w:w="704"/>
        <w:gridCol w:w="2552"/>
        <w:gridCol w:w="2976"/>
        <w:gridCol w:w="1701"/>
        <w:gridCol w:w="2552"/>
      </w:tblGrid>
      <w:tr w:rsidR="00733207" w14:paraId="17AFD3C0"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6C4D9A07"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2552" w:type="dxa"/>
            <w:tcBorders>
              <w:top w:val="single" w:sz="4" w:space="0" w:color="auto"/>
              <w:left w:val="nil"/>
              <w:bottom w:val="single" w:sz="4" w:space="0" w:color="auto"/>
              <w:right w:val="single" w:sz="4" w:space="0" w:color="auto"/>
            </w:tcBorders>
            <w:shd w:val="clear" w:color="000000" w:fill="BFBFBF"/>
            <w:noWrap/>
            <w:vAlign w:val="bottom"/>
          </w:tcPr>
          <w:p w14:paraId="781B0197"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2976" w:type="dxa"/>
            <w:tcBorders>
              <w:top w:val="single" w:sz="4" w:space="0" w:color="auto"/>
              <w:left w:val="nil"/>
              <w:bottom w:val="single" w:sz="4" w:space="0" w:color="auto"/>
              <w:right w:val="single" w:sz="4" w:space="0" w:color="auto"/>
            </w:tcBorders>
            <w:shd w:val="clear" w:color="000000" w:fill="BFBFBF"/>
            <w:noWrap/>
            <w:vAlign w:val="bottom"/>
          </w:tcPr>
          <w:p w14:paraId="3F18F238"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701" w:type="dxa"/>
            <w:tcBorders>
              <w:top w:val="single" w:sz="4" w:space="0" w:color="auto"/>
              <w:left w:val="nil"/>
              <w:bottom w:val="single" w:sz="4" w:space="0" w:color="auto"/>
              <w:right w:val="single" w:sz="4" w:space="0" w:color="auto"/>
            </w:tcBorders>
            <w:shd w:val="clear" w:color="000000" w:fill="BFBFBF"/>
            <w:noWrap/>
            <w:vAlign w:val="bottom"/>
          </w:tcPr>
          <w:p w14:paraId="3B112BA1"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Canal TNT</w:t>
            </w:r>
          </w:p>
        </w:tc>
        <w:tc>
          <w:tcPr>
            <w:tcW w:w="2552" w:type="dxa"/>
            <w:tcBorders>
              <w:top w:val="single" w:sz="4" w:space="0" w:color="auto"/>
              <w:left w:val="nil"/>
              <w:bottom w:val="single" w:sz="4" w:space="0" w:color="auto"/>
              <w:right w:val="single" w:sz="4" w:space="0" w:color="auto"/>
            </w:tcBorders>
            <w:shd w:val="clear" w:color="000000" w:fill="BFBFBF"/>
            <w:vAlign w:val="bottom"/>
          </w:tcPr>
          <w:p w14:paraId="1CC39ECD"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 xml:space="preserve"> Zone de couverture </w:t>
            </w:r>
          </w:p>
        </w:tc>
      </w:tr>
      <w:tr w:rsidR="00733207" w14:paraId="17C4FCB0" w14:textId="77777777">
        <w:trPr>
          <w:trHeight w:val="586"/>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5B25D8"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76C7B90A"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SMTV</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6712B236"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534BABF1" w14:textId="77777777" w:rsidR="00733207" w:rsidRDefault="00912BAE">
            <w:pPr>
              <w:spacing w:before="240"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19100CBA" w14:textId="77777777" w:rsidR="00733207" w:rsidRDefault="00912BAE">
            <w:pPr>
              <w:spacing w:after="24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w:t>
            </w:r>
          </w:p>
        </w:tc>
      </w:tr>
      <w:tr w:rsidR="00733207" w14:paraId="45910CBC"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B1E997E"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5FF36165"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TV Canal3</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16EC4BD1"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02254887" w14:textId="77777777" w:rsidR="00733207" w:rsidRDefault="00912BAE">
            <w:pPr>
              <w:spacing w:before="240"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6B5C0DF9" w14:textId="77777777" w:rsidR="00733207" w:rsidRDefault="00912BAE">
            <w:pPr>
              <w:spacing w:after="24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50FE8F44"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8A25BD7"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37AA3540"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BF1</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17C9B28B"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2FD32D41" w14:textId="77777777" w:rsidR="00733207" w:rsidRDefault="00912BAE">
            <w:pPr>
              <w:spacing w:before="240"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537BD747" w14:textId="77777777" w:rsidR="00733207" w:rsidRDefault="00912BAE">
            <w:pPr>
              <w:spacing w:after="24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3BBBBCC2"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0CB00B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16E649B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TVZ </w:t>
            </w:r>
            <w:proofErr w:type="spellStart"/>
            <w:r>
              <w:rPr>
                <w:rFonts w:ascii="Rockwell" w:eastAsia="Times New Roman" w:hAnsi="Rockwell" w:cs="Times New Roman"/>
                <w:color w:val="000000"/>
                <w:sz w:val="24"/>
                <w:szCs w:val="24"/>
                <w:lang w:eastAsia="fr-FR"/>
              </w:rPr>
              <w:t>Africa</w:t>
            </w:r>
            <w:proofErr w:type="spellEnd"/>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1BA79D6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084EEFD6" w14:textId="77777777" w:rsidR="00733207" w:rsidRDefault="00912BAE">
            <w:pPr>
              <w:spacing w:before="24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57538FAD"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65133A86"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C45414F"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77E73D93" w14:textId="77777777" w:rsidR="00733207" w:rsidRDefault="00912BAE">
            <w:pPr>
              <w:spacing w:before="120" w:after="120" w:line="240" w:lineRule="auto"/>
              <w:jc w:val="both"/>
              <w:rPr>
                <w:rFonts w:ascii="Rockwell" w:hAnsi="Rockwell" w:cs="Times New Roman"/>
                <w:sz w:val="24"/>
                <w:szCs w:val="24"/>
              </w:rPr>
            </w:pPr>
            <w:r>
              <w:rPr>
                <w:rFonts w:ascii="Rockwell" w:hAnsi="Rockwell" w:cs="Times New Roman"/>
                <w:sz w:val="24"/>
                <w:szCs w:val="24"/>
              </w:rPr>
              <w:t>LCA TV la chaine Africaine</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7D323459"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0A0F3598" w14:textId="77777777" w:rsidR="00733207" w:rsidRDefault="00912BAE">
            <w:pPr>
              <w:spacing w:before="240"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0487B40E" w14:textId="77777777" w:rsidR="00733207" w:rsidRDefault="00912BAE">
            <w:pPr>
              <w:spacing w:after="24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0EBF9ADB"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DB924C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32C50165" w14:textId="77777777" w:rsidR="00733207" w:rsidRDefault="00912BAE">
            <w:pPr>
              <w:spacing w:before="360" w:after="120"/>
              <w:jc w:val="both"/>
              <w:rPr>
                <w:rFonts w:ascii="Rockwell" w:hAnsi="Rockwell" w:cs="Times New Roman"/>
                <w:sz w:val="24"/>
                <w:szCs w:val="24"/>
              </w:rPr>
            </w:pPr>
            <w:r>
              <w:rPr>
                <w:rFonts w:ascii="Rockwell" w:hAnsi="Rockwell" w:cs="Times New Roman"/>
                <w:sz w:val="24"/>
                <w:szCs w:val="24"/>
              </w:rPr>
              <w:t>Savane TV</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4AD35961"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2918C857" w14:textId="77777777" w:rsidR="00733207" w:rsidRDefault="00912BAE">
            <w:pPr>
              <w:spacing w:before="36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36CA6CE0"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3DA8699B" w14:textId="77777777">
        <w:trPr>
          <w:trHeight w:val="603"/>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7A46FFD"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2A69321A" w14:textId="77777777" w:rsidR="00733207" w:rsidRDefault="00912BAE">
            <w:pPr>
              <w:spacing w:before="240" w:after="0"/>
              <w:jc w:val="both"/>
              <w:rPr>
                <w:rFonts w:ascii="Rockwell" w:hAnsi="Rockwell" w:cs="Times New Roman"/>
                <w:sz w:val="24"/>
                <w:szCs w:val="24"/>
              </w:rPr>
            </w:pPr>
            <w:r>
              <w:rPr>
                <w:rFonts w:ascii="Rockwell" w:hAnsi="Rockwell" w:cs="Times New Roman"/>
                <w:sz w:val="24"/>
                <w:szCs w:val="24"/>
              </w:rPr>
              <w:t>3TV</w:t>
            </w:r>
          </w:p>
          <w:p w14:paraId="20B3C63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2BC823B8"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380F075C" w14:textId="77777777" w:rsidR="00733207" w:rsidRDefault="00912BAE">
            <w:pPr>
              <w:spacing w:before="36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339A3322"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5387AC71"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0E8396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67EDD816" w14:textId="77777777" w:rsidR="00733207" w:rsidRDefault="00733207">
            <w:pPr>
              <w:spacing w:after="0"/>
              <w:jc w:val="both"/>
              <w:rPr>
                <w:rFonts w:ascii="Rockwell" w:hAnsi="Rockwell" w:cs="Times New Roman"/>
                <w:sz w:val="16"/>
                <w:szCs w:val="16"/>
              </w:rPr>
            </w:pPr>
          </w:p>
          <w:p w14:paraId="2A87B762" w14:textId="77777777" w:rsidR="00733207" w:rsidRDefault="00912BAE">
            <w:pPr>
              <w:spacing w:after="120"/>
              <w:jc w:val="both"/>
              <w:rPr>
                <w:rFonts w:ascii="Rockwell" w:hAnsi="Rockwell" w:cs="Times New Roman"/>
                <w:sz w:val="24"/>
                <w:szCs w:val="24"/>
              </w:rPr>
            </w:pPr>
            <w:r>
              <w:rPr>
                <w:rFonts w:ascii="Rockwell" w:hAnsi="Rockwell" w:cs="Times New Roman"/>
                <w:sz w:val="24"/>
                <w:szCs w:val="24"/>
              </w:rPr>
              <w:t>Burkina Info TV</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3393056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2A43930B" w14:textId="77777777" w:rsidR="00733207" w:rsidRDefault="00912BAE">
            <w:pPr>
              <w:spacing w:before="36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7D6CD72C"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5EFBA6D4"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6EF55D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76BC5345" w14:textId="77777777" w:rsidR="00733207" w:rsidRDefault="00912BAE">
            <w:pPr>
              <w:jc w:val="both"/>
              <w:rPr>
                <w:rFonts w:ascii="Rockwell" w:hAnsi="Rockwell" w:cs="Times New Roman"/>
                <w:sz w:val="24"/>
                <w:szCs w:val="24"/>
              </w:rPr>
            </w:pPr>
            <w:r>
              <w:rPr>
                <w:rFonts w:ascii="Rockwell" w:hAnsi="Rockwell" w:cs="Times New Roman"/>
                <w:sz w:val="24"/>
                <w:szCs w:val="24"/>
              </w:rPr>
              <w:t>Omega TV</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31D3732E"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17F681F5" w14:textId="77777777" w:rsidR="00733207" w:rsidRDefault="00912BAE">
            <w:pPr>
              <w:spacing w:before="36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66E44A1A"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73A9F414"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73BF59E"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524AB019" w14:textId="77777777" w:rsidR="00733207" w:rsidRDefault="00912BAE">
            <w:pPr>
              <w:spacing w:before="120" w:line="240" w:lineRule="auto"/>
              <w:jc w:val="both"/>
              <w:rPr>
                <w:rFonts w:ascii="Rockwell" w:hAnsi="Rockwell" w:cs="Times New Roman"/>
                <w:sz w:val="24"/>
                <w:szCs w:val="24"/>
              </w:rPr>
            </w:pPr>
            <w:r>
              <w:rPr>
                <w:rFonts w:ascii="Rockwell" w:hAnsi="Rockwell" w:cs="Times New Roman"/>
                <w:sz w:val="24"/>
                <w:szCs w:val="24"/>
              </w:rPr>
              <w:t>Télé Citoyenne Tenkodogo</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1652991C"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Tenkodogo/Boulgou</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79C87B78" w14:textId="77777777" w:rsidR="00733207" w:rsidRDefault="00912BAE">
            <w:pPr>
              <w:spacing w:before="36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1B35A28E"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w:t>
            </w:r>
          </w:p>
        </w:tc>
      </w:tr>
      <w:tr w:rsidR="00733207" w14:paraId="7167769F"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05A2F1"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11</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2548E52C" w14:textId="77777777" w:rsidR="00733207" w:rsidRDefault="00912BAE">
            <w:pPr>
              <w:spacing w:after="120" w:line="240" w:lineRule="auto"/>
              <w:jc w:val="both"/>
              <w:rPr>
                <w:rFonts w:ascii="Rockwell" w:hAnsi="Rockwell" w:cs="Times New Roman"/>
                <w:sz w:val="24"/>
                <w:szCs w:val="24"/>
              </w:rPr>
            </w:pPr>
            <w:r>
              <w:rPr>
                <w:rFonts w:ascii="Rockwell" w:hAnsi="Rockwell" w:cs="Times New Roman"/>
                <w:sz w:val="24"/>
                <w:szCs w:val="24"/>
              </w:rPr>
              <w:t>Télé Citoyenne Ouagadougou</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788C98DB"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44D0FB86" w14:textId="77777777" w:rsidR="00733207" w:rsidRDefault="00912BAE">
            <w:pPr>
              <w:spacing w:before="36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204E2829" w14:textId="77777777" w:rsidR="00733207" w:rsidRDefault="00912BAE">
            <w:pPr>
              <w:spacing w:after="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w:t>
            </w:r>
          </w:p>
        </w:tc>
      </w:tr>
      <w:tr w:rsidR="00733207" w14:paraId="523E4744"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93EA7C7"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12</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63B73410" w14:textId="77777777" w:rsidR="00733207" w:rsidRDefault="00733207">
            <w:pPr>
              <w:spacing w:after="0" w:line="240" w:lineRule="auto"/>
              <w:jc w:val="both"/>
              <w:rPr>
                <w:rFonts w:ascii="Rockwell" w:hAnsi="Rockwell" w:cs="Times New Roman"/>
                <w:sz w:val="16"/>
                <w:szCs w:val="16"/>
              </w:rPr>
            </w:pPr>
          </w:p>
          <w:p w14:paraId="0655418D" w14:textId="77777777" w:rsidR="00733207" w:rsidRDefault="00912BAE">
            <w:pPr>
              <w:spacing w:after="120" w:line="240" w:lineRule="auto"/>
              <w:jc w:val="both"/>
              <w:rPr>
                <w:rFonts w:ascii="Rockwell" w:hAnsi="Rockwell" w:cs="Times New Roman"/>
                <w:sz w:val="24"/>
                <w:szCs w:val="24"/>
              </w:rPr>
            </w:pPr>
            <w:r>
              <w:rPr>
                <w:rFonts w:ascii="Rockwell" w:hAnsi="Rockwell" w:cs="Times New Roman"/>
                <w:sz w:val="24"/>
                <w:szCs w:val="24"/>
              </w:rPr>
              <w:t>SMTV Bobo</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0FC07BB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1701" w:type="dxa"/>
            <w:tcBorders>
              <w:top w:val="single" w:sz="4" w:space="0" w:color="auto"/>
              <w:left w:val="nil"/>
              <w:bottom w:val="single" w:sz="4" w:space="0" w:color="auto"/>
              <w:right w:val="single" w:sz="4" w:space="0" w:color="auto"/>
            </w:tcBorders>
            <w:shd w:val="clear" w:color="auto" w:fill="FFFFFF" w:themeFill="background1"/>
            <w:noWrap/>
          </w:tcPr>
          <w:p w14:paraId="6657E05E" w14:textId="77777777" w:rsidR="00733207" w:rsidRDefault="00912BAE">
            <w:pPr>
              <w:spacing w:before="12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544766C4" w14:textId="77777777" w:rsidR="00733207" w:rsidRDefault="00912BAE">
            <w:pPr>
              <w:spacing w:after="120" w:line="240" w:lineRule="auto"/>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w:t>
            </w:r>
          </w:p>
        </w:tc>
      </w:tr>
      <w:tr w:rsidR="00733207" w14:paraId="6B9628C8"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A40E248" w14:textId="77777777" w:rsidR="00733207" w:rsidRDefault="00912BAE">
            <w:pPr>
              <w:spacing w:after="240" w:line="240" w:lineRule="auto"/>
              <w:ind w:right="1"/>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13</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6635B12E"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FI TV</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34DB276D"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vAlign w:val="bottom"/>
          </w:tcPr>
          <w:p w14:paraId="568441C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2ADC96E9" w14:textId="77777777" w:rsidR="00733207" w:rsidRDefault="00912BAE">
            <w:pPr>
              <w:spacing w:after="240" w:line="240" w:lineRule="auto"/>
              <w:ind w:left="62"/>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A</w:t>
            </w:r>
          </w:p>
        </w:tc>
      </w:tr>
      <w:tr w:rsidR="00733207" w14:paraId="3F0FF8F3"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AA76D13"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14</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04106BD1"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Cotton Bolt TV </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0504D26C"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Dédougou/Mouhoun</w:t>
            </w:r>
          </w:p>
        </w:tc>
        <w:tc>
          <w:tcPr>
            <w:tcW w:w="1701" w:type="dxa"/>
            <w:tcBorders>
              <w:top w:val="single" w:sz="4" w:space="0" w:color="auto"/>
              <w:left w:val="nil"/>
              <w:bottom w:val="single" w:sz="4" w:space="0" w:color="auto"/>
              <w:right w:val="single" w:sz="4" w:space="0" w:color="auto"/>
            </w:tcBorders>
            <w:shd w:val="clear" w:color="auto" w:fill="FFFFFF" w:themeFill="background1"/>
            <w:vAlign w:val="bottom"/>
          </w:tcPr>
          <w:p w14:paraId="2509342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6D21A6FC" w14:textId="77777777" w:rsidR="00733207" w:rsidRDefault="00912BAE">
            <w:pPr>
              <w:spacing w:after="240" w:line="240" w:lineRule="auto"/>
              <w:ind w:left="96"/>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w:t>
            </w:r>
          </w:p>
        </w:tc>
      </w:tr>
      <w:tr w:rsidR="00733207" w14:paraId="77BC50DE"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2CE4F3A"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15</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1FC252D1"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OTC Médias</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7CEFE13B"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Koudougou/Boulkiemdé</w:t>
            </w:r>
          </w:p>
        </w:tc>
        <w:tc>
          <w:tcPr>
            <w:tcW w:w="1701" w:type="dxa"/>
            <w:tcBorders>
              <w:top w:val="single" w:sz="4" w:space="0" w:color="auto"/>
              <w:left w:val="nil"/>
              <w:bottom w:val="single" w:sz="4" w:space="0" w:color="auto"/>
              <w:right w:val="single" w:sz="4" w:space="0" w:color="auto"/>
            </w:tcBorders>
            <w:shd w:val="clear" w:color="auto" w:fill="FFFFFF" w:themeFill="background1"/>
            <w:vAlign w:val="bottom"/>
          </w:tcPr>
          <w:p w14:paraId="19A095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408CE1B9" w14:textId="77777777" w:rsidR="00733207" w:rsidRDefault="00912BAE">
            <w:pPr>
              <w:spacing w:after="240" w:line="240" w:lineRule="auto"/>
              <w:ind w:left="96"/>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C</w:t>
            </w:r>
          </w:p>
        </w:tc>
      </w:tr>
      <w:tr w:rsidR="00733207" w14:paraId="5504925B" w14:textId="77777777">
        <w:trPr>
          <w:trHeight w:val="600"/>
          <w:jc w:val="center"/>
        </w:trPr>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774C9D"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16</w:t>
            </w:r>
          </w:p>
        </w:tc>
        <w:tc>
          <w:tcPr>
            <w:tcW w:w="2552" w:type="dxa"/>
            <w:tcBorders>
              <w:top w:val="single" w:sz="4" w:space="0" w:color="auto"/>
              <w:left w:val="nil"/>
              <w:bottom w:val="single" w:sz="4" w:space="0" w:color="auto"/>
              <w:right w:val="single" w:sz="4" w:space="0" w:color="auto"/>
            </w:tcBorders>
            <w:shd w:val="clear" w:color="auto" w:fill="FFFFFF" w:themeFill="background1"/>
            <w:noWrap/>
            <w:vAlign w:val="bottom"/>
          </w:tcPr>
          <w:p w14:paraId="11C2CF2C"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InfoBF.TV </w:t>
            </w:r>
          </w:p>
        </w:tc>
        <w:tc>
          <w:tcPr>
            <w:tcW w:w="2976" w:type="dxa"/>
            <w:tcBorders>
              <w:top w:val="single" w:sz="4" w:space="0" w:color="auto"/>
              <w:left w:val="nil"/>
              <w:bottom w:val="single" w:sz="4" w:space="0" w:color="auto"/>
              <w:right w:val="single" w:sz="4" w:space="0" w:color="auto"/>
            </w:tcBorders>
            <w:shd w:val="clear" w:color="auto" w:fill="FFFFFF" w:themeFill="background1"/>
            <w:noWrap/>
            <w:vAlign w:val="bottom"/>
          </w:tcPr>
          <w:p w14:paraId="79927DEF"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701" w:type="dxa"/>
            <w:tcBorders>
              <w:top w:val="single" w:sz="4" w:space="0" w:color="auto"/>
              <w:left w:val="nil"/>
              <w:bottom w:val="single" w:sz="4" w:space="0" w:color="auto"/>
              <w:right w:val="single" w:sz="4" w:space="0" w:color="auto"/>
            </w:tcBorders>
            <w:shd w:val="clear" w:color="auto" w:fill="FFFFFF" w:themeFill="background1"/>
            <w:vAlign w:val="bottom"/>
          </w:tcPr>
          <w:p w14:paraId="03F6277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Canal </w:t>
            </w:r>
            <w:r>
              <w:rPr>
                <w:rFonts w:ascii="Rockwell" w:eastAsia="Times New Roman" w:hAnsi="Rockwell" w:cs="Times New Roman"/>
                <w:bCs/>
                <w:color w:val="000000"/>
                <w:sz w:val="24"/>
                <w:szCs w:val="24"/>
                <w:lang w:eastAsia="fr-FR"/>
              </w:rPr>
              <w:t>TNT</w:t>
            </w:r>
          </w:p>
        </w:tc>
        <w:tc>
          <w:tcPr>
            <w:tcW w:w="2552" w:type="dxa"/>
            <w:tcBorders>
              <w:top w:val="single" w:sz="4" w:space="0" w:color="auto"/>
              <w:left w:val="nil"/>
              <w:bottom w:val="single" w:sz="4" w:space="0" w:color="auto"/>
              <w:right w:val="single" w:sz="4" w:space="0" w:color="auto"/>
            </w:tcBorders>
            <w:shd w:val="clear" w:color="auto" w:fill="FFFFFF" w:themeFill="background1"/>
            <w:vAlign w:val="bottom"/>
          </w:tcPr>
          <w:p w14:paraId="1554105E" w14:textId="77777777" w:rsidR="00733207" w:rsidRDefault="00912BAE">
            <w:pPr>
              <w:spacing w:before="120" w:after="240" w:line="240" w:lineRule="auto"/>
              <w:ind w:left="397"/>
              <w:jc w:val="center"/>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A</w:t>
            </w:r>
          </w:p>
        </w:tc>
      </w:tr>
    </w:tbl>
    <w:p w14:paraId="2B6F8D58"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718E2C1A"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763ED80E"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63F37F9A" w14:textId="77777777" w:rsidR="00733207" w:rsidRDefault="00912BAE" w:rsidP="00261767">
      <w:pPr>
        <w:pStyle w:val="Paragraphedeliste"/>
        <w:numPr>
          <w:ilvl w:val="0"/>
          <w:numId w:val="51"/>
        </w:numPr>
        <w:spacing w:after="0" w:line="240" w:lineRule="auto"/>
        <w:ind w:left="709"/>
        <w:jc w:val="center"/>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lastRenderedPageBreak/>
        <w:t>LES SOCIETES DE REDIFFUSION DE PROGRAMMES AUDIOVISUELS A PEAGE</w:t>
      </w:r>
    </w:p>
    <w:p w14:paraId="0F733427"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51A483A6"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2F5B5C16" w14:textId="77777777" w:rsidR="00733207" w:rsidRDefault="00912BAE">
      <w:pPr>
        <w:pStyle w:val="Paragraphedeliste"/>
        <w:spacing w:after="0" w:line="240" w:lineRule="auto"/>
        <w:ind w:left="1560"/>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A. OPERATEURS MMDS : quatre (04)</w:t>
      </w:r>
    </w:p>
    <w:p w14:paraId="5EE8773B" w14:textId="77777777" w:rsidR="00733207" w:rsidRDefault="00733207">
      <w:pPr>
        <w:jc w:val="both"/>
        <w:rPr>
          <w:rFonts w:ascii="Rockwell" w:hAnsi="Rockwell" w:cs="Times New Roman"/>
          <w:sz w:val="16"/>
          <w:szCs w:val="16"/>
        </w:rPr>
      </w:pPr>
    </w:p>
    <w:tbl>
      <w:tblPr>
        <w:tblW w:w="9634" w:type="dxa"/>
        <w:jc w:val="center"/>
        <w:tblLayout w:type="fixed"/>
        <w:tblCellMar>
          <w:left w:w="70" w:type="dxa"/>
          <w:right w:w="70" w:type="dxa"/>
        </w:tblCellMar>
        <w:tblLook w:val="04A0" w:firstRow="1" w:lastRow="0" w:firstColumn="1" w:lastColumn="0" w:noHBand="0" w:noVBand="1"/>
      </w:tblPr>
      <w:tblGrid>
        <w:gridCol w:w="846"/>
        <w:gridCol w:w="2693"/>
        <w:gridCol w:w="2772"/>
        <w:gridCol w:w="3323"/>
      </w:tblGrid>
      <w:tr w:rsidR="00733207" w14:paraId="53BA9B6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000000" w:fill="BFBFBF"/>
            <w:noWrap/>
          </w:tcPr>
          <w:p w14:paraId="1732F7F7"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2693" w:type="dxa"/>
            <w:tcBorders>
              <w:top w:val="single" w:sz="4" w:space="0" w:color="auto"/>
              <w:left w:val="nil"/>
              <w:bottom w:val="single" w:sz="4" w:space="0" w:color="auto"/>
              <w:right w:val="single" w:sz="4" w:space="0" w:color="auto"/>
            </w:tcBorders>
            <w:shd w:val="clear" w:color="000000" w:fill="BFBFBF"/>
            <w:noWrap/>
          </w:tcPr>
          <w:p w14:paraId="195F76EE"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2772" w:type="dxa"/>
            <w:tcBorders>
              <w:top w:val="single" w:sz="4" w:space="0" w:color="auto"/>
              <w:left w:val="nil"/>
              <w:bottom w:val="single" w:sz="4" w:space="0" w:color="auto"/>
              <w:right w:val="single" w:sz="4" w:space="0" w:color="auto"/>
            </w:tcBorders>
            <w:shd w:val="clear" w:color="000000" w:fill="BFBFBF"/>
            <w:noWrap/>
          </w:tcPr>
          <w:p w14:paraId="7E6244C6"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3323" w:type="dxa"/>
            <w:tcBorders>
              <w:top w:val="single" w:sz="4" w:space="0" w:color="auto"/>
              <w:left w:val="nil"/>
              <w:bottom w:val="single" w:sz="4" w:space="0" w:color="auto"/>
              <w:right w:val="single" w:sz="4" w:space="0" w:color="auto"/>
            </w:tcBorders>
            <w:shd w:val="clear" w:color="000000" w:fill="BFBFBF"/>
            <w:noWrap/>
          </w:tcPr>
          <w:p w14:paraId="1AF5689A"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09B7DD0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8E8DF3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58C8132D" w14:textId="77777777" w:rsidR="00733207" w:rsidRDefault="00912BAE">
            <w:pPr>
              <w:spacing w:after="0" w:line="240" w:lineRule="auto"/>
              <w:jc w:val="both"/>
              <w:rPr>
                <w:rFonts w:ascii="Rockwell" w:eastAsia="Times New Roman" w:hAnsi="Rockwell" w:cs="Times New Roman"/>
                <w:color w:val="000000"/>
                <w:sz w:val="24"/>
                <w:szCs w:val="24"/>
                <w:highlight w:val="yellow"/>
                <w:lang w:eastAsia="fr-FR"/>
              </w:rPr>
            </w:pPr>
            <w:proofErr w:type="spellStart"/>
            <w:r>
              <w:rPr>
                <w:rFonts w:ascii="Rockwell" w:eastAsia="Times New Roman" w:hAnsi="Rockwell" w:cs="Times New Roman"/>
                <w:color w:val="000000"/>
                <w:sz w:val="24"/>
                <w:szCs w:val="24"/>
                <w:lang w:eastAsia="fr-FR"/>
              </w:rPr>
              <w:t>Neerwaya</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Multivision</w:t>
            </w:r>
            <w:proofErr w:type="spellEnd"/>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E94892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735E74E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2500-2508 MHz</w:t>
            </w:r>
          </w:p>
        </w:tc>
      </w:tr>
      <w:tr w:rsidR="00733207" w14:paraId="1051C5A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DA6E2A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365218B4" w14:textId="77777777" w:rsidR="00733207" w:rsidRDefault="00733207">
            <w:pPr>
              <w:spacing w:after="0" w:line="240" w:lineRule="auto"/>
              <w:jc w:val="both"/>
              <w:rPr>
                <w:rFonts w:ascii="Rockwell" w:eastAsia="Times New Roman" w:hAnsi="Rockwell" w:cs="Times New Roman"/>
                <w:color w:val="000000"/>
                <w:sz w:val="24"/>
                <w:szCs w:val="24"/>
                <w:highlight w:val="yellow"/>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68A8AE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C00A8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2508-2516 MHz</w:t>
            </w:r>
          </w:p>
        </w:tc>
      </w:tr>
      <w:tr w:rsidR="00733207" w14:paraId="08861A8F"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C17CAF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7D1596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255F230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4DCE906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2516-2524 MHz</w:t>
            </w:r>
          </w:p>
        </w:tc>
      </w:tr>
      <w:tr w:rsidR="00733207" w14:paraId="4BE45C51"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BB5855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DC92696"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8DA0303"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EB25E9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2524-2532 MHz</w:t>
            </w:r>
          </w:p>
        </w:tc>
      </w:tr>
      <w:tr w:rsidR="00733207" w14:paraId="62F896C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2B65A95"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78BDC0B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229754B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299024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2532 – 2540 MHz</w:t>
            </w:r>
          </w:p>
        </w:tc>
      </w:tr>
      <w:tr w:rsidR="00733207" w14:paraId="1FF521A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5BC892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5CE7C1D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2033E93"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11846A7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2540 – 2548 MHz</w:t>
            </w:r>
          </w:p>
        </w:tc>
      </w:tr>
      <w:tr w:rsidR="00733207" w14:paraId="2D55C3F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A182BD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C57288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26BAB72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4124E6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2548 – 2556 MHz</w:t>
            </w:r>
          </w:p>
        </w:tc>
      </w:tr>
      <w:tr w:rsidR="00733207" w14:paraId="2B26E1F5"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E4AD32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7949BB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B26E665"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E61708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2556 – 2564 MHz</w:t>
            </w:r>
          </w:p>
        </w:tc>
      </w:tr>
      <w:tr w:rsidR="00733207" w14:paraId="3E10714D"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B731A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47F959C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3F59C9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4084B49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2572 – 2580 MHz</w:t>
            </w:r>
          </w:p>
        </w:tc>
      </w:tr>
      <w:tr w:rsidR="00733207" w14:paraId="5E4B446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D7612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3CB6E84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FF93D09"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7A7754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2588 – 2596 MHz</w:t>
            </w:r>
          </w:p>
        </w:tc>
      </w:tr>
      <w:tr w:rsidR="00733207" w14:paraId="3BCCDAC0"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88B862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BA52C46"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3AA0718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38309B9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2596 – 2604 MHz</w:t>
            </w:r>
          </w:p>
        </w:tc>
      </w:tr>
      <w:tr w:rsidR="00733207" w14:paraId="421DD20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CF0BFC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7AF93E4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6D8257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D21BB5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2604 – 2612 MHz</w:t>
            </w:r>
          </w:p>
        </w:tc>
      </w:tr>
      <w:tr w:rsidR="00733207" w14:paraId="6FE1A92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0F181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71C9B2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3F79DF3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41763BD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2612 – 2620 MHz</w:t>
            </w:r>
          </w:p>
        </w:tc>
      </w:tr>
      <w:tr w:rsidR="00733207" w14:paraId="6762FAF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F230A0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3E452FE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7F4C4819"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C76DF5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2620 – 2628 MHz</w:t>
            </w:r>
          </w:p>
        </w:tc>
      </w:tr>
      <w:tr w:rsidR="00733207" w14:paraId="4616A0FC"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B4311A6"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3708FC6D"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6EC8A36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230D2E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2628 – 2636 MHz</w:t>
            </w:r>
          </w:p>
        </w:tc>
      </w:tr>
      <w:tr w:rsidR="00733207" w14:paraId="2243F61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D2AB39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A37C195"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680A270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8871BD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2636 – 2644 MHz</w:t>
            </w:r>
          </w:p>
        </w:tc>
      </w:tr>
      <w:tr w:rsidR="00733207" w14:paraId="0686A0AA"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444111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2517A0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6AC4098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7DAD905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2644 – 2652 MHz</w:t>
            </w:r>
          </w:p>
        </w:tc>
      </w:tr>
      <w:tr w:rsidR="00733207" w14:paraId="71CD239B"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5CE4B6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0630CB9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18FE8FC3"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78DDD8A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2652 – 2660 MHz</w:t>
            </w:r>
          </w:p>
        </w:tc>
      </w:tr>
      <w:tr w:rsidR="00733207" w14:paraId="0FBB00FC"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5DBE04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3F37DE15"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Neerwaya</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Multivision</w:t>
            </w:r>
            <w:proofErr w:type="spellEnd"/>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5D4FA0B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52D6A66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2564-</w:t>
            </w:r>
            <w:proofErr w:type="gramStart"/>
            <w:r>
              <w:rPr>
                <w:rFonts w:ascii="Rockwell" w:eastAsia="Times New Roman" w:hAnsi="Rockwell" w:cs="Times New Roman"/>
                <w:color w:val="000000"/>
                <w:sz w:val="24"/>
                <w:szCs w:val="24"/>
                <w:lang w:eastAsia="fr-FR"/>
              </w:rPr>
              <w:t>2572  MHz</w:t>
            </w:r>
            <w:proofErr w:type="gramEnd"/>
          </w:p>
        </w:tc>
      </w:tr>
      <w:tr w:rsidR="00733207" w14:paraId="10AD3A1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4217A2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358AD6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5C01CDF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4C48673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2580-2588 MHz</w:t>
            </w:r>
          </w:p>
        </w:tc>
      </w:tr>
      <w:tr w:rsidR="00733207" w14:paraId="7AF28E9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09A87A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3520E5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1DFC29A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DD762B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2556-2564 MHz</w:t>
            </w:r>
          </w:p>
        </w:tc>
      </w:tr>
      <w:tr w:rsidR="00733207" w14:paraId="4E2B063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654688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F3BF09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298ABFD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4AEF01F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2540-2548 MHz</w:t>
            </w:r>
          </w:p>
        </w:tc>
      </w:tr>
      <w:tr w:rsidR="00733207" w14:paraId="2C67B691"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3997F1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2AE31F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3FBE72B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843CEF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2524-2532 MHz</w:t>
            </w:r>
          </w:p>
        </w:tc>
      </w:tr>
      <w:tr w:rsidR="00733207" w14:paraId="1072DF6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1D3B48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51C1E02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15C0559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E9F4DA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2508-2516 MHz</w:t>
            </w:r>
          </w:p>
        </w:tc>
      </w:tr>
      <w:tr w:rsidR="00733207" w14:paraId="1F556FF8"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1F237A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44EFB4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50BCB2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707DA5F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2572-2580 MHz</w:t>
            </w:r>
          </w:p>
        </w:tc>
      </w:tr>
      <w:tr w:rsidR="00733207" w14:paraId="52DE3629"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BB5323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1545FDD"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7CEE9319"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678E22E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2588-2596 MHz</w:t>
            </w:r>
          </w:p>
        </w:tc>
      </w:tr>
      <w:tr w:rsidR="00733207" w14:paraId="45E3D450"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D0A3D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C2ABDA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7EBBB41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1F8EE8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2548-2556 MHz</w:t>
            </w:r>
          </w:p>
        </w:tc>
      </w:tr>
      <w:tr w:rsidR="00733207" w14:paraId="0E99CECC"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054D309"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130E62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2BFB0106"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5763114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2532-2540 MHz</w:t>
            </w:r>
          </w:p>
        </w:tc>
      </w:tr>
      <w:tr w:rsidR="00733207" w14:paraId="4FF4157C"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D9F15F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B1A84D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6367EDD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51C765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2516-2524 MHz</w:t>
            </w:r>
          </w:p>
        </w:tc>
      </w:tr>
      <w:tr w:rsidR="00733207" w14:paraId="01BCF54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1E90CE3"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44A04E4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54E9117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C505AE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2500-2508 MHz</w:t>
            </w:r>
          </w:p>
        </w:tc>
      </w:tr>
      <w:tr w:rsidR="00733207" w14:paraId="2673FEF0"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919E9E6"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022EFF3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60029A1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5EDEDA9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2660-2668 MHz</w:t>
            </w:r>
          </w:p>
        </w:tc>
      </w:tr>
      <w:tr w:rsidR="00733207" w14:paraId="62D679C1"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B08063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0DE4563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DSK Distribution</w:t>
            </w: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BCB24D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B51F95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2564-2572 MHz</w:t>
            </w:r>
          </w:p>
        </w:tc>
      </w:tr>
      <w:tr w:rsidR="00733207" w14:paraId="0FF7D0A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09DF7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ACDD55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757DEB3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7AB5151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2580-2588 MHz</w:t>
            </w:r>
          </w:p>
        </w:tc>
      </w:tr>
      <w:tr w:rsidR="00733207" w14:paraId="0884939F"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0D604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69335F0E"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72D27F1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106186F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2660-2668 MHz</w:t>
            </w:r>
          </w:p>
        </w:tc>
      </w:tr>
      <w:tr w:rsidR="00733207" w14:paraId="68906577"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11FE9F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05F9335"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D9F100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A35AF3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2668-2676 MHz</w:t>
            </w:r>
          </w:p>
        </w:tc>
      </w:tr>
      <w:tr w:rsidR="00733207" w14:paraId="1398595E"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69169D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395136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59160AC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3DA8E6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2676-2684 MHz</w:t>
            </w:r>
          </w:p>
        </w:tc>
      </w:tr>
      <w:tr w:rsidR="00733207" w14:paraId="1A08C345"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6A9178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FF79E1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DSK Distribution</w:t>
            </w: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49786CE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BF6117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2596-2604 MHz</w:t>
            </w:r>
          </w:p>
        </w:tc>
      </w:tr>
      <w:tr w:rsidR="00733207" w14:paraId="033067A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D37FB04"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47A5B73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3B71E4D6"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1B64C04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2604-2612 MHz</w:t>
            </w:r>
          </w:p>
        </w:tc>
      </w:tr>
      <w:tr w:rsidR="00733207" w14:paraId="0AE78BC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304B2E0"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164F335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777153A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51A3906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2612-2620 MHz</w:t>
            </w:r>
          </w:p>
        </w:tc>
      </w:tr>
      <w:tr w:rsidR="00733207" w14:paraId="7D8F8DB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FE9E1ED"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7A8D275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142C657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63D6D1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2620-2628 MHz</w:t>
            </w:r>
          </w:p>
        </w:tc>
      </w:tr>
      <w:tr w:rsidR="00733207" w14:paraId="12A0F516"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73C3DFC"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2D22AF4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26AC3D79"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38BF014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2628-2636 MHz</w:t>
            </w:r>
          </w:p>
        </w:tc>
      </w:tr>
      <w:tr w:rsidR="00733207" w14:paraId="4DF396F4"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3E6FCD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0F7FD37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35E0A85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6A6F43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2636-2644 MHz</w:t>
            </w:r>
          </w:p>
        </w:tc>
      </w:tr>
      <w:tr w:rsidR="00733207" w14:paraId="5C227873"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4F2F89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48378C8D"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1617D2F2"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2B04399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2644-2652 MHz</w:t>
            </w:r>
          </w:p>
        </w:tc>
      </w:tr>
      <w:tr w:rsidR="00733207" w14:paraId="7CE49AF2"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173B3C3"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3EC40D7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2456EF8"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3CBEC05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2652-2660 MHz</w:t>
            </w:r>
          </w:p>
        </w:tc>
      </w:tr>
      <w:tr w:rsidR="00733207" w14:paraId="4F90004B"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9193D9B"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085D61B7"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017A6D5F"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50C2785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2668-2676 MHz</w:t>
            </w:r>
          </w:p>
        </w:tc>
      </w:tr>
      <w:tr w:rsidR="00733207" w14:paraId="1FB30E1F" w14:textId="77777777">
        <w:trPr>
          <w:trHeight w:val="600"/>
          <w:jc w:val="center"/>
        </w:trPr>
        <w:tc>
          <w:tcPr>
            <w:tcW w:w="84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2681C41"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693" w:type="dxa"/>
            <w:tcBorders>
              <w:top w:val="single" w:sz="4" w:space="0" w:color="auto"/>
              <w:left w:val="nil"/>
              <w:bottom w:val="single" w:sz="4" w:space="0" w:color="auto"/>
              <w:right w:val="single" w:sz="4" w:space="0" w:color="auto"/>
            </w:tcBorders>
            <w:shd w:val="clear" w:color="auto" w:fill="FFFFFF" w:themeFill="background1"/>
            <w:noWrap/>
          </w:tcPr>
          <w:p w14:paraId="4F10CFBD"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2772" w:type="dxa"/>
            <w:tcBorders>
              <w:top w:val="single" w:sz="4" w:space="0" w:color="auto"/>
              <w:left w:val="nil"/>
              <w:bottom w:val="single" w:sz="4" w:space="0" w:color="auto"/>
              <w:right w:val="single" w:sz="4" w:space="0" w:color="auto"/>
            </w:tcBorders>
            <w:shd w:val="clear" w:color="auto" w:fill="FFFFFF" w:themeFill="background1"/>
            <w:noWrap/>
          </w:tcPr>
          <w:p w14:paraId="52FE759A" w14:textId="77777777" w:rsidR="00733207" w:rsidRDefault="00733207">
            <w:pPr>
              <w:spacing w:after="0" w:line="240" w:lineRule="auto"/>
              <w:jc w:val="both"/>
              <w:rPr>
                <w:rFonts w:ascii="Rockwell" w:eastAsia="Times New Roman" w:hAnsi="Rockwell" w:cs="Times New Roman"/>
                <w:color w:val="000000"/>
                <w:sz w:val="24"/>
                <w:szCs w:val="24"/>
                <w:lang w:eastAsia="fr-FR"/>
              </w:rPr>
            </w:pPr>
          </w:p>
        </w:tc>
        <w:tc>
          <w:tcPr>
            <w:tcW w:w="3323" w:type="dxa"/>
            <w:tcBorders>
              <w:top w:val="single" w:sz="4" w:space="0" w:color="auto"/>
              <w:left w:val="nil"/>
              <w:bottom w:val="single" w:sz="4" w:space="0" w:color="auto"/>
              <w:right w:val="single" w:sz="4" w:space="0" w:color="auto"/>
            </w:tcBorders>
            <w:shd w:val="clear" w:color="auto" w:fill="FFFFFF" w:themeFill="background1"/>
            <w:noWrap/>
          </w:tcPr>
          <w:p w14:paraId="06F27D0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2676-2784 MHz</w:t>
            </w:r>
          </w:p>
        </w:tc>
      </w:tr>
    </w:tbl>
    <w:p w14:paraId="333184EB"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0DC4F40E" w14:textId="77777777" w:rsidR="00733207" w:rsidRDefault="00733207">
      <w:pPr>
        <w:pStyle w:val="Paragraphedeliste"/>
        <w:spacing w:after="0" w:line="240" w:lineRule="auto"/>
        <w:ind w:left="851"/>
        <w:jc w:val="both"/>
        <w:rPr>
          <w:rFonts w:ascii="Rockwell" w:eastAsia="Times New Roman" w:hAnsi="Rockwell" w:cs="Times New Roman"/>
          <w:b/>
          <w:bCs/>
          <w:color w:val="000000"/>
          <w:sz w:val="10"/>
          <w:szCs w:val="10"/>
          <w:lang w:eastAsia="fr-FR"/>
        </w:rPr>
      </w:pPr>
    </w:p>
    <w:p w14:paraId="57D377E7" w14:textId="77777777" w:rsidR="00733207" w:rsidRDefault="00733207">
      <w:pPr>
        <w:pStyle w:val="Paragraphedeliste"/>
        <w:spacing w:after="0" w:line="240" w:lineRule="auto"/>
        <w:ind w:left="851"/>
        <w:jc w:val="both"/>
        <w:rPr>
          <w:rFonts w:ascii="Rockwell" w:eastAsia="Times New Roman" w:hAnsi="Rockwell" w:cs="Times New Roman"/>
          <w:b/>
          <w:bCs/>
          <w:color w:val="000000"/>
          <w:sz w:val="10"/>
          <w:szCs w:val="10"/>
          <w:lang w:eastAsia="fr-FR"/>
        </w:rPr>
      </w:pPr>
    </w:p>
    <w:p w14:paraId="66ABC94F" w14:textId="77777777" w:rsidR="00733207" w:rsidRDefault="00733207">
      <w:pPr>
        <w:pStyle w:val="Paragraphedeliste"/>
        <w:spacing w:after="0" w:line="240" w:lineRule="auto"/>
        <w:ind w:left="851"/>
        <w:jc w:val="both"/>
        <w:rPr>
          <w:rFonts w:ascii="Rockwell" w:eastAsia="Times New Roman" w:hAnsi="Rockwell" w:cs="Times New Roman"/>
          <w:b/>
          <w:bCs/>
          <w:color w:val="000000"/>
          <w:sz w:val="10"/>
          <w:szCs w:val="10"/>
          <w:lang w:eastAsia="fr-FR"/>
        </w:rPr>
      </w:pPr>
    </w:p>
    <w:p w14:paraId="6756C738" w14:textId="77777777" w:rsidR="00733207" w:rsidRDefault="00733207">
      <w:pPr>
        <w:pStyle w:val="Paragraphedeliste"/>
        <w:spacing w:after="0" w:line="240" w:lineRule="auto"/>
        <w:ind w:left="851"/>
        <w:jc w:val="both"/>
        <w:rPr>
          <w:rFonts w:ascii="Rockwell" w:eastAsia="Times New Roman" w:hAnsi="Rockwell" w:cs="Times New Roman"/>
          <w:b/>
          <w:bCs/>
          <w:color w:val="000000"/>
          <w:sz w:val="10"/>
          <w:szCs w:val="10"/>
          <w:lang w:eastAsia="fr-FR"/>
        </w:rPr>
      </w:pPr>
    </w:p>
    <w:p w14:paraId="0725A24A" w14:textId="77777777" w:rsidR="00733207" w:rsidRDefault="00912BAE">
      <w:pPr>
        <w:pStyle w:val="Paragraphedeliste"/>
        <w:spacing w:after="0" w:line="240" w:lineRule="auto"/>
        <w:ind w:left="-142"/>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B. OPERATEURS SATELLITAIRES : Quatre (04)</w:t>
      </w:r>
    </w:p>
    <w:p w14:paraId="49CF966C" w14:textId="77777777" w:rsidR="00733207" w:rsidRDefault="00733207">
      <w:pPr>
        <w:pStyle w:val="Paragraphedeliste"/>
        <w:spacing w:after="0" w:line="240" w:lineRule="auto"/>
        <w:ind w:left="851"/>
        <w:jc w:val="both"/>
        <w:rPr>
          <w:rFonts w:ascii="Rockwell" w:eastAsia="Times New Roman" w:hAnsi="Rockwell" w:cs="Times New Roman"/>
          <w:b/>
          <w:bCs/>
          <w:color w:val="000000"/>
          <w:sz w:val="24"/>
          <w:szCs w:val="24"/>
          <w:lang w:eastAsia="fr-FR"/>
        </w:rPr>
      </w:pPr>
    </w:p>
    <w:p w14:paraId="3BCA8726"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tbl>
      <w:tblPr>
        <w:tblStyle w:val="Grilledutableau"/>
        <w:tblW w:w="10186" w:type="dxa"/>
        <w:jc w:val="center"/>
        <w:tblLayout w:type="fixed"/>
        <w:tblLook w:val="04A0" w:firstRow="1" w:lastRow="0" w:firstColumn="1" w:lastColumn="0" w:noHBand="0" w:noVBand="1"/>
      </w:tblPr>
      <w:tblGrid>
        <w:gridCol w:w="1159"/>
        <w:gridCol w:w="5695"/>
        <w:gridCol w:w="3332"/>
      </w:tblGrid>
      <w:tr w:rsidR="00733207" w14:paraId="27861195" w14:textId="77777777">
        <w:trPr>
          <w:trHeight w:val="854"/>
          <w:jc w:val="center"/>
        </w:trPr>
        <w:tc>
          <w:tcPr>
            <w:tcW w:w="1159" w:type="dxa"/>
            <w:shd w:val="clear" w:color="auto" w:fill="BFBFBF" w:themeFill="background1" w:themeFillShade="BF"/>
            <w:noWrap/>
          </w:tcPr>
          <w:p w14:paraId="63AF9571" w14:textId="77777777" w:rsidR="00733207" w:rsidRDefault="00912BAE">
            <w:pPr>
              <w:spacing w:before="120"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5695" w:type="dxa"/>
            <w:shd w:val="clear" w:color="auto" w:fill="BFBFBF" w:themeFill="background1" w:themeFillShade="BF"/>
            <w:noWrap/>
          </w:tcPr>
          <w:p w14:paraId="62050BAE" w14:textId="77777777" w:rsidR="00733207" w:rsidRDefault="00912BAE">
            <w:pPr>
              <w:spacing w:before="120"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 Signataire</w:t>
            </w:r>
          </w:p>
        </w:tc>
        <w:tc>
          <w:tcPr>
            <w:tcW w:w="3332" w:type="dxa"/>
            <w:shd w:val="clear" w:color="auto" w:fill="BFBFBF" w:themeFill="background1" w:themeFillShade="BF"/>
            <w:noWrap/>
          </w:tcPr>
          <w:p w14:paraId="769E072C" w14:textId="77777777" w:rsidR="00733207" w:rsidRDefault="00912BAE">
            <w:pPr>
              <w:spacing w:before="120"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r>
      <w:tr w:rsidR="00733207" w14:paraId="4559A52C" w14:textId="77777777">
        <w:trPr>
          <w:trHeight w:val="465"/>
          <w:jc w:val="center"/>
        </w:trPr>
        <w:tc>
          <w:tcPr>
            <w:tcW w:w="1159" w:type="dxa"/>
            <w:noWrap/>
          </w:tcPr>
          <w:p w14:paraId="5D5D3880" w14:textId="77777777" w:rsidR="00733207" w:rsidRDefault="00912BAE">
            <w:pPr>
              <w:spacing w:before="24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5695" w:type="dxa"/>
            <w:noWrap/>
          </w:tcPr>
          <w:p w14:paraId="5C4D6941" w14:textId="77777777" w:rsidR="00733207" w:rsidRDefault="00912BAE">
            <w:pPr>
              <w:spacing w:before="240" w:after="24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Canal+Afrique</w:t>
            </w:r>
            <w:proofErr w:type="spellEnd"/>
            <w:r>
              <w:rPr>
                <w:rFonts w:ascii="Rockwell" w:eastAsia="Times New Roman" w:hAnsi="Rockwell" w:cs="Times New Roman"/>
                <w:color w:val="000000"/>
                <w:sz w:val="24"/>
                <w:szCs w:val="24"/>
                <w:lang w:eastAsia="fr-FR"/>
              </w:rPr>
              <w:t>/Jean Christophe RAMOS</w:t>
            </w:r>
          </w:p>
        </w:tc>
        <w:tc>
          <w:tcPr>
            <w:tcW w:w="3332" w:type="dxa"/>
            <w:noWrap/>
          </w:tcPr>
          <w:p w14:paraId="20CBCBE4" w14:textId="77777777" w:rsidR="00733207" w:rsidRDefault="00912BAE">
            <w:pPr>
              <w:spacing w:before="12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Ouagadougou/</w:t>
            </w:r>
            <w:proofErr w:type="spellStart"/>
            <w:r>
              <w:rPr>
                <w:rFonts w:ascii="Rockwell" w:eastAsia="Times New Roman" w:hAnsi="Rockwell" w:cs="Times New Roman"/>
                <w:color w:val="000000"/>
                <w:sz w:val="24"/>
                <w:szCs w:val="24"/>
                <w:lang w:eastAsia="fr-FR"/>
              </w:rPr>
              <w:t>kadiogo</w:t>
            </w:r>
            <w:proofErr w:type="spellEnd"/>
          </w:p>
        </w:tc>
      </w:tr>
      <w:tr w:rsidR="00733207" w14:paraId="25807320" w14:textId="77777777">
        <w:trPr>
          <w:trHeight w:val="854"/>
          <w:jc w:val="center"/>
        </w:trPr>
        <w:tc>
          <w:tcPr>
            <w:tcW w:w="1159" w:type="dxa"/>
            <w:noWrap/>
          </w:tcPr>
          <w:p w14:paraId="1B225D6E" w14:textId="77777777" w:rsidR="00733207" w:rsidRDefault="00912BAE">
            <w:pPr>
              <w:spacing w:before="24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5695" w:type="dxa"/>
            <w:noWrap/>
          </w:tcPr>
          <w:p w14:paraId="106713A4" w14:textId="77777777" w:rsidR="00733207" w:rsidRDefault="00912BAE">
            <w:pPr>
              <w:spacing w:before="240" w:after="120" w:line="240" w:lineRule="auto"/>
              <w:jc w:val="both"/>
              <w:rPr>
                <w:rFonts w:ascii="Rockwell" w:hAnsi="Rockwell" w:cs="Times New Roman"/>
                <w:b/>
                <w:sz w:val="24"/>
                <w:szCs w:val="24"/>
              </w:rPr>
            </w:pPr>
            <w:proofErr w:type="spellStart"/>
            <w:r>
              <w:rPr>
                <w:rFonts w:ascii="Rockwell" w:eastAsia="Times New Roman" w:hAnsi="Rockwell" w:cs="Times New Roman"/>
                <w:color w:val="000000"/>
                <w:sz w:val="24"/>
                <w:szCs w:val="24"/>
                <w:lang w:eastAsia="fr-FR"/>
              </w:rPr>
              <w:t>SatVision</w:t>
            </w:r>
            <w:proofErr w:type="spellEnd"/>
            <w:r>
              <w:rPr>
                <w:rFonts w:ascii="Rockwell" w:eastAsia="Times New Roman" w:hAnsi="Rockwell" w:cs="Times New Roman"/>
                <w:color w:val="000000"/>
                <w:sz w:val="24"/>
                <w:szCs w:val="24"/>
                <w:lang w:eastAsia="fr-FR"/>
              </w:rPr>
              <w:t>/</w:t>
            </w:r>
            <w:r>
              <w:rPr>
                <w:rFonts w:ascii="Rockwell" w:eastAsia="Times New Roman" w:hAnsi="Rockwell" w:cs="Times New Roman"/>
                <w:b/>
                <w:color w:val="000000"/>
                <w:sz w:val="24"/>
                <w:szCs w:val="24"/>
                <w:lang w:eastAsia="fr-FR"/>
              </w:rPr>
              <w:t xml:space="preserve"> </w:t>
            </w:r>
            <w:r>
              <w:rPr>
                <w:rFonts w:ascii="Rockwell" w:eastAsia="Times New Roman" w:hAnsi="Rockwell" w:cs="Times New Roman"/>
                <w:color w:val="000000"/>
                <w:sz w:val="24"/>
                <w:szCs w:val="24"/>
                <w:lang w:eastAsia="fr-FR"/>
              </w:rPr>
              <w:t>PDG M. JOE ZIADE</w:t>
            </w:r>
            <w:r>
              <w:rPr>
                <w:rFonts w:ascii="Rockwell" w:hAnsi="Rockwell" w:cs="Times New Roman"/>
                <w:b/>
                <w:sz w:val="24"/>
                <w:szCs w:val="24"/>
              </w:rPr>
              <w:t xml:space="preserve"> </w:t>
            </w:r>
          </w:p>
        </w:tc>
        <w:tc>
          <w:tcPr>
            <w:tcW w:w="3332" w:type="dxa"/>
            <w:noWrap/>
          </w:tcPr>
          <w:p w14:paraId="5D69236A" w14:textId="77777777" w:rsidR="00733207" w:rsidRDefault="00912BAE">
            <w:pPr>
              <w:spacing w:before="12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r>
      <w:tr w:rsidR="00733207" w14:paraId="4858C340" w14:textId="77777777">
        <w:trPr>
          <w:trHeight w:val="854"/>
          <w:jc w:val="center"/>
        </w:trPr>
        <w:tc>
          <w:tcPr>
            <w:tcW w:w="1159" w:type="dxa"/>
            <w:noWrap/>
          </w:tcPr>
          <w:p w14:paraId="4BCD4F64" w14:textId="77777777" w:rsidR="00733207" w:rsidRDefault="00912BAE">
            <w:pPr>
              <w:spacing w:before="24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5695" w:type="dxa"/>
            <w:noWrap/>
          </w:tcPr>
          <w:p w14:paraId="1E6B9515" w14:textId="77777777" w:rsidR="00733207" w:rsidRDefault="00912BAE">
            <w:pPr>
              <w:spacing w:before="240" w:after="0" w:line="240" w:lineRule="auto"/>
              <w:jc w:val="both"/>
              <w:rPr>
                <w:rFonts w:ascii="Rockwell" w:hAnsi="Rockwell" w:cs="Times New Roman"/>
                <w:b/>
                <w:sz w:val="24"/>
                <w:szCs w:val="24"/>
              </w:rPr>
            </w:pPr>
            <w:proofErr w:type="spellStart"/>
            <w:r>
              <w:rPr>
                <w:rFonts w:ascii="Rockwell" w:eastAsia="Times New Roman" w:hAnsi="Rockwell" w:cs="Times New Roman"/>
                <w:color w:val="000000"/>
                <w:sz w:val="24"/>
                <w:szCs w:val="24"/>
                <w:lang w:eastAsia="fr-FR"/>
              </w:rPr>
              <w:t>NumériSat</w:t>
            </w:r>
            <w:proofErr w:type="spellEnd"/>
            <w:r>
              <w:rPr>
                <w:rFonts w:ascii="Rockwell" w:eastAsia="Times New Roman" w:hAnsi="Rockwell" w:cs="Times New Roman"/>
                <w:color w:val="000000"/>
                <w:sz w:val="24"/>
                <w:szCs w:val="24"/>
                <w:lang w:eastAsia="fr-FR"/>
              </w:rPr>
              <w:t>/</w:t>
            </w:r>
            <w:r>
              <w:rPr>
                <w:rFonts w:ascii="Rockwell" w:hAnsi="Rockwell" w:cs="Times New Roman"/>
                <w:b/>
                <w:sz w:val="24"/>
                <w:szCs w:val="24"/>
              </w:rPr>
              <w:t xml:space="preserve"> </w:t>
            </w:r>
            <w:r>
              <w:rPr>
                <w:rFonts w:ascii="Rockwell" w:hAnsi="Rockwell" w:cs="Times New Roman"/>
                <w:sz w:val="24"/>
                <w:szCs w:val="24"/>
              </w:rPr>
              <w:t>Président Monsieur Mathias ZONGO</w:t>
            </w:r>
          </w:p>
        </w:tc>
        <w:tc>
          <w:tcPr>
            <w:tcW w:w="3332" w:type="dxa"/>
            <w:noWrap/>
          </w:tcPr>
          <w:p w14:paraId="204313BB" w14:textId="77777777" w:rsidR="00733207" w:rsidRDefault="00912BAE">
            <w:pPr>
              <w:spacing w:before="24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r>
      <w:tr w:rsidR="00733207" w14:paraId="7D00B600" w14:textId="77777777">
        <w:trPr>
          <w:trHeight w:val="854"/>
          <w:jc w:val="center"/>
        </w:trPr>
        <w:tc>
          <w:tcPr>
            <w:tcW w:w="1159" w:type="dxa"/>
            <w:noWrap/>
          </w:tcPr>
          <w:p w14:paraId="104751AF" w14:textId="77777777" w:rsidR="00733207" w:rsidRDefault="00912BAE">
            <w:pPr>
              <w:spacing w:before="12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5695" w:type="dxa"/>
            <w:noWrap/>
          </w:tcPr>
          <w:p w14:paraId="1B155B7A" w14:textId="77777777" w:rsidR="00733207" w:rsidRDefault="00912BAE">
            <w:pPr>
              <w:spacing w:before="120" w:after="0" w:line="240" w:lineRule="auto"/>
              <w:jc w:val="both"/>
              <w:rPr>
                <w:rFonts w:ascii="Rockwell" w:eastAsia="Times New Roman" w:hAnsi="Rockwell" w:cs="Times New Roman"/>
                <w:color w:val="000000"/>
                <w:sz w:val="24"/>
                <w:szCs w:val="24"/>
                <w:lang w:val="en-US" w:eastAsia="fr-FR"/>
              </w:rPr>
            </w:pPr>
            <w:r>
              <w:rPr>
                <w:rFonts w:ascii="Rockwell" w:eastAsia="Times New Roman" w:hAnsi="Rockwell" w:cs="Times New Roman"/>
                <w:color w:val="000000"/>
                <w:sz w:val="24"/>
                <w:szCs w:val="24"/>
                <w:lang w:val="en-US" w:eastAsia="fr-FR"/>
              </w:rPr>
              <w:t>STARS MEDIA BURKINA/ Joachim BAKY</w:t>
            </w:r>
          </w:p>
        </w:tc>
        <w:tc>
          <w:tcPr>
            <w:tcW w:w="3332" w:type="dxa"/>
            <w:noWrap/>
          </w:tcPr>
          <w:p w14:paraId="1D6313F1" w14:textId="77777777" w:rsidR="00733207" w:rsidRDefault="00912BAE">
            <w:pPr>
              <w:spacing w:before="120"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r>
    </w:tbl>
    <w:p w14:paraId="1F5319B5"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520E0A65"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7FB1B621"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5FA51057"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2D1CAA17" w14:textId="77777777" w:rsidR="00733207" w:rsidRDefault="00733207">
      <w:pPr>
        <w:spacing w:after="0" w:line="240" w:lineRule="auto"/>
        <w:jc w:val="both"/>
        <w:rPr>
          <w:rFonts w:ascii="Rockwell" w:eastAsia="Times New Roman" w:hAnsi="Rockwell" w:cs="Times New Roman"/>
          <w:b/>
          <w:bCs/>
          <w:color w:val="000000"/>
          <w:sz w:val="16"/>
          <w:szCs w:val="16"/>
          <w:lang w:eastAsia="fr-FR"/>
        </w:rPr>
        <w:sectPr w:rsidR="00733207">
          <w:pgSz w:w="11906" w:h="16838"/>
          <w:pgMar w:top="1417" w:right="1417" w:bottom="1417" w:left="1417" w:header="708" w:footer="708" w:gutter="0"/>
          <w:cols w:space="708"/>
          <w:docGrid w:linePitch="360"/>
        </w:sectPr>
      </w:pPr>
    </w:p>
    <w:p w14:paraId="31812400" w14:textId="77777777" w:rsidR="00733207" w:rsidRDefault="00912BAE">
      <w:pPr>
        <w:pStyle w:val="Paragraphedeliste"/>
        <w:numPr>
          <w:ilvl w:val="0"/>
          <w:numId w:val="51"/>
        </w:numPr>
        <w:spacing w:after="200" w:line="276" w:lineRule="auto"/>
        <w:ind w:left="1560" w:firstLine="850"/>
        <w:jc w:val="both"/>
        <w:rPr>
          <w:rFonts w:ascii="Rockwell" w:hAnsi="Rockwell" w:cs="Times New Roman"/>
          <w:sz w:val="24"/>
          <w:szCs w:val="24"/>
        </w:rPr>
      </w:pPr>
      <w:r>
        <w:rPr>
          <w:rFonts w:ascii="Rockwell" w:eastAsia="Times New Roman" w:hAnsi="Rockwell" w:cs="Times New Roman"/>
          <w:b/>
          <w:bCs/>
          <w:color w:val="000000"/>
          <w:sz w:val="24"/>
          <w:szCs w:val="24"/>
          <w:lang w:eastAsia="fr-FR"/>
        </w:rPr>
        <w:lastRenderedPageBreak/>
        <w:t>LES MEDIAS AUDIOVISUELS PUBLICS</w:t>
      </w:r>
    </w:p>
    <w:p w14:paraId="424EDEDB" w14:textId="77777777" w:rsidR="00733207" w:rsidRDefault="00733207">
      <w:pPr>
        <w:pStyle w:val="Paragraphedeliste"/>
        <w:spacing w:after="200" w:line="276" w:lineRule="auto"/>
        <w:ind w:left="2410"/>
        <w:jc w:val="both"/>
        <w:rPr>
          <w:rFonts w:ascii="Rockwell" w:hAnsi="Rockwell" w:cs="Times New Roman"/>
          <w:sz w:val="10"/>
          <w:szCs w:val="10"/>
        </w:rPr>
      </w:pPr>
    </w:p>
    <w:p w14:paraId="66C83CA4" w14:textId="77777777" w:rsidR="00733207" w:rsidRDefault="00733207">
      <w:pPr>
        <w:pStyle w:val="Paragraphedeliste"/>
        <w:ind w:left="1843"/>
        <w:jc w:val="both"/>
        <w:rPr>
          <w:rFonts w:ascii="Rockwell" w:hAnsi="Rockwell" w:cs="Times New Roman"/>
          <w:sz w:val="4"/>
          <w:szCs w:val="4"/>
        </w:rPr>
      </w:pPr>
    </w:p>
    <w:p w14:paraId="2ACB4B8D" w14:textId="77777777" w:rsidR="00733207" w:rsidRDefault="00912BAE">
      <w:pPr>
        <w:pStyle w:val="Paragraphedeliste"/>
        <w:numPr>
          <w:ilvl w:val="0"/>
          <w:numId w:val="58"/>
        </w:numPr>
        <w:spacing w:after="240" w:line="240" w:lineRule="auto"/>
        <w:ind w:left="1418" w:right="567" w:hanging="567"/>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RADIODIFFUSIONS SONORES</w:t>
      </w:r>
    </w:p>
    <w:p w14:paraId="541E303F" w14:textId="77777777" w:rsidR="00733207" w:rsidRDefault="00733207">
      <w:pPr>
        <w:pStyle w:val="Paragraphedeliste"/>
        <w:spacing w:after="240" w:line="240" w:lineRule="auto"/>
        <w:ind w:left="1843"/>
        <w:jc w:val="both"/>
        <w:rPr>
          <w:rFonts w:ascii="Rockwell" w:eastAsia="Times New Roman" w:hAnsi="Rockwell" w:cs="Times New Roman"/>
          <w:b/>
          <w:bCs/>
          <w:color w:val="000000"/>
          <w:sz w:val="24"/>
          <w:szCs w:val="24"/>
          <w:lang w:eastAsia="fr-FR"/>
        </w:rPr>
      </w:pPr>
    </w:p>
    <w:p w14:paraId="252DBA6E" w14:textId="77777777" w:rsidR="00733207" w:rsidRDefault="00912BAE">
      <w:pPr>
        <w:pStyle w:val="Paragraphedeliste"/>
        <w:numPr>
          <w:ilvl w:val="0"/>
          <w:numId w:val="59"/>
        </w:numPr>
        <w:spacing w:after="0" w:line="240" w:lineRule="auto"/>
        <w:ind w:left="2127" w:firstLine="272"/>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Radios communales : trente et un (31)</w:t>
      </w:r>
    </w:p>
    <w:p w14:paraId="6655C3C2"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tbl>
      <w:tblPr>
        <w:tblW w:w="10343" w:type="dxa"/>
        <w:jc w:val="center"/>
        <w:tblLayout w:type="fixed"/>
        <w:tblCellMar>
          <w:left w:w="70" w:type="dxa"/>
          <w:right w:w="70" w:type="dxa"/>
        </w:tblCellMar>
        <w:tblLook w:val="04A0" w:firstRow="1" w:lastRow="0" w:firstColumn="1" w:lastColumn="0" w:noHBand="0" w:noVBand="1"/>
      </w:tblPr>
      <w:tblGrid>
        <w:gridCol w:w="988"/>
        <w:gridCol w:w="4677"/>
        <w:gridCol w:w="3119"/>
        <w:gridCol w:w="1559"/>
      </w:tblGrid>
      <w:tr w:rsidR="00733207" w14:paraId="46C2DC17"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0343D35B"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4677" w:type="dxa"/>
            <w:tcBorders>
              <w:top w:val="single" w:sz="4" w:space="0" w:color="auto"/>
              <w:left w:val="nil"/>
              <w:bottom w:val="single" w:sz="4" w:space="0" w:color="auto"/>
              <w:right w:val="single" w:sz="4" w:space="0" w:color="auto"/>
            </w:tcBorders>
            <w:shd w:val="clear" w:color="auto" w:fill="BFBFBF" w:themeFill="background1" w:themeFillShade="BF"/>
            <w:noWrap/>
          </w:tcPr>
          <w:p w14:paraId="5C0FF06C"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119" w:type="dxa"/>
            <w:tcBorders>
              <w:top w:val="single" w:sz="4" w:space="0" w:color="auto"/>
              <w:left w:val="nil"/>
              <w:bottom w:val="single" w:sz="4" w:space="0" w:color="auto"/>
              <w:right w:val="single" w:sz="4" w:space="0" w:color="auto"/>
            </w:tcBorders>
            <w:shd w:val="clear" w:color="auto" w:fill="BFBFBF" w:themeFill="background1" w:themeFillShade="BF"/>
            <w:noWrap/>
          </w:tcPr>
          <w:p w14:paraId="6A873913"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559" w:type="dxa"/>
            <w:tcBorders>
              <w:top w:val="single" w:sz="4" w:space="0" w:color="auto"/>
              <w:left w:val="nil"/>
              <w:bottom w:val="single" w:sz="4" w:space="0" w:color="auto"/>
              <w:right w:val="single" w:sz="4" w:space="0" w:color="auto"/>
            </w:tcBorders>
            <w:shd w:val="clear" w:color="auto" w:fill="BFBFBF" w:themeFill="background1" w:themeFillShade="BF"/>
            <w:noWrap/>
          </w:tcPr>
          <w:p w14:paraId="60A57693"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00072863"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C822D68"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914BA7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Municipale de </w:t>
            </w:r>
            <w:proofErr w:type="gramStart"/>
            <w:r>
              <w:rPr>
                <w:rFonts w:ascii="Rockwell" w:eastAsia="Times New Roman" w:hAnsi="Rockwell" w:cs="Times New Roman"/>
                <w:color w:val="000000"/>
                <w:sz w:val="24"/>
                <w:szCs w:val="24"/>
                <w:lang w:eastAsia="fr-FR"/>
              </w:rPr>
              <w:t>Ouagadougou  (</w:t>
            </w:r>
            <w:proofErr w:type="gramEnd"/>
            <w:r>
              <w:rPr>
                <w:rFonts w:ascii="Rockwell" w:eastAsia="Times New Roman" w:hAnsi="Rockwell" w:cs="Times New Roman"/>
                <w:color w:val="000000"/>
                <w:sz w:val="24"/>
                <w:szCs w:val="24"/>
                <w:lang w:eastAsia="fr-FR"/>
              </w:rPr>
              <w:t>RMO)</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B4205E0"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EE84762"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98.9 MHz</w:t>
            </w:r>
          </w:p>
        </w:tc>
      </w:tr>
      <w:tr w:rsidR="00733207" w14:paraId="7723B8BA"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DA510C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30810EE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La Voix du Sourou</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62250037"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Tougan/Sourou</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4086317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105 MHz</w:t>
            </w:r>
          </w:p>
        </w:tc>
      </w:tr>
      <w:tr w:rsidR="00733207" w14:paraId="156500C9"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072C15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3D70E82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de l’Unité </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2F85D736"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Boudry/Ganzourgou</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3C9E0650" w14:textId="77777777" w:rsidR="00733207" w:rsidRDefault="00912BAE">
            <w:pPr>
              <w:spacing w:after="120" w:line="240" w:lineRule="auto"/>
              <w:jc w:val="both"/>
              <w:rPr>
                <w:rFonts w:ascii="Rockwell" w:eastAsia="Times New Roman" w:hAnsi="Rockwell" w:cs="Times New Roman"/>
                <w:color w:val="000000"/>
                <w:sz w:val="24"/>
                <w:szCs w:val="24"/>
                <w:lang w:eastAsia="fr-FR"/>
              </w:rPr>
            </w:pPr>
            <w:proofErr w:type="gramStart"/>
            <w:r>
              <w:rPr>
                <w:rFonts w:ascii="Rockwell" w:eastAsia="Times New Roman" w:hAnsi="Rockwell" w:cs="Times New Roman"/>
                <w:color w:val="000000"/>
                <w:sz w:val="24"/>
                <w:szCs w:val="24"/>
                <w:lang w:eastAsia="fr-FR"/>
              </w:rPr>
              <w:t>b</w:t>
            </w:r>
            <w:proofErr w:type="gramEnd"/>
            <w:r>
              <w:rPr>
                <w:rFonts w:ascii="Rockwell" w:eastAsia="Times New Roman" w:hAnsi="Rockwell" w:cs="Times New Roman"/>
                <w:color w:val="000000"/>
                <w:sz w:val="24"/>
                <w:szCs w:val="24"/>
                <w:lang w:eastAsia="fr-FR"/>
              </w:rPr>
              <w:t>95.2 MHz</w:t>
            </w:r>
          </w:p>
        </w:tc>
      </w:tr>
      <w:tr w:rsidR="00733207" w14:paraId="4984C301"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EDBCAB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30FC314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La Voix du </w:t>
            </w:r>
            <w:proofErr w:type="spellStart"/>
            <w:r>
              <w:rPr>
                <w:rFonts w:ascii="Rockwell" w:eastAsia="Times New Roman" w:hAnsi="Rockwell" w:cs="Times New Roman"/>
                <w:color w:val="000000"/>
                <w:sz w:val="24"/>
                <w:szCs w:val="24"/>
                <w:lang w:eastAsia="fr-FR"/>
              </w:rPr>
              <w:t>Lorum</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5FA90F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Titao/</w:t>
            </w:r>
            <w:proofErr w:type="spellStart"/>
            <w:r>
              <w:rPr>
                <w:rFonts w:ascii="Rockwell" w:eastAsia="Times New Roman" w:hAnsi="Rockwell" w:cs="Times New Roman"/>
                <w:color w:val="000000"/>
                <w:sz w:val="24"/>
                <w:szCs w:val="24"/>
                <w:lang w:eastAsia="fr-FR"/>
              </w:rPr>
              <w:t>Lorum</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897FAF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90.7 MHz</w:t>
            </w:r>
          </w:p>
        </w:tc>
      </w:tr>
      <w:tr w:rsidR="00733207" w14:paraId="24D9733F"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539EA50"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19DEB696"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La Voix du Sanguié</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100F62D3" w14:textId="77777777" w:rsidR="00733207" w:rsidRDefault="00912BAE">
            <w:pPr>
              <w:spacing w:after="24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Réo</w:t>
            </w:r>
            <w:proofErr w:type="spellEnd"/>
            <w:r>
              <w:rPr>
                <w:rFonts w:ascii="Rockwell" w:eastAsia="Times New Roman" w:hAnsi="Rockwell" w:cs="Times New Roman"/>
                <w:color w:val="000000"/>
                <w:sz w:val="24"/>
                <w:szCs w:val="24"/>
                <w:lang w:eastAsia="fr-FR"/>
              </w:rPr>
              <w:t>/Sanguié</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394EF352"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102.8 MHz</w:t>
            </w:r>
          </w:p>
        </w:tc>
      </w:tr>
      <w:tr w:rsidR="00733207" w14:paraId="054FF64D"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527054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0502B3B7"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Sara FM Botou</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3B5201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Botou/Tapoa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669BE29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102.6 MHz</w:t>
            </w:r>
          </w:p>
        </w:tc>
      </w:tr>
      <w:tr w:rsidR="00733207" w14:paraId="5CAFD594"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7A893BB" w14:textId="77777777" w:rsidR="00733207" w:rsidRDefault="00912BAE">
            <w:pPr>
              <w:spacing w:after="12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7</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493849C5" w14:textId="77777777" w:rsidR="00733207" w:rsidRDefault="00912BAE">
            <w:pPr>
              <w:spacing w:after="12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 xml:space="preserve">Radio </w:t>
            </w:r>
            <w:proofErr w:type="spellStart"/>
            <w:r>
              <w:rPr>
                <w:rFonts w:ascii="Rockwell" w:eastAsia="Times New Roman" w:hAnsi="Rockwell" w:cs="Times New Roman"/>
                <w:sz w:val="24"/>
                <w:szCs w:val="24"/>
                <w:lang w:eastAsia="fr-FR"/>
              </w:rPr>
              <w:t>Lamogoya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0F72E66F" w14:textId="77777777" w:rsidR="00733207" w:rsidRDefault="00912BAE">
            <w:pPr>
              <w:spacing w:after="12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Tansila/Banwa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45FED7F6" w14:textId="77777777" w:rsidR="00733207" w:rsidRDefault="00912BAE">
            <w:pPr>
              <w:spacing w:after="12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101.100 MHz</w:t>
            </w:r>
          </w:p>
        </w:tc>
      </w:tr>
      <w:tr w:rsidR="00733207" w14:paraId="59803EDC"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0A1671B"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2AFD5692"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Municipale de </w:t>
            </w:r>
            <w:proofErr w:type="spellStart"/>
            <w:r>
              <w:rPr>
                <w:rFonts w:ascii="Rockwell" w:eastAsia="Times New Roman" w:hAnsi="Rockwell" w:cs="Times New Roman"/>
                <w:color w:val="000000"/>
                <w:sz w:val="24"/>
                <w:szCs w:val="24"/>
                <w:lang w:eastAsia="fr-FR"/>
              </w:rPr>
              <w:t>Sya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3EED7C2"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CD81A93" w14:textId="77777777" w:rsidR="00733207" w:rsidRDefault="00912BAE">
            <w:pPr>
              <w:spacing w:after="24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93.100 MHz</w:t>
            </w:r>
          </w:p>
        </w:tc>
      </w:tr>
      <w:tr w:rsidR="00733207" w14:paraId="5BC776DA"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7F8666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7F7C2C4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Zuba'ui-J</w:t>
            </w:r>
            <w:r>
              <w:rPr>
                <w:rFonts w:ascii="Cambria" w:eastAsia="Times New Roman" w:hAnsi="Cambria" w:cs="Cambria"/>
                <w:color w:val="000000"/>
                <w:sz w:val="24"/>
                <w:szCs w:val="24"/>
                <w:lang w:eastAsia="fr-FR"/>
              </w:rPr>
              <w:t>ε</w:t>
            </w:r>
            <w:r>
              <w:rPr>
                <w:rFonts w:ascii="Rockwell" w:eastAsia="Times New Roman" w:hAnsi="Rockwell" w:cs="Times New Roman"/>
                <w:color w:val="000000"/>
                <w:sz w:val="24"/>
                <w:szCs w:val="24"/>
                <w:lang w:eastAsia="fr-FR"/>
              </w:rPr>
              <w:t>kan</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9BC14A8"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Djibasso/Kossi</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1F7161F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94.600 MHz</w:t>
            </w:r>
          </w:p>
        </w:tc>
      </w:tr>
      <w:tr w:rsidR="00733207" w14:paraId="798AB798"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E275F4B"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177F686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La </w:t>
            </w:r>
            <w:proofErr w:type="gramStart"/>
            <w:r>
              <w:rPr>
                <w:rFonts w:ascii="Rockwell" w:eastAsia="Times New Roman" w:hAnsi="Rockwell" w:cs="Times New Roman"/>
                <w:color w:val="000000"/>
                <w:sz w:val="24"/>
                <w:szCs w:val="24"/>
                <w:lang w:eastAsia="fr-FR"/>
              </w:rPr>
              <w:t>Voix  du</w:t>
            </w:r>
            <w:proofErr w:type="gramEnd"/>
            <w:r>
              <w:rPr>
                <w:rFonts w:ascii="Rockwell" w:eastAsia="Times New Roman" w:hAnsi="Rockwell" w:cs="Times New Roman"/>
                <w:color w:val="000000"/>
                <w:sz w:val="24"/>
                <w:szCs w:val="24"/>
                <w:lang w:eastAsia="fr-FR"/>
              </w:rPr>
              <w:t xml:space="preserve"> Soum</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0DD5456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Djibo/Soum</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49D488A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92.100 MHz</w:t>
            </w:r>
          </w:p>
        </w:tc>
      </w:tr>
      <w:tr w:rsidR="00733207" w14:paraId="025C1861"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9B22F0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11</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23C27C67"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Gassan</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772B4DFC" w14:textId="77777777" w:rsidR="00733207" w:rsidRDefault="00912BAE">
            <w:pPr>
              <w:spacing w:after="12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Gassan</w:t>
            </w:r>
            <w:proofErr w:type="spellEnd"/>
            <w:r>
              <w:rPr>
                <w:rFonts w:ascii="Rockwell" w:eastAsia="Times New Roman" w:hAnsi="Rockwell" w:cs="Times New Roman"/>
                <w:color w:val="000000"/>
                <w:sz w:val="24"/>
                <w:szCs w:val="24"/>
                <w:lang w:eastAsia="fr-FR"/>
              </w:rPr>
              <w:t>/Sourou</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535BC331"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94.6 MHz</w:t>
            </w:r>
          </w:p>
        </w:tc>
      </w:tr>
      <w:tr w:rsidR="00733207" w14:paraId="48B4439E"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21FF218"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12</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3E9746A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Buama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4C7F686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Gayéri/</w:t>
            </w:r>
            <w:proofErr w:type="spellStart"/>
            <w:r>
              <w:rPr>
                <w:rFonts w:ascii="Rockwell" w:eastAsia="Times New Roman" w:hAnsi="Rockwell" w:cs="Times New Roman"/>
                <w:color w:val="000000"/>
                <w:sz w:val="24"/>
                <w:szCs w:val="24"/>
                <w:lang w:eastAsia="fr-FR"/>
              </w:rPr>
              <w:t>Komandjari</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4ED47C6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91.8 MHz</w:t>
            </w:r>
          </w:p>
        </w:tc>
      </w:tr>
      <w:tr w:rsidR="00733207" w14:paraId="39E1E4C9"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692EEF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13</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0DE59EF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Venèg</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buûdou</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3D11516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Kombissiri/Bazèga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5C6C180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90.8 MHz</w:t>
            </w:r>
          </w:p>
        </w:tc>
      </w:tr>
      <w:tr w:rsidR="00733207" w14:paraId="639F2E7A"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A12C79E"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14</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2D80AEA6"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Radio La Voix des Lacs</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3CB8DD43"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Kongoussi/Bam</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1B0D2DB5" w14:textId="77777777" w:rsidR="00733207" w:rsidRDefault="00912BAE">
            <w:pPr>
              <w:spacing w:after="120" w:line="240" w:lineRule="auto"/>
              <w:jc w:val="both"/>
              <w:rPr>
                <w:rFonts w:ascii="Rockwell" w:eastAsia="Times New Roman" w:hAnsi="Rockwell" w:cs="Times New Roman"/>
                <w:color w:val="000000"/>
                <w:sz w:val="24"/>
                <w:szCs w:val="24"/>
                <w:highlight w:val="yellow"/>
                <w:lang w:eastAsia="fr-FR"/>
              </w:rPr>
            </w:pPr>
            <w:r>
              <w:rPr>
                <w:rFonts w:ascii="Rockwell" w:eastAsia="Times New Roman" w:hAnsi="Rockwell" w:cs="Times New Roman"/>
                <w:color w:val="000000"/>
                <w:sz w:val="24"/>
                <w:szCs w:val="24"/>
                <w:lang w:eastAsia="fr-FR"/>
              </w:rPr>
              <w:t>93.2 MHz</w:t>
            </w:r>
          </w:p>
        </w:tc>
      </w:tr>
      <w:tr w:rsidR="00733207" w14:paraId="718F7CB5"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CC6E13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15</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24BB3EE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Kosen</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Kibaru</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3E6996E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Nouna/Kossi</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73CF44C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91.9 MHz</w:t>
            </w:r>
          </w:p>
        </w:tc>
      </w:tr>
      <w:tr w:rsidR="00733207" w14:paraId="2CF1B2CB"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8B01EE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16</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079EFE4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La Voix du Verger</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798CD821"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Orodara/Kénédougou</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2B4C65F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91.2 MHz</w:t>
            </w:r>
          </w:p>
        </w:tc>
      </w:tr>
      <w:tr w:rsidR="00733207" w14:paraId="0FE2714A"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64D05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17</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999751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Sougr-nooma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3F2DEB3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Ouargaye/</w:t>
            </w:r>
            <w:proofErr w:type="spellStart"/>
            <w:r>
              <w:rPr>
                <w:rFonts w:ascii="Rockwell" w:eastAsia="Times New Roman" w:hAnsi="Rockwell" w:cs="Times New Roman"/>
                <w:color w:val="000000"/>
                <w:sz w:val="24"/>
                <w:szCs w:val="24"/>
                <w:lang w:eastAsia="fr-FR"/>
              </w:rPr>
              <w:t>Koulpelogo</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5FA674F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92.8 MHz</w:t>
            </w:r>
          </w:p>
        </w:tc>
      </w:tr>
      <w:tr w:rsidR="00733207" w14:paraId="59952E8B"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D20EEE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18</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73794D7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Poura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0F9E71C8" w14:textId="77777777" w:rsidR="00733207" w:rsidRDefault="00912BAE">
            <w:pPr>
              <w:spacing w:after="12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Poura</w:t>
            </w:r>
            <w:proofErr w:type="spellEnd"/>
            <w:r>
              <w:rPr>
                <w:rFonts w:ascii="Rockwell" w:eastAsia="Times New Roman" w:hAnsi="Rockwell" w:cs="Times New Roman"/>
                <w:color w:val="000000"/>
                <w:sz w:val="24"/>
                <w:szCs w:val="24"/>
                <w:lang w:eastAsia="fr-FR"/>
              </w:rPr>
              <w:t>/</w:t>
            </w:r>
            <w:proofErr w:type="spellStart"/>
            <w:r>
              <w:rPr>
                <w:rFonts w:ascii="Rockwell" w:eastAsia="Times New Roman" w:hAnsi="Rockwell" w:cs="Times New Roman"/>
                <w:color w:val="000000"/>
                <w:sz w:val="24"/>
                <w:szCs w:val="24"/>
                <w:lang w:eastAsia="fr-FR"/>
              </w:rPr>
              <w:t>Balé</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4C7FB02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98.00 MHz</w:t>
            </w:r>
          </w:p>
        </w:tc>
      </w:tr>
      <w:tr w:rsidR="00733207" w14:paraId="7FA7AA07"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B275FB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19</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408ED0E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Bassimyam</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41F22D2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Tanghin </w:t>
            </w:r>
            <w:proofErr w:type="spellStart"/>
            <w:r>
              <w:rPr>
                <w:rFonts w:ascii="Rockwell" w:eastAsia="Times New Roman" w:hAnsi="Rockwell" w:cs="Times New Roman"/>
                <w:color w:val="000000"/>
                <w:sz w:val="24"/>
                <w:szCs w:val="24"/>
                <w:lang w:eastAsia="fr-FR"/>
              </w:rPr>
              <w:t>Dassouri</w:t>
            </w:r>
            <w:proofErr w:type="spellEnd"/>
            <w:r>
              <w:rPr>
                <w:rFonts w:ascii="Rockwell" w:eastAsia="Times New Roman" w:hAnsi="Rockwell" w:cs="Times New Roman"/>
                <w:color w:val="000000"/>
                <w:sz w:val="24"/>
                <w:szCs w:val="24"/>
                <w:lang w:eastAsia="fr-FR"/>
              </w:rPr>
              <w:t>/Kadiogo</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2BBF4B6"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101.5 MHZ</w:t>
            </w:r>
          </w:p>
        </w:tc>
      </w:tr>
      <w:tr w:rsidR="00733207" w14:paraId="42B45BB8"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E32CC6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20</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5DD9422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communale Diabo</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72CB69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Diabo</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0972D6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Arial"/>
                <w:sz w:val="24"/>
                <w:szCs w:val="24"/>
                <w:lang w:eastAsia="fr-FR"/>
              </w:rPr>
              <w:t>107.7 MHZ</w:t>
            </w:r>
          </w:p>
        </w:tc>
      </w:tr>
      <w:tr w:rsidR="00733207" w14:paraId="094C98DD"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C2F834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lastRenderedPageBreak/>
              <w:t>21</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5CB18A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communale de Dori</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3B7D6F7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Dori</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56294BC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87.9 MHZ</w:t>
            </w:r>
          </w:p>
        </w:tc>
      </w:tr>
      <w:tr w:rsidR="00733207" w14:paraId="62BFA435"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A91170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22</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0B2D18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w:t>
            </w:r>
            <w:proofErr w:type="spellStart"/>
            <w:r>
              <w:rPr>
                <w:rFonts w:ascii="Rockwell" w:eastAsia="Times New Roman" w:hAnsi="Rockwell" w:cs="Times New Roman"/>
                <w:color w:val="000000"/>
                <w:sz w:val="24"/>
                <w:szCs w:val="24"/>
                <w:lang w:eastAsia="fr-FR"/>
              </w:rPr>
              <w:t>Zamaana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C1664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Kokologho/Boulkiemdé</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621F384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 MHZ</w:t>
            </w:r>
          </w:p>
        </w:tc>
      </w:tr>
      <w:tr w:rsidR="00733207" w14:paraId="54E4F4B0"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D0B74F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23</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B9347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communale de </w:t>
            </w:r>
            <w:proofErr w:type="spellStart"/>
            <w:r>
              <w:rPr>
                <w:rFonts w:ascii="Rockwell" w:eastAsia="Times New Roman" w:hAnsi="Rockwell" w:cs="Times New Roman"/>
                <w:color w:val="000000"/>
                <w:sz w:val="24"/>
                <w:szCs w:val="24"/>
                <w:lang w:eastAsia="fr-FR"/>
              </w:rPr>
              <w:t>Sebba</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0C2FB6F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Sebba</w:t>
            </w:r>
            <w:proofErr w:type="spellEnd"/>
            <w:r>
              <w:rPr>
                <w:rFonts w:ascii="Rockwell" w:eastAsia="Times New Roman" w:hAnsi="Rockwell" w:cs="Times New Roman"/>
                <w:color w:val="000000"/>
                <w:sz w:val="24"/>
                <w:szCs w:val="24"/>
                <w:lang w:eastAsia="fr-FR"/>
              </w:rPr>
              <w:t>/Yagha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1D8A121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94.7MHz</w:t>
            </w:r>
          </w:p>
        </w:tc>
      </w:tr>
      <w:tr w:rsidR="00733207" w14:paraId="65135837"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E8BF933" w14:textId="77777777" w:rsidR="00733207" w:rsidRDefault="00912BAE">
            <w:pPr>
              <w:spacing w:after="120" w:line="240" w:lineRule="auto"/>
              <w:ind w:right="1"/>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24</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0AE3FDA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Municipale de Garango (RMG)</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6785FD1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Garango/Boulgou</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1A4BB2B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100.6 MHZ</w:t>
            </w:r>
          </w:p>
        </w:tc>
      </w:tr>
      <w:tr w:rsidR="00733207" w14:paraId="24231CD9"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22C11F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5FBB193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Municipale FM de Sidéradougou</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27C30196"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Sidéradougou/Comoé</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7F20B09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103 MHZ</w:t>
            </w:r>
          </w:p>
        </w:tc>
      </w:tr>
      <w:tr w:rsidR="00733207" w14:paraId="10FFBBC9"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21666B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06EF83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Municipale Dourtenga Wong </w:t>
            </w:r>
            <w:proofErr w:type="spellStart"/>
            <w:r>
              <w:rPr>
                <w:rFonts w:ascii="Rockwell" w:eastAsia="Times New Roman" w:hAnsi="Rockwell" w:cs="Times New Roman"/>
                <w:color w:val="000000"/>
                <w:sz w:val="24"/>
                <w:szCs w:val="24"/>
                <w:lang w:eastAsia="fr-FR"/>
              </w:rPr>
              <w:t>Tarkoanga</w:t>
            </w:r>
            <w:proofErr w:type="spellEnd"/>
            <w:r>
              <w:rPr>
                <w:rFonts w:ascii="Rockwell" w:eastAsia="Times New Roman" w:hAnsi="Rockwell" w:cs="Times New Roman"/>
                <w:color w:val="000000"/>
                <w:sz w:val="24"/>
                <w:szCs w:val="24"/>
                <w:lang w:eastAsia="fr-FR"/>
              </w:rPr>
              <w:t xml:space="preserve"> (RMDT)</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1C35DE8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Dourtenga/Koulpélogo </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59A7AF5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100.9 MHZ</w:t>
            </w:r>
          </w:p>
        </w:tc>
      </w:tr>
      <w:tr w:rsidR="00733207" w14:paraId="61DA3750"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DD3D38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27</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0267B7A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Municipale </w:t>
            </w:r>
            <w:proofErr w:type="spellStart"/>
            <w:r>
              <w:rPr>
                <w:rFonts w:ascii="Rockwell" w:eastAsia="Times New Roman" w:hAnsi="Rockwell" w:cs="Times New Roman"/>
                <w:color w:val="000000"/>
                <w:sz w:val="24"/>
                <w:szCs w:val="24"/>
                <w:lang w:eastAsia="fr-FR"/>
              </w:rPr>
              <w:t>Yendieli</w:t>
            </w:r>
            <w:proofErr w:type="spellEnd"/>
            <w:r>
              <w:rPr>
                <w:rFonts w:ascii="Rockwell" w:eastAsia="Times New Roman" w:hAnsi="Rockwell" w:cs="Times New Roman"/>
                <w:color w:val="000000"/>
                <w:sz w:val="24"/>
                <w:szCs w:val="24"/>
                <w:lang w:eastAsia="fr-FR"/>
              </w:rPr>
              <w:t xml:space="preserve"> de </w:t>
            </w:r>
            <w:proofErr w:type="spellStart"/>
            <w:r>
              <w:rPr>
                <w:rFonts w:ascii="Rockwell" w:eastAsia="Times New Roman" w:hAnsi="Rockwell" w:cs="Times New Roman"/>
                <w:color w:val="000000"/>
                <w:sz w:val="24"/>
                <w:szCs w:val="24"/>
                <w:lang w:eastAsia="fr-FR"/>
              </w:rPr>
              <w:t>Boopo</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FFCEC3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Matiacoali/Gourma</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4FFBBF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103 MHZ</w:t>
            </w:r>
          </w:p>
        </w:tc>
      </w:tr>
      <w:tr w:rsidR="00733207" w14:paraId="64A9F29D"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B88D05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28</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1AACFF4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communale </w:t>
            </w:r>
            <w:proofErr w:type="spellStart"/>
            <w:r>
              <w:rPr>
                <w:rFonts w:ascii="Rockwell" w:eastAsia="Times New Roman" w:hAnsi="Rockwell" w:cs="Times New Roman"/>
                <w:color w:val="000000"/>
                <w:sz w:val="24"/>
                <w:szCs w:val="24"/>
                <w:lang w:eastAsia="fr-FR"/>
              </w:rPr>
              <w:t>Djayal</w:t>
            </w:r>
            <w:proofErr w:type="spellEnd"/>
            <w:r>
              <w:rPr>
                <w:rFonts w:ascii="Rockwell" w:eastAsia="Times New Roman" w:hAnsi="Rockwell" w:cs="Times New Roman"/>
                <w:color w:val="000000"/>
                <w:sz w:val="24"/>
                <w:szCs w:val="24"/>
                <w:lang w:eastAsia="fr-FR"/>
              </w:rPr>
              <w:t xml:space="preserve"> de Seytenga</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79CB368A"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Seytenga/Séno</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03F838DC" w14:textId="77777777" w:rsidR="00733207" w:rsidRDefault="00912BAE">
            <w:pPr>
              <w:spacing w:after="120" w:line="240" w:lineRule="auto"/>
              <w:jc w:val="both"/>
              <w:rPr>
                <w:rFonts w:ascii="Rockwell" w:hAnsi="Rockwell" w:cs="Times New Roman"/>
                <w:sz w:val="24"/>
                <w:szCs w:val="24"/>
              </w:rPr>
            </w:pPr>
            <w:r>
              <w:rPr>
                <w:rFonts w:ascii="Rockwell" w:hAnsi="Rockwell" w:cs="Times New Roman"/>
                <w:sz w:val="24"/>
                <w:szCs w:val="24"/>
              </w:rPr>
              <w:t>103 MHZ</w:t>
            </w:r>
          </w:p>
        </w:tc>
      </w:tr>
      <w:tr w:rsidR="00733207" w14:paraId="45197764"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6CD4EB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29</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D50DE7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Municipale de Sampelga</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5272CF2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Sampelga/Séno</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1982AC52" w14:textId="77777777" w:rsidR="00733207" w:rsidRDefault="00912BAE">
            <w:pPr>
              <w:spacing w:after="120" w:line="240" w:lineRule="auto"/>
              <w:jc w:val="both"/>
              <w:rPr>
                <w:rFonts w:ascii="Rockwell" w:hAnsi="Rockwell" w:cs="Times New Roman"/>
                <w:sz w:val="24"/>
                <w:szCs w:val="24"/>
              </w:rPr>
            </w:pPr>
            <w:r>
              <w:rPr>
                <w:rFonts w:ascii="Rockwell" w:hAnsi="Rockwell" w:cs="Times New Roman"/>
                <w:sz w:val="24"/>
                <w:szCs w:val="24"/>
              </w:rPr>
              <w:t>104.2 MHZ</w:t>
            </w:r>
          </w:p>
        </w:tc>
      </w:tr>
      <w:tr w:rsidR="00733207" w14:paraId="293D802B"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D061A9B"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30</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6E379FF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Radio Municipale </w:t>
            </w:r>
            <w:proofErr w:type="spellStart"/>
            <w:r>
              <w:rPr>
                <w:rFonts w:ascii="Rockwell" w:eastAsia="Times New Roman" w:hAnsi="Rockwell" w:cs="Times New Roman"/>
                <w:color w:val="000000"/>
                <w:sz w:val="24"/>
                <w:szCs w:val="24"/>
                <w:lang w:eastAsia="fr-FR"/>
              </w:rPr>
              <w:t>Fongouré</w:t>
            </w:r>
            <w:proofErr w:type="spellEnd"/>
            <w:r>
              <w:rPr>
                <w:rFonts w:ascii="Rockwell" w:eastAsia="Times New Roman" w:hAnsi="Rockwell" w:cs="Times New Roman"/>
                <w:color w:val="000000"/>
                <w:sz w:val="24"/>
                <w:szCs w:val="24"/>
                <w:lang w:eastAsia="fr-FR"/>
              </w:rPr>
              <w:t xml:space="preserve"> de Gon-</w:t>
            </w:r>
            <w:proofErr w:type="spellStart"/>
            <w:r>
              <w:rPr>
                <w:rFonts w:ascii="Rockwell" w:eastAsia="Times New Roman" w:hAnsi="Rockwell" w:cs="Times New Roman"/>
                <w:color w:val="000000"/>
                <w:sz w:val="24"/>
                <w:szCs w:val="24"/>
                <w:lang w:eastAsia="fr-FR"/>
              </w:rPr>
              <w:t>Boussougou</w:t>
            </w:r>
            <w:proofErr w:type="spellEnd"/>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6701E4DB"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Gon-</w:t>
            </w:r>
            <w:proofErr w:type="spellStart"/>
            <w:r>
              <w:rPr>
                <w:rFonts w:ascii="Rockwell" w:eastAsia="Times New Roman" w:hAnsi="Rockwell" w:cs="Times New Roman"/>
                <w:color w:val="000000"/>
                <w:sz w:val="24"/>
                <w:szCs w:val="24"/>
                <w:lang w:eastAsia="fr-FR"/>
              </w:rPr>
              <w:t>Boussougou</w:t>
            </w:r>
            <w:proofErr w:type="spellEnd"/>
            <w:r>
              <w:rPr>
                <w:rFonts w:ascii="Rockwell" w:eastAsia="Times New Roman" w:hAnsi="Rockwell" w:cs="Times New Roman"/>
                <w:color w:val="000000"/>
                <w:sz w:val="24"/>
                <w:szCs w:val="24"/>
                <w:lang w:eastAsia="fr-FR"/>
              </w:rPr>
              <w:t>/Zoundwéogo</w:t>
            </w:r>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4EB5A310" w14:textId="77777777" w:rsidR="00733207" w:rsidRDefault="00912BAE">
            <w:pPr>
              <w:spacing w:after="120" w:line="240" w:lineRule="auto"/>
              <w:jc w:val="both"/>
              <w:rPr>
                <w:rFonts w:ascii="Rockwell" w:hAnsi="Rockwell" w:cs="Times New Roman"/>
                <w:sz w:val="24"/>
                <w:szCs w:val="24"/>
              </w:rPr>
            </w:pPr>
            <w:r>
              <w:rPr>
                <w:rFonts w:ascii="Rockwell" w:hAnsi="Rockwell" w:cs="Times New Roman"/>
                <w:sz w:val="24"/>
                <w:szCs w:val="24"/>
              </w:rPr>
              <w:t>103 MHZ</w:t>
            </w:r>
          </w:p>
        </w:tc>
      </w:tr>
      <w:tr w:rsidR="00733207" w14:paraId="25A2A2E1" w14:textId="77777777">
        <w:trPr>
          <w:trHeight w:val="567"/>
          <w:jc w:val="center"/>
        </w:trPr>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76AC5E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31</w:t>
            </w:r>
          </w:p>
        </w:tc>
        <w:tc>
          <w:tcPr>
            <w:tcW w:w="4677" w:type="dxa"/>
            <w:tcBorders>
              <w:top w:val="single" w:sz="4" w:space="0" w:color="auto"/>
              <w:left w:val="nil"/>
              <w:bottom w:val="single" w:sz="4" w:space="0" w:color="auto"/>
              <w:right w:val="single" w:sz="4" w:space="0" w:color="auto"/>
            </w:tcBorders>
            <w:shd w:val="clear" w:color="auto" w:fill="FFFFFF" w:themeFill="background1"/>
            <w:noWrap/>
            <w:vAlign w:val="bottom"/>
          </w:tcPr>
          <w:p w14:paraId="1637891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Communale de Tougouri</w:t>
            </w:r>
          </w:p>
        </w:tc>
        <w:tc>
          <w:tcPr>
            <w:tcW w:w="3119" w:type="dxa"/>
            <w:tcBorders>
              <w:top w:val="single" w:sz="4" w:space="0" w:color="auto"/>
              <w:left w:val="nil"/>
              <w:bottom w:val="single" w:sz="4" w:space="0" w:color="auto"/>
              <w:right w:val="single" w:sz="4" w:space="0" w:color="auto"/>
            </w:tcBorders>
            <w:shd w:val="clear" w:color="auto" w:fill="FFFFFF" w:themeFill="background1"/>
            <w:noWrap/>
            <w:vAlign w:val="bottom"/>
          </w:tcPr>
          <w:p w14:paraId="6B93CE9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Tougouri/</w:t>
            </w:r>
            <w:proofErr w:type="spellStart"/>
            <w:r>
              <w:rPr>
                <w:rFonts w:ascii="Rockwell" w:eastAsia="Times New Roman" w:hAnsi="Rockwell" w:cs="Times New Roman"/>
                <w:color w:val="000000"/>
                <w:sz w:val="24"/>
                <w:szCs w:val="24"/>
                <w:lang w:eastAsia="fr-FR"/>
              </w:rPr>
              <w:t>Namantenga</w:t>
            </w:r>
            <w:proofErr w:type="spellEnd"/>
          </w:p>
        </w:tc>
        <w:tc>
          <w:tcPr>
            <w:tcW w:w="1559" w:type="dxa"/>
            <w:tcBorders>
              <w:top w:val="single" w:sz="4" w:space="0" w:color="auto"/>
              <w:left w:val="nil"/>
              <w:bottom w:val="single" w:sz="4" w:space="0" w:color="auto"/>
              <w:right w:val="single" w:sz="4" w:space="0" w:color="auto"/>
            </w:tcBorders>
            <w:shd w:val="clear" w:color="auto" w:fill="FFFFFF" w:themeFill="background1"/>
            <w:noWrap/>
            <w:vAlign w:val="bottom"/>
          </w:tcPr>
          <w:p w14:paraId="206A35E7" w14:textId="77777777" w:rsidR="00733207" w:rsidRDefault="00912BAE">
            <w:pPr>
              <w:pStyle w:val="Paragraphedeliste"/>
              <w:numPr>
                <w:ilvl w:val="1"/>
                <w:numId w:val="60"/>
              </w:numPr>
              <w:spacing w:after="0" w:line="240" w:lineRule="auto"/>
              <w:jc w:val="both"/>
              <w:rPr>
                <w:rFonts w:ascii="Rockwell" w:hAnsi="Rockwell" w:cs="Times New Roman"/>
                <w:sz w:val="24"/>
                <w:szCs w:val="24"/>
              </w:rPr>
            </w:pPr>
            <w:r>
              <w:rPr>
                <w:rFonts w:ascii="Rockwell" w:hAnsi="Rockwell" w:cs="Times New Roman"/>
                <w:sz w:val="24"/>
                <w:szCs w:val="24"/>
              </w:rPr>
              <w:t>MHZ</w:t>
            </w:r>
          </w:p>
        </w:tc>
      </w:tr>
    </w:tbl>
    <w:p w14:paraId="6B4F61E9" w14:textId="77777777" w:rsidR="00733207" w:rsidRDefault="00733207">
      <w:pPr>
        <w:jc w:val="both"/>
        <w:rPr>
          <w:rFonts w:ascii="Rockwell" w:hAnsi="Rockwell" w:cs="Times New Roman"/>
          <w:sz w:val="10"/>
          <w:szCs w:val="10"/>
        </w:rPr>
      </w:pPr>
    </w:p>
    <w:p w14:paraId="5F6C0F1E" w14:textId="77777777" w:rsidR="00733207" w:rsidRDefault="00733207">
      <w:pPr>
        <w:jc w:val="both"/>
        <w:rPr>
          <w:rFonts w:ascii="Rockwell" w:hAnsi="Rockwell" w:cs="Times New Roman"/>
          <w:sz w:val="10"/>
          <w:szCs w:val="10"/>
        </w:rPr>
      </w:pPr>
    </w:p>
    <w:p w14:paraId="4F8CEC41" w14:textId="77777777" w:rsidR="00733207" w:rsidRDefault="00912BAE">
      <w:pPr>
        <w:pStyle w:val="Paragraphedeliste"/>
        <w:numPr>
          <w:ilvl w:val="0"/>
          <w:numId w:val="59"/>
        </w:numPr>
        <w:spacing w:after="200" w:line="276" w:lineRule="auto"/>
        <w:ind w:left="709"/>
        <w:jc w:val="both"/>
        <w:rPr>
          <w:rFonts w:ascii="Rockwell" w:hAnsi="Rockwell" w:cs="Times New Roman"/>
          <w:sz w:val="24"/>
          <w:szCs w:val="24"/>
        </w:rPr>
      </w:pPr>
      <w:r>
        <w:rPr>
          <w:rFonts w:ascii="Rockwell" w:eastAsia="Times New Roman" w:hAnsi="Rockwell" w:cs="Times New Roman"/>
          <w:b/>
          <w:bCs/>
          <w:color w:val="000000"/>
          <w:sz w:val="24"/>
          <w:szCs w:val="24"/>
          <w:lang w:eastAsia="fr-FR"/>
        </w:rPr>
        <w:t>Radios institutionnelles : sept (07)</w:t>
      </w:r>
    </w:p>
    <w:p w14:paraId="6C506B34" w14:textId="77777777" w:rsidR="00733207" w:rsidRDefault="00733207">
      <w:pPr>
        <w:pStyle w:val="Paragraphedeliste"/>
        <w:spacing w:after="200" w:line="276" w:lineRule="auto"/>
        <w:ind w:left="1571"/>
        <w:jc w:val="both"/>
        <w:rPr>
          <w:rFonts w:ascii="Rockwell" w:hAnsi="Rockwell" w:cs="Times New Roman"/>
          <w:sz w:val="24"/>
          <w:szCs w:val="24"/>
        </w:rPr>
      </w:pPr>
    </w:p>
    <w:tbl>
      <w:tblPr>
        <w:tblW w:w="10405" w:type="dxa"/>
        <w:jc w:val="center"/>
        <w:tblLayout w:type="fixed"/>
        <w:tblCellMar>
          <w:left w:w="70" w:type="dxa"/>
          <w:right w:w="70" w:type="dxa"/>
        </w:tblCellMar>
        <w:tblLook w:val="04A0" w:firstRow="1" w:lastRow="0" w:firstColumn="1" w:lastColumn="0" w:noHBand="0" w:noVBand="1"/>
      </w:tblPr>
      <w:tblGrid>
        <w:gridCol w:w="992"/>
        <w:gridCol w:w="4287"/>
        <w:gridCol w:w="3217"/>
        <w:gridCol w:w="1909"/>
      </w:tblGrid>
      <w:tr w:rsidR="00733207" w14:paraId="77C790F0"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642D91D0"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4287" w:type="dxa"/>
            <w:tcBorders>
              <w:top w:val="single" w:sz="4" w:space="0" w:color="auto"/>
              <w:left w:val="nil"/>
              <w:bottom w:val="single" w:sz="4" w:space="0" w:color="auto"/>
              <w:right w:val="single" w:sz="4" w:space="0" w:color="auto"/>
            </w:tcBorders>
            <w:shd w:val="clear" w:color="auto" w:fill="BFBFBF" w:themeFill="background1" w:themeFillShade="BF"/>
            <w:noWrap/>
          </w:tcPr>
          <w:p w14:paraId="433FD65E"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217" w:type="dxa"/>
            <w:tcBorders>
              <w:top w:val="single" w:sz="4" w:space="0" w:color="auto"/>
              <w:left w:val="nil"/>
              <w:bottom w:val="single" w:sz="4" w:space="0" w:color="auto"/>
              <w:right w:val="single" w:sz="4" w:space="0" w:color="auto"/>
            </w:tcBorders>
            <w:shd w:val="clear" w:color="auto" w:fill="BFBFBF" w:themeFill="background1" w:themeFillShade="BF"/>
            <w:noWrap/>
          </w:tcPr>
          <w:p w14:paraId="030FAD04"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909" w:type="dxa"/>
            <w:tcBorders>
              <w:top w:val="single" w:sz="4" w:space="0" w:color="auto"/>
              <w:left w:val="nil"/>
              <w:bottom w:val="single" w:sz="4" w:space="0" w:color="auto"/>
              <w:right w:val="single" w:sz="4" w:space="0" w:color="auto"/>
            </w:tcBorders>
            <w:shd w:val="clear" w:color="auto" w:fill="BFBFBF" w:themeFill="background1" w:themeFillShade="BF"/>
            <w:noWrap/>
          </w:tcPr>
          <w:p w14:paraId="0B6D3644"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4C08EBD9"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104DE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128951E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Campus</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3917496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4D68E43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91.200 MHz</w:t>
            </w:r>
          </w:p>
        </w:tc>
      </w:tr>
      <w:tr w:rsidR="00733207" w14:paraId="098E89BB"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D4CCF0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56B0232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La Voix du Parlement-Radio</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3E416B8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6EC7FF0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89.7 MHz</w:t>
            </w:r>
          </w:p>
        </w:tc>
      </w:tr>
      <w:tr w:rsidR="00733207" w14:paraId="766E1744"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C467F9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779A51B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Bagrépôle FM</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763EF09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Bagré/Boulgou</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679FBEF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93.3 MHz</w:t>
            </w:r>
          </w:p>
        </w:tc>
      </w:tr>
      <w:tr w:rsidR="00733207" w14:paraId="05599A82"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87F907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50D66D1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Scolaire Emettrice</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4D22E96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4F62335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107.4 MHz</w:t>
            </w:r>
          </w:p>
        </w:tc>
      </w:tr>
      <w:tr w:rsidR="00733207" w14:paraId="2EE48A9F"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891C4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7C0ED2B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Unité Mobile de Production de la Radio (UMPR)</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5FB5B6A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Hauts-Bassins, Cascades, Boucle du Mouhoun, Sud-Ouest et Centre-Ouest</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592D034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107.6 MHz</w:t>
            </w:r>
          </w:p>
        </w:tc>
      </w:tr>
      <w:tr w:rsidR="00733207" w14:paraId="06BE6CC7"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0A6D3F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6B1DD11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Jeunesse Sahel</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71EC3C7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0ED7C57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95.3 MHZ</w:t>
            </w:r>
          </w:p>
        </w:tc>
      </w:tr>
      <w:tr w:rsidR="00733207" w14:paraId="273A7982"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25FB0E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4287" w:type="dxa"/>
            <w:tcBorders>
              <w:top w:val="single" w:sz="4" w:space="0" w:color="auto"/>
              <w:left w:val="nil"/>
              <w:bottom w:val="single" w:sz="4" w:space="0" w:color="auto"/>
              <w:right w:val="single" w:sz="4" w:space="0" w:color="auto"/>
            </w:tcBorders>
            <w:shd w:val="clear" w:color="auto" w:fill="FFFFFF" w:themeFill="background1"/>
            <w:noWrap/>
          </w:tcPr>
          <w:p w14:paraId="3C12B15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ISTIC FM</w:t>
            </w:r>
          </w:p>
        </w:tc>
        <w:tc>
          <w:tcPr>
            <w:tcW w:w="3217" w:type="dxa"/>
            <w:tcBorders>
              <w:top w:val="single" w:sz="4" w:space="0" w:color="auto"/>
              <w:left w:val="nil"/>
              <w:bottom w:val="single" w:sz="4" w:space="0" w:color="auto"/>
              <w:right w:val="single" w:sz="4" w:space="0" w:color="auto"/>
            </w:tcBorders>
            <w:shd w:val="clear" w:color="auto" w:fill="FFFFFF" w:themeFill="background1"/>
            <w:noWrap/>
          </w:tcPr>
          <w:p w14:paraId="342A102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909" w:type="dxa"/>
            <w:tcBorders>
              <w:top w:val="single" w:sz="4" w:space="0" w:color="auto"/>
              <w:left w:val="nil"/>
              <w:bottom w:val="single" w:sz="4" w:space="0" w:color="auto"/>
              <w:right w:val="single" w:sz="4" w:space="0" w:color="auto"/>
            </w:tcBorders>
            <w:shd w:val="clear" w:color="auto" w:fill="FFFFFF" w:themeFill="background1"/>
            <w:noWrap/>
          </w:tcPr>
          <w:p w14:paraId="4CBA6ED3" w14:textId="77777777" w:rsidR="00733207" w:rsidRDefault="00912BAE">
            <w:pPr>
              <w:pStyle w:val="Paragraphedeliste"/>
              <w:numPr>
                <w:ilvl w:val="1"/>
                <w:numId w:val="61"/>
              </w:num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MHZ</w:t>
            </w:r>
          </w:p>
        </w:tc>
      </w:tr>
    </w:tbl>
    <w:p w14:paraId="09543670" w14:textId="77777777" w:rsidR="00733207" w:rsidRDefault="00733207">
      <w:pPr>
        <w:pStyle w:val="Paragraphedeliste"/>
        <w:spacing w:after="200" w:line="276" w:lineRule="auto"/>
        <w:ind w:left="1701"/>
        <w:jc w:val="both"/>
        <w:rPr>
          <w:rFonts w:ascii="Rockwell" w:hAnsi="Rockwell" w:cs="Times New Roman"/>
          <w:sz w:val="24"/>
          <w:szCs w:val="24"/>
        </w:rPr>
      </w:pPr>
    </w:p>
    <w:p w14:paraId="437CBB86" w14:textId="77777777" w:rsidR="00733207" w:rsidRDefault="00733207">
      <w:pPr>
        <w:pStyle w:val="Paragraphedeliste"/>
        <w:spacing w:after="200" w:line="276" w:lineRule="auto"/>
        <w:ind w:left="1701"/>
        <w:jc w:val="both"/>
        <w:rPr>
          <w:rFonts w:ascii="Rockwell" w:hAnsi="Rockwell" w:cs="Times New Roman"/>
          <w:sz w:val="24"/>
          <w:szCs w:val="24"/>
        </w:rPr>
        <w:sectPr w:rsidR="00733207">
          <w:pgSz w:w="11906" w:h="16838"/>
          <w:pgMar w:top="1417" w:right="1417" w:bottom="1417" w:left="1417" w:header="708" w:footer="708" w:gutter="0"/>
          <w:cols w:space="708"/>
          <w:docGrid w:linePitch="360"/>
        </w:sectPr>
      </w:pPr>
    </w:p>
    <w:p w14:paraId="1F4FE1DF" w14:textId="77777777" w:rsidR="00733207" w:rsidRDefault="00912BAE">
      <w:pPr>
        <w:pStyle w:val="Paragraphedeliste"/>
        <w:numPr>
          <w:ilvl w:val="0"/>
          <w:numId w:val="59"/>
        </w:numPr>
        <w:spacing w:after="200" w:line="276" w:lineRule="auto"/>
        <w:ind w:left="1701"/>
        <w:jc w:val="both"/>
        <w:rPr>
          <w:rFonts w:ascii="Rockwell" w:hAnsi="Rockwell" w:cs="Times New Roman"/>
          <w:sz w:val="24"/>
          <w:szCs w:val="24"/>
        </w:rPr>
      </w:pPr>
      <w:r>
        <w:rPr>
          <w:rFonts w:ascii="Rockwell" w:eastAsia="Times New Roman" w:hAnsi="Rockwell" w:cs="Times New Roman"/>
          <w:b/>
          <w:bCs/>
          <w:color w:val="000000"/>
          <w:sz w:val="24"/>
          <w:szCs w:val="24"/>
          <w:lang w:eastAsia="fr-FR"/>
        </w:rPr>
        <w:lastRenderedPageBreak/>
        <w:t>Radios du secteur public : sept (07)</w:t>
      </w:r>
    </w:p>
    <w:p w14:paraId="5698E0E2" w14:textId="77777777" w:rsidR="00733207" w:rsidRDefault="00733207">
      <w:pPr>
        <w:pStyle w:val="Paragraphedeliste"/>
        <w:spacing w:after="200" w:line="276" w:lineRule="auto"/>
        <w:ind w:left="1701"/>
        <w:jc w:val="both"/>
        <w:rPr>
          <w:rFonts w:ascii="Rockwell" w:hAnsi="Rockwell" w:cs="Times New Roman"/>
          <w:sz w:val="24"/>
          <w:szCs w:val="24"/>
        </w:rPr>
      </w:pPr>
    </w:p>
    <w:tbl>
      <w:tblPr>
        <w:tblW w:w="10517" w:type="dxa"/>
        <w:jc w:val="center"/>
        <w:tblLayout w:type="fixed"/>
        <w:tblCellMar>
          <w:left w:w="70" w:type="dxa"/>
          <w:right w:w="70" w:type="dxa"/>
        </w:tblCellMar>
        <w:tblLook w:val="04A0" w:firstRow="1" w:lastRow="0" w:firstColumn="1" w:lastColumn="0" w:noHBand="0" w:noVBand="1"/>
      </w:tblPr>
      <w:tblGrid>
        <w:gridCol w:w="1166"/>
        <w:gridCol w:w="3213"/>
        <w:gridCol w:w="4659"/>
        <w:gridCol w:w="1479"/>
      </w:tblGrid>
      <w:tr w:rsidR="00733207" w14:paraId="12C7C4FE"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tcPr>
          <w:p w14:paraId="41F812C5"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3213" w:type="dxa"/>
            <w:tcBorders>
              <w:top w:val="single" w:sz="4" w:space="0" w:color="auto"/>
              <w:left w:val="nil"/>
              <w:bottom w:val="single" w:sz="4" w:space="0" w:color="auto"/>
              <w:right w:val="single" w:sz="4" w:space="0" w:color="auto"/>
            </w:tcBorders>
            <w:shd w:val="clear" w:color="auto" w:fill="BFBFBF" w:themeFill="background1" w:themeFillShade="BF"/>
            <w:noWrap/>
          </w:tcPr>
          <w:p w14:paraId="64F4F325"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4659" w:type="dxa"/>
            <w:tcBorders>
              <w:top w:val="single" w:sz="4" w:space="0" w:color="auto"/>
              <w:left w:val="nil"/>
              <w:bottom w:val="single" w:sz="4" w:space="0" w:color="auto"/>
              <w:right w:val="single" w:sz="4" w:space="0" w:color="auto"/>
            </w:tcBorders>
            <w:shd w:val="clear" w:color="auto" w:fill="BFBFBF" w:themeFill="background1" w:themeFillShade="BF"/>
            <w:noWrap/>
          </w:tcPr>
          <w:p w14:paraId="2420BBA5"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479" w:type="dxa"/>
            <w:tcBorders>
              <w:top w:val="single" w:sz="4" w:space="0" w:color="auto"/>
              <w:left w:val="nil"/>
              <w:bottom w:val="single" w:sz="4" w:space="0" w:color="auto"/>
              <w:right w:val="single" w:sz="4" w:space="0" w:color="auto"/>
            </w:tcBorders>
            <w:shd w:val="clear" w:color="auto" w:fill="BFBFBF" w:themeFill="background1" w:themeFillShade="BF"/>
            <w:noWrap/>
          </w:tcPr>
          <w:p w14:paraId="16CB5D52"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2D560EF0"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4DD129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001E642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Rurale</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28F3E77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Banfora/Comoé</w:t>
            </w:r>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30043AF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88.4 MHz</w:t>
            </w:r>
          </w:p>
        </w:tc>
      </w:tr>
      <w:tr w:rsidR="00733207" w14:paraId="386F6DA9"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987C96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49475C4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Bobo</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51ACB98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6A5776A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89.8 MHz</w:t>
            </w:r>
          </w:p>
        </w:tc>
      </w:tr>
      <w:tr w:rsidR="00733207" w14:paraId="040ECB50"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5CEBE71" w14:textId="77777777" w:rsidR="00733207" w:rsidRDefault="00912BAE">
            <w:pPr>
              <w:spacing w:after="0" w:line="240" w:lineRule="auto"/>
              <w:jc w:val="both"/>
              <w:rPr>
                <w:rFonts w:ascii="Rockwell" w:eastAsia="Times New Roman" w:hAnsi="Rockwell" w:cs="Times New Roman"/>
                <w:sz w:val="24"/>
                <w:szCs w:val="24"/>
                <w:lang w:eastAsia="fr-FR"/>
              </w:rPr>
            </w:pPr>
            <w:r>
              <w:rPr>
                <w:rFonts w:ascii="Rockwell" w:eastAsia="Times New Roman" w:hAnsi="Rockwell" w:cs="Times New Roman"/>
                <w:sz w:val="24"/>
                <w:szCs w:val="24"/>
                <w:lang w:eastAsia="fr-FR"/>
              </w:rPr>
              <w:t>3</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076CCAE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RTB2 Hauts-Bassins</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73B1795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7A8965A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88.9 MHz</w:t>
            </w:r>
          </w:p>
        </w:tc>
      </w:tr>
      <w:tr w:rsidR="00733207" w14:paraId="6CB285E6"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69A5C5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2AD5F3E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Gaoua</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6CFB1E3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Gaoua/</w:t>
            </w:r>
            <w:proofErr w:type="spellStart"/>
            <w:r>
              <w:rPr>
                <w:rFonts w:ascii="Rockwell" w:eastAsia="Times New Roman" w:hAnsi="Rockwell" w:cs="Times New Roman"/>
                <w:color w:val="000000"/>
                <w:sz w:val="24"/>
                <w:szCs w:val="24"/>
                <w:lang w:eastAsia="fr-FR"/>
              </w:rPr>
              <w:t>Poni</w:t>
            </w:r>
            <w:proofErr w:type="spellEnd"/>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78C3056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90.1 MHz</w:t>
            </w:r>
          </w:p>
        </w:tc>
      </w:tr>
      <w:tr w:rsidR="00733207" w14:paraId="344F68ED"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C7A7C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617CC52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Rurale</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0AA347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Gaoua/</w:t>
            </w:r>
            <w:proofErr w:type="spellStart"/>
            <w:r>
              <w:rPr>
                <w:rFonts w:ascii="Rockwell" w:eastAsia="Times New Roman" w:hAnsi="Rockwell" w:cs="Times New Roman"/>
                <w:color w:val="000000"/>
                <w:sz w:val="24"/>
                <w:szCs w:val="24"/>
                <w:lang w:eastAsia="fr-FR"/>
              </w:rPr>
              <w:t>Poni</w:t>
            </w:r>
            <w:proofErr w:type="spellEnd"/>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34EE481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93.2 MHz</w:t>
            </w:r>
          </w:p>
        </w:tc>
      </w:tr>
      <w:tr w:rsidR="00733207" w14:paraId="444CDFE4"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579212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72F9422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Arc en ciel</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5F6B0D4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28EA6C6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96.6 MHz</w:t>
            </w:r>
          </w:p>
        </w:tc>
      </w:tr>
      <w:tr w:rsidR="00733207" w14:paraId="323DFC98" w14:textId="77777777">
        <w:trPr>
          <w:trHeight w:val="567"/>
          <w:jc w:val="center"/>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5436041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3213" w:type="dxa"/>
            <w:tcBorders>
              <w:top w:val="single" w:sz="4" w:space="0" w:color="auto"/>
              <w:left w:val="nil"/>
              <w:bottom w:val="single" w:sz="4" w:space="0" w:color="auto"/>
              <w:right w:val="single" w:sz="4" w:space="0" w:color="auto"/>
            </w:tcBorders>
            <w:shd w:val="clear" w:color="auto" w:fill="FFFFFF" w:themeFill="background1"/>
            <w:noWrap/>
          </w:tcPr>
          <w:p w14:paraId="3747030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 nationale</w:t>
            </w:r>
          </w:p>
        </w:tc>
        <w:tc>
          <w:tcPr>
            <w:tcW w:w="4659" w:type="dxa"/>
            <w:tcBorders>
              <w:top w:val="single" w:sz="4" w:space="0" w:color="auto"/>
              <w:left w:val="nil"/>
              <w:bottom w:val="single" w:sz="4" w:space="0" w:color="auto"/>
              <w:right w:val="single" w:sz="4" w:space="0" w:color="auto"/>
            </w:tcBorders>
            <w:shd w:val="clear" w:color="auto" w:fill="FFFFFF" w:themeFill="background1"/>
            <w:noWrap/>
          </w:tcPr>
          <w:p w14:paraId="3A4AF66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479" w:type="dxa"/>
            <w:tcBorders>
              <w:top w:val="single" w:sz="4" w:space="0" w:color="auto"/>
              <w:left w:val="nil"/>
              <w:bottom w:val="single" w:sz="4" w:space="0" w:color="auto"/>
              <w:right w:val="single" w:sz="4" w:space="0" w:color="auto"/>
            </w:tcBorders>
            <w:shd w:val="clear" w:color="auto" w:fill="FFFFFF" w:themeFill="background1"/>
            <w:noWrap/>
          </w:tcPr>
          <w:p w14:paraId="68DAF03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99.9 MHz</w:t>
            </w:r>
          </w:p>
        </w:tc>
      </w:tr>
    </w:tbl>
    <w:p w14:paraId="0F1016CF"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7747B087" w14:textId="77777777" w:rsidR="00733207" w:rsidRDefault="00733207">
      <w:pPr>
        <w:spacing w:after="0" w:line="240" w:lineRule="auto"/>
        <w:jc w:val="both"/>
        <w:rPr>
          <w:rFonts w:ascii="Rockwell" w:eastAsia="Times New Roman" w:hAnsi="Rockwell" w:cs="Times New Roman"/>
          <w:b/>
          <w:bCs/>
          <w:color w:val="000000"/>
          <w:sz w:val="10"/>
          <w:szCs w:val="10"/>
          <w:lang w:eastAsia="fr-FR"/>
        </w:rPr>
      </w:pPr>
    </w:p>
    <w:p w14:paraId="144C2721" w14:textId="77777777" w:rsidR="00733207" w:rsidRDefault="00733207">
      <w:pPr>
        <w:spacing w:after="0" w:line="240" w:lineRule="auto"/>
        <w:jc w:val="both"/>
        <w:rPr>
          <w:rFonts w:ascii="Rockwell" w:eastAsia="Times New Roman" w:hAnsi="Rockwell" w:cs="Times New Roman"/>
          <w:b/>
          <w:bCs/>
          <w:color w:val="000000"/>
          <w:sz w:val="10"/>
          <w:szCs w:val="10"/>
          <w:lang w:eastAsia="fr-FR"/>
        </w:rPr>
      </w:pPr>
    </w:p>
    <w:p w14:paraId="4885C8AC" w14:textId="77777777" w:rsidR="00733207" w:rsidRDefault="00912BAE">
      <w:pPr>
        <w:pStyle w:val="Paragraphedeliste"/>
        <w:numPr>
          <w:ilvl w:val="0"/>
          <w:numId w:val="58"/>
        </w:numPr>
        <w:ind w:firstLine="276"/>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RADIODIFFUSIONS TELEVISUELLES</w:t>
      </w:r>
    </w:p>
    <w:p w14:paraId="4F70445A" w14:textId="77777777" w:rsidR="00733207" w:rsidRDefault="00733207">
      <w:pPr>
        <w:pStyle w:val="Paragraphedeliste"/>
        <w:ind w:left="717"/>
        <w:jc w:val="both"/>
        <w:rPr>
          <w:rFonts w:ascii="Rockwell" w:eastAsia="Times New Roman" w:hAnsi="Rockwell" w:cs="Times New Roman"/>
          <w:b/>
          <w:bCs/>
          <w:color w:val="000000"/>
          <w:sz w:val="24"/>
          <w:szCs w:val="24"/>
          <w:lang w:eastAsia="fr-FR"/>
        </w:rPr>
      </w:pPr>
    </w:p>
    <w:p w14:paraId="20FB10AE" w14:textId="77777777" w:rsidR="00733207" w:rsidRDefault="00912BAE">
      <w:pPr>
        <w:ind w:left="567" w:firstLine="142"/>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1.  Radiodiffusion télévisuelle du secteur public : cinq (05)</w:t>
      </w:r>
    </w:p>
    <w:p w14:paraId="5ABBB0D6" w14:textId="77777777" w:rsidR="00733207" w:rsidRDefault="00733207">
      <w:pPr>
        <w:ind w:left="567" w:firstLine="142"/>
        <w:jc w:val="both"/>
        <w:rPr>
          <w:rFonts w:ascii="Rockwell" w:hAnsi="Rockwell" w:cs="Times New Roman"/>
          <w:sz w:val="10"/>
          <w:szCs w:val="10"/>
        </w:rPr>
      </w:pPr>
    </w:p>
    <w:tbl>
      <w:tblPr>
        <w:tblW w:w="10385" w:type="dxa"/>
        <w:jc w:val="center"/>
        <w:tblLayout w:type="fixed"/>
        <w:tblCellMar>
          <w:left w:w="70" w:type="dxa"/>
          <w:right w:w="70" w:type="dxa"/>
        </w:tblCellMar>
        <w:tblLook w:val="04A0" w:firstRow="1" w:lastRow="0" w:firstColumn="1" w:lastColumn="0" w:noHBand="0" w:noVBand="1"/>
      </w:tblPr>
      <w:tblGrid>
        <w:gridCol w:w="992"/>
        <w:gridCol w:w="3416"/>
        <w:gridCol w:w="2847"/>
        <w:gridCol w:w="1570"/>
        <w:gridCol w:w="1560"/>
      </w:tblGrid>
      <w:tr w:rsidR="00733207" w14:paraId="4DE655BE"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D7BE279"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341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4AC28E7"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2847"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BAA03F5"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570"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4667FE7"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Canal TNT</w:t>
            </w:r>
          </w:p>
        </w:tc>
        <w:tc>
          <w:tcPr>
            <w:tcW w:w="1560"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B45C012"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 xml:space="preserve"> Zone de couverture</w:t>
            </w:r>
          </w:p>
        </w:tc>
      </w:tr>
      <w:tr w:rsidR="00733207" w14:paraId="78E62119"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87446B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3416" w:type="dxa"/>
            <w:tcBorders>
              <w:top w:val="single" w:sz="4" w:space="0" w:color="auto"/>
              <w:left w:val="nil"/>
              <w:bottom w:val="single" w:sz="4" w:space="0" w:color="auto"/>
              <w:right w:val="single" w:sz="4" w:space="0" w:color="auto"/>
            </w:tcBorders>
            <w:shd w:val="clear" w:color="auto" w:fill="FFFFFF" w:themeFill="background1"/>
            <w:noWrap/>
            <w:vAlign w:val="bottom"/>
          </w:tcPr>
          <w:p w14:paraId="3FCAD65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RTB2 Hauts-Bassins</w:t>
            </w:r>
          </w:p>
        </w:tc>
        <w:tc>
          <w:tcPr>
            <w:tcW w:w="2847" w:type="dxa"/>
            <w:tcBorders>
              <w:top w:val="single" w:sz="4" w:space="0" w:color="auto"/>
              <w:left w:val="nil"/>
              <w:bottom w:val="single" w:sz="4" w:space="0" w:color="auto"/>
              <w:right w:val="single" w:sz="4" w:space="0" w:color="auto"/>
            </w:tcBorders>
            <w:shd w:val="clear" w:color="auto" w:fill="FFFFFF" w:themeFill="background1"/>
            <w:noWrap/>
            <w:vAlign w:val="bottom"/>
          </w:tcPr>
          <w:p w14:paraId="638EAAD7"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570" w:type="dxa"/>
            <w:tcBorders>
              <w:top w:val="single" w:sz="4" w:space="0" w:color="auto"/>
              <w:left w:val="nil"/>
              <w:bottom w:val="single" w:sz="4" w:space="0" w:color="auto"/>
              <w:right w:val="single" w:sz="4" w:space="0" w:color="auto"/>
            </w:tcBorders>
            <w:shd w:val="clear" w:color="auto" w:fill="FFFFFF" w:themeFill="background1"/>
            <w:noWrap/>
            <w:vAlign w:val="bottom"/>
          </w:tcPr>
          <w:p w14:paraId="733CDA0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Canal TNT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bottom"/>
          </w:tcPr>
          <w:p w14:paraId="0084921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w:t>
            </w:r>
          </w:p>
        </w:tc>
      </w:tr>
      <w:tr w:rsidR="00733207" w14:paraId="647D4439"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90AFA0"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3416" w:type="dxa"/>
            <w:tcBorders>
              <w:top w:val="single" w:sz="4" w:space="0" w:color="auto"/>
              <w:left w:val="nil"/>
              <w:bottom w:val="single" w:sz="4" w:space="0" w:color="auto"/>
              <w:right w:val="single" w:sz="4" w:space="0" w:color="auto"/>
            </w:tcBorders>
            <w:shd w:val="clear" w:color="auto" w:fill="FFFFFF" w:themeFill="background1"/>
            <w:noWrap/>
            <w:vAlign w:val="bottom"/>
          </w:tcPr>
          <w:p w14:paraId="5CAE4F96"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RTB/Télé</w:t>
            </w:r>
          </w:p>
        </w:tc>
        <w:tc>
          <w:tcPr>
            <w:tcW w:w="2847" w:type="dxa"/>
            <w:tcBorders>
              <w:top w:val="single" w:sz="4" w:space="0" w:color="auto"/>
              <w:left w:val="nil"/>
              <w:bottom w:val="single" w:sz="4" w:space="0" w:color="auto"/>
              <w:right w:val="single" w:sz="4" w:space="0" w:color="auto"/>
            </w:tcBorders>
            <w:shd w:val="clear" w:color="auto" w:fill="FFFFFF" w:themeFill="background1"/>
            <w:noWrap/>
            <w:vAlign w:val="bottom"/>
          </w:tcPr>
          <w:p w14:paraId="26300BC1"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570" w:type="dxa"/>
            <w:tcBorders>
              <w:top w:val="single" w:sz="4" w:space="0" w:color="auto"/>
              <w:left w:val="nil"/>
              <w:bottom w:val="single" w:sz="4" w:space="0" w:color="auto"/>
              <w:right w:val="single" w:sz="4" w:space="0" w:color="auto"/>
            </w:tcBorders>
            <w:shd w:val="clear" w:color="auto" w:fill="FFFFFF" w:themeFill="background1"/>
            <w:noWrap/>
            <w:vAlign w:val="bottom"/>
          </w:tcPr>
          <w:p w14:paraId="1C3FB1EC"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 Canal TNT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bottom"/>
          </w:tcPr>
          <w:p w14:paraId="52997729"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Nationale</w:t>
            </w:r>
          </w:p>
        </w:tc>
      </w:tr>
      <w:tr w:rsidR="00733207" w14:paraId="58FB813A"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4AF20D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3416" w:type="dxa"/>
            <w:tcBorders>
              <w:top w:val="single" w:sz="4" w:space="0" w:color="auto"/>
              <w:left w:val="nil"/>
              <w:bottom w:val="single" w:sz="4" w:space="0" w:color="auto"/>
              <w:right w:val="single" w:sz="4" w:space="0" w:color="auto"/>
            </w:tcBorders>
            <w:shd w:val="clear" w:color="auto" w:fill="FFFFFF" w:themeFill="background1"/>
            <w:noWrap/>
            <w:vAlign w:val="bottom"/>
          </w:tcPr>
          <w:p w14:paraId="3D8C962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 /Gaoua</w:t>
            </w:r>
          </w:p>
        </w:tc>
        <w:tc>
          <w:tcPr>
            <w:tcW w:w="2847" w:type="dxa"/>
            <w:tcBorders>
              <w:top w:val="single" w:sz="4" w:space="0" w:color="auto"/>
              <w:left w:val="nil"/>
              <w:bottom w:val="single" w:sz="4" w:space="0" w:color="auto"/>
              <w:right w:val="single" w:sz="4" w:space="0" w:color="auto"/>
            </w:tcBorders>
            <w:shd w:val="clear" w:color="auto" w:fill="FFFFFF" w:themeFill="background1"/>
            <w:noWrap/>
            <w:vAlign w:val="bottom"/>
          </w:tcPr>
          <w:p w14:paraId="556A18A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570" w:type="dxa"/>
            <w:tcBorders>
              <w:top w:val="single" w:sz="4" w:space="0" w:color="auto"/>
              <w:left w:val="nil"/>
              <w:bottom w:val="single" w:sz="4" w:space="0" w:color="auto"/>
              <w:right w:val="single" w:sz="4" w:space="0" w:color="auto"/>
            </w:tcBorders>
            <w:shd w:val="clear" w:color="auto" w:fill="FFFFFF" w:themeFill="background1"/>
            <w:noWrap/>
            <w:vAlign w:val="bottom"/>
          </w:tcPr>
          <w:p w14:paraId="6240DCD7"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Canal TNT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bottom"/>
          </w:tcPr>
          <w:p w14:paraId="6D650EF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w:t>
            </w:r>
          </w:p>
        </w:tc>
      </w:tr>
      <w:tr w:rsidR="00733207" w14:paraId="7E29B298"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3997F2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3416" w:type="dxa"/>
            <w:tcBorders>
              <w:top w:val="single" w:sz="4" w:space="0" w:color="auto"/>
              <w:left w:val="nil"/>
              <w:bottom w:val="single" w:sz="4" w:space="0" w:color="auto"/>
              <w:right w:val="single" w:sz="4" w:space="0" w:color="auto"/>
            </w:tcBorders>
            <w:shd w:val="clear" w:color="auto" w:fill="FFFFFF" w:themeFill="background1"/>
            <w:noWrap/>
            <w:vAlign w:val="bottom"/>
          </w:tcPr>
          <w:p w14:paraId="72AF3F3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 Zénith</w:t>
            </w:r>
          </w:p>
        </w:tc>
        <w:tc>
          <w:tcPr>
            <w:tcW w:w="2847" w:type="dxa"/>
            <w:tcBorders>
              <w:top w:val="single" w:sz="4" w:space="0" w:color="auto"/>
              <w:left w:val="nil"/>
              <w:bottom w:val="single" w:sz="4" w:space="0" w:color="auto"/>
              <w:right w:val="single" w:sz="4" w:space="0" w:color="auto"/>
            </w:tcBorders>
            <w:shd w:val="clear" w:color="auto" w:fill="FFFFFF" w:themeFill="background1"/>
            <w:noWrap/>
            <w:vAlign w:val="bottom"/>
          </w:tcPr>
          <w:p w14:paraId="481961E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 xml:space="preserve">Ouagadougou/Kadiogo </w:t>
            </w:r>
          </w:p>
        </w:tc>
        <w:tc>
          <w:tcPr>
            <w:tcW w:w="1570" w:type="dxa"/>
            <w:tcBorders>
              <w:top w:val="single" w:sz="4" w:space="0" w:color="auto"/>
              <w:left w:val="nil"/>
              <w:bottom w:val="single" w:sz="4" w:space="0" w:color="auto"/>
              <w:right w:val="single" w:sz="4" w:space="0" w:color="auto"/>
            </w:tcBorders>
            <w:shd w:val="clear" w:color="auto" w:fill="FFFFFF" w:themeFill="background1"/>
            <w:noWrap/>
            <w:vAlign w:val="bottom"/>
          </w:tcPr>
          <w:p w14:paraId="10CE6A16"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Canal TNT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bottom"/>
          </w:tcPr>
          <w:p w14:paraId="59C88F2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A</w:t>
            </w:r>
          </w:p>
        </w:tc>
      </w:tr>
      <w:tr w:rsidR="00733207" w14:paraId="10185080" w14:textId="77777777">
        <w:trPr>
          <w:trHeight w:val="567"/>
          <w:jc w:val="center"/>
        </w:trPr>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0B57E16"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3416" w:type="dxa"/>
            <w:tcBorders>
              <w:top w:val="single" w:sz="4" w:space="0" w:color="auto"/>
              <w:left w:val="nil"/>
              <w:bottom w:val="single" w:sz="4" w:space="0" w:color="auto"/>
              <w:right w:val="single" w:sz="4" w:space="0" w:color="auto"/>
            </w:tcBorders>
            <w:shd w:val="clear" w:color="auto" w:fill="FFFFFF" w:themeFill="background1"/>
            <w:noWrap/>
            <w:vAlign w:val="bottom"/>
          </w:tcPr>
          <w:p w14:paraId="6DB2D80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w:t>
            </w:r>
            <w:r>
              <w:rPr>
                <w:rFonts w:ascii="Rockwell" w:eastAsia="Times New Roman" w:hAnsi="Rockwell" w:cs="Times New Roman"/>
                <w:color w:val="000000"/>
                <w:lang w:eastAsia="fr-FR"/>
              </w:rPr>
              <w:t xml:space="preserve"> </w:t>
            </w:r>
            <w:r>
              <w:rPr>
                <w:rFonts w:ascii="Rockwell" w:eastAsia="Times New Roman" w:hAnsi="Rockwell" w:cs="Times New Roman"/>
                <w:color w:val="000000"/>
                <w:sz w:val="24"/>
                <w:szCs w:val="24"/>
                <w:lang w:eastAsia="fr-FR"/>
              </w:rPr>
              <w:t>3</w:t>
            </w:r>
          </w:p>
        </w:tc>
        <w:tc>
          <w:tcPr>
            <w:tcW w:w="2847" w:type="dxa"/>
            <w:tcBorders>
              <w:top w:val="single" w:sz="4" w:space="0" w:color="auto"/>
              <w:left w:val="nil"/>
              <w:bottom w:val="single" w:sz="4" w:space="0" w:color="auto"/>
              <w:right w:val="single" w:sz="4" w:space="0" w:color="auto"/>
            </w:tcBorders>
            <w:shd w:val="clear" w:color="auto" w:fill="FFFFFF" w:themeFill="background1"/>
            <w:noWrap/>
            <w:vAlign w:val="bottom"/>
          </w:tcPr>
          <w:p w14:paraId="01173E32"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Ouagadougou/Kadiogo</w:t>
            </w:r>
          </w:p>
        </w:tc>
        <w:tc>
          <w:tcPr>
            <w:tcW w:w="1570" w:type="dxa"/>
            <w:tcBorders>
              <w:top w:val="single" w:sz="4" w:space="0" w:color="auto"/>
              <w:left w:val="nil"/>
              <w:bottom w:val="single" w:sz="4" w:space="0" w:color="auto"/>
              <w:right w:val="single" w:sz="4" w:space="0" w:color="auto"/>
            </w:tcBorders>
            <w:shd w:val="clear" w:color="auto" w:fill="FFFFFF" w:themeFill="background1"/>
            <w:noWrap/>
            <w:vAlign w:val="bottom"/>
          </w:tcPr>
          <w:p w14:paraId="73B9C52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heme="minorHAnsi"/>
                <w:color w:val="000000"/>
                <w:sz w:val="24"/>
                <w:szCs w:val="24"/>
                <w:lang w:eastAsia="fr-FR"/>
              </w:rPr>
              <w:t>Canal TNT N° 3</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bottom"/>
          </w:tcPr>
          <w:p w14:paraId="38CC48F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heme="minorHAnsi"/>
                <w:color w:val="000000"/>
                <w:sz w:val="24"/>
                <w:szCs w:val="24"/>
                <w:lang w:eastAsia="fr-FR"/>
              </w:rPr>
              <w:t>Nationale</w:t>
            </w:r>
          </w:p>
        </w:tc>
      </w:tr>
    </w:tbl>
    <w:p w14:paraId="2EB3261D" w14:textId="77777777" w:rsidR="00733207" w:rsidRDefault="00733207">
      <w:pPr>
        <w:pStyle w:val="Paragraphedeliste"/>
        <w:spacing w:before="360" w:after="0" w:line="240" w:lineRule="auto"/>
        <w:ind w:left="1434"/>
        <w:jc w:val="both"/>
        <w:rPr>
          <w:rFonts w:ascii="Rockwell" w:eastAsia="Times New Roman" w:hAnsi="Rockwell" w:cs="Times New Roman"/>
          <w:b/>
          <w:bCs/>
          <w:color w:val="FF0000"/>
          <w:sz w:val="24"/>
          <w:szCs w:val="24"/>
          <w:lang w:eastAsia="fr-FR"/>
        </w:rPr>
        <w:sectPr w:rsidR="00733207">
          <w:pgSz w:w="11906" w:h="16838"/>
          <w:pgMar w:top="1417" w:right="1417" w:bottom="1417" w:left="1417" w:header="708" w:footer="708" w:gutter="0"/>
          <w:cols w:space="708"/>
          <w:docGrid w:linePitch="360"/>
        </w:sectPr>
      </w:pPr>
    </w:p>
    <w:p w14:paraId="79C9592B" w14:textId="77777777" w:rsidR="00733207" w:rsidRDefault="00912BAE">
      <w:pPr>
        <w:pStyle w:val="Paragraphedeliste"/>
        <w:numPr>
          <w:ilvl w:val="0"/>
          <w:numId w:val="56"/>
        </w:numPr>
        <w:spacing w:before="360" w:after="0" w:line="240" w:lineRule="auto"/>
        <w:ind w:left="709"/>
        <w:jc w:val="both"/>
        <w:rPr>
          <w:rFonts w:ascii="Rockwell" w:eastAsia="Times New Roman" w:hAnsi="Rockwell" w:cs="Times New Roman"/>
          <w:b/>
          <w:bCs/>
          <w:color w:val="FF0000"/>
          <w:sz w:val="24"/>
          <w:szCs w:val="24"/>
          <w:lang w:eastAsia="fr-FR"/>
        </w:rPr>
      </w:pPr>
      <w:r>
        <w:rPr>
          <w:rFonts w:ascii="Rockwell" w:eastAsia="Times New Roman" w:hAnsi="Rockwell" w:cs="Times New Roman"/>
          <w:b/>
          <w:bCs/>
          <w:color w:val="000000"/>
          <w:sz w:val="24"/>
          <w:szCs w:val="24"/>
          <w:lang w:eastAsia="fr-FR"/>
        </w:rPr>
        <w:lastRenderedPageBreak/>
        <w:t>Radiodiffusions télévisuelles Institutionnelles : 0</w:t>
      </w:r>
    </w:p>
    <w:p w14:paraId="3C6EB238" w14:textId="77777777" w:rsidR="00733207" w:rsidRDefault="00733207">
      <w:pPr>
        <w:pStyle w:val="Paragraphedeliste"/>
        <w:spacing w:after="0" w:line="240" w:lineRule="auto"/>
        <w:ind w:left="1440"/>
        <w:jc w:val="both"/>
        <w:rPr>
          <w:rFonts w:ascii="Rockwell" w:eastAsia="Times New Roman" w:hAnsi="Rockwell" w:cs="Times New Roman"/>
          <w:b/>
          <w:bCs/>
          <w:color w:val="FF0000"/>
          <w:sz w:val="24"/>
          <w:szCs w:val="24"/>
          <w:lang w:eastAsia="fr-FR"/>
        </w:rPr>
      </w:pPr>
    </w:p>
    <w:p w14:paraId="7DB7E1E3" w14:textId="77777777" w:rsidR="00733207" w:rsidRDefault="00912BAE">
      <w:pPr>
        <w:pStyle w:val="Paragraphedeliste"/>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 Les fréquences relais des médias audiovisuels</w:t>
      </w:r>
    </w:p>
    <w:p w14:paraId="1261AF9D" w14:textId="77777777" w:rsidR="00733207" w:rsidRDefault="00733207">
      <w:pPr>
        <w:pStyle w:val="Paragraphedeliste"/>
        <w:jc w:val="both"/>
        <w:rPr>
          <w:rFonts w:ascii="Rockwell" w:hAnsi="Rockwell" w:cs="Times New Roman"/>
          <w:sz w:val="24"/>
          <w:szCs w:val="24"/>
        </w:rPr>
      </w:pPr>
    </w:p>
    <w:p w14:paraId="489ACE1C" w14:textId="77777777" w:rsidR="00733207" w:rsidRDefault="00912BAE">
      <w:pPr>
        <w:ind w:firstLine="284"/>
        <w:jc w:val="both"/>
        <w:rPr>
          <w:rFonts w:ascii="Rockwell" w:eastAsia="Times New Roman" w:hAnsi="Rockwell" w:cs="Times New Roman"/>
          <w:b/>
          <w:bCs/>
          <w:color w:val="000000"/>
          <w:sz w:val="24"/>
          <w:szCs w:val="24"/>
          <w:lang w:eastAsia="fr-FR"/>
        </w:rPr>
      </w:pPr>
      <w:r>
        <w:rPr>
          <w:rFonts w:ascii="Rockwell" w:hAnsi="Rockwell" w:cs="Times New Roman"/>
          <w:b/>
          <w:sz w:val="24"/>
          <w:szCs w:val="24"/>
        </w:rPr>
        <w:t>A</w:t>
      </w:r>
      <w:r>
        <w:rPr>
          <w:rFonts w:ascii="Rockwell" w:hAnsi="Rockwell" w:cs="Times New Roman"/>
          <w:sz w:val="24"/>
          <w:szCs w:val="24"/>
        </w:rPr>
        <w:tab/>
      </w:r>
      <w:r>
        <w:rPr>
          <w:rFonts w:ascii="Rockwell" w:eastAsia="Times New Roman" w:hAnsi="Rockwell" w:cs="Times New Roman"/>
          <w:b/>
          <w:bCs/>
          <w:color w:val="000000"/>
          <w:sz w:val="24"/>
          <w:szCs w:val="24"/>
          <w:lang w:eastAsia="fr-FR"/>
        </w:rPr>
        <w:t>LES FREQUENCES RELAIS PRIVEES</w:t>
      </w:r>
    </w:p>
    <w:p w14:paraId="75E1EB39" w14:textId="77777777" w:rsidR="00733207" w:rsidRDefault="00912BAE">
      <w:pPr>
        <w:ind w:firstLine="284"/>
        <w:jc w:val="both"/>
        <w:rPr>
          <w:rFonts w:ascii="Rockwell" w:eastAsia="Times New Roman" w:hAnsi="Rockwell" w:cs="Times New Roman"/>
          <w:bCs/>
          <w:color w:val="000000"/>
          <w:sz w:val="24"/>
          <w:szCs w:val="24"/>
          <w:lang w:eastAsia="fr-FR"/>
        </w:rPr>
      </w:pPr>
      <w:r>
        <w:rPr>
          <w:rFonts w:ascii="Rockwell" w:hAnsi="Rockwell" w:cs="Times New Roman"/>
          <w:b/>
          <w:sz w:val="24"/>
          <w:szCs w:val="24"/>
        </w:rPr>
        <w:t>1</w:t>
      </w:r>
      <w:r>
        <w:rPr>
          <w:rFonts w:ascii="Rockwell" w:hAnsi="Rockwell" w:cs="Times New Roman"/>
          <w:sz w:val="24"/>
          <w:szCs w:val="24"/>
        </w:rPr>
        <w:tab/>
      </w:r>
      <w:r>
        <w:rPr>
          <w:rFonts w:ascii="Rockwell" w:eastAsia="Times New Roman" w:hAnsi="Rockwell" w:cs="Times New Roman"/>
          <w:bCs/>
          <w:color w:val="000000"/>
          <w:sz w:val="24"/>
          <w:szCs w:val="24"/>
          <w:lang w:eastAsia="fr-FR"/>
        </w:rPr>
        <w:t>Les fréquences relais des radiodiffusions sonores</w:t>
      </w:r>
    </w:p>
    <w:p w14:paraId="7709EEDA" w14:textId="77777777" w:rsidR="00733207" w:rsidRDefault="00912BAE">
      <w:pPr>
        <w:pStyle w:val="Paragraphedeliste"/>
        <w:numPr>
          <w:ilvl w:val="0"/>
          <w:numId w:val="62"/>
        </w:numPr>
        <w:spacing w:after="200" w:line="276" w:lineRule="auto"/>
        <w:jc w:val="both"/>
        <w:rPr>
          <w:rFonts w:ascii="Rockwell" w:hAnsi="Rockwell" w:cs="Times New Roman"/>
          <w:sz w:val="24"/>
          <w:szCs w:val="24"/>
        </w:rPr>
      </w:pPr>
      <w:r>
        <w:rPr>
          <w:rFonts w:ascii="Rockwell" w:eastAsia="Times New Roman" w:hAnsi="Rockwell" w:cs="Times New Roman"/>
          <w:bCs/>
          <w:color w:val="000000"/>
          <w:sz w:val="24"/>
          <w:szCs w:val="24"/>
          <w:lang w:eastAsia="fr-FR"/>
        </w:rPr>
        <w:t>. Relais radio confessionnelle : 01</w:t>
      </w:r>
    </w:p>
    <w:tbl>
      <w:tblPr>
        <w:tblW w:w="9996" w:type="dxa"/>
        <w:jc w:val="center"/>
        <w:tblLayout w:type="fixed"/>
        <w:tblCellMar>
          <w:left w:w="70" w:type="dxa"/>
          <w:right w:w="70" w:type="dxa"/>
        </w:tblCellMar>
        <w:tblLook w:val="04A0" w:firstRow="1" w:lastRow="0" w:firstColumn="1" w:lastColumn="0" w:noHBand="0" w:noVBand="1"/>
      </w:tblPr>
      <w:tblGrid>
        <w:gridCol w:w="1005"/>
        <w:gridCol w:w="2856"/>
        <w:gridCol w:w="4288"/>
        <w:gridCol w:w="1847"/>
      </w:tblGrid>
      <w:tr w:rsidR="00733207" w14:paraId="32F9051C" w14:textId="77777777">
        <w:trPr>
          <w:trHeight w:val="567"/>
          <w:jc w:val="center"/>
        </w:trPr>
        <w:tc>
          <w:tcPr>
            <w:tcW w:w="1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531D18DB"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2856"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E4F668C"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4288"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671DCC4B"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847"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7D33455D"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6ECBB9D1" w14:textId="77777777">
        <w:trPr>
          <w:trHeight w:val="567"/>
          <w:jc w:val="center"/>
        </w:trPr>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645D49F"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color w:val="000000"/>
                <w:sz w:val="24"/>
                <w:szCs w:val="24"/>
                <w:lang w:eastAsia="fr-FR"/>
              </w:rPr>
              <w:t>1</w:t>
            </w:r>
          </w:p>
        </w:tc>
        <w:tc>
          <w:tcPr>
            <w:tcW w:w="2856" w:type="dxa"/>
            <w:tcBorders>
              <w:top w:val="single" w:sz="4" w:space="0" w:color="auto"/>
              <w:left w:val="nil"/>
              <w:bottom w:val="single" w:sz="4" w:space="0" w:color="auto"/>
              <w:right w:val="single" w:sz="4" w:space="0" w:color="auto"/>
            </w:tcBorders>
            <w:shd w:val="clear" w:color="auto" w:fill="FFFFFF" w:themeFill="background1"/>
            <w:noWrap/>
          </w:tcPr>
          <w:p w14:paraId="0FFA9C40"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color w:val="000000"/>
                <w:sz w:val="24"/>
                <w:szCs w:val="24"/>
                <w:lang w:eastAsia="fr-FR"/>
              </w:rPr>
              <w:t>Radio CEDICOM</w:t>
            </w:r>
          </w:p>
        </w:tc>
        <w:tc>
          <w:tcPr>
            <w:tcW w:w="4288" w:type="dxa"/>
            <w:tcBorders>
              <w:top w:val="single" w:sz="4" w:space="0" w:color="auto"/>
              <w:left w:val="nil"/>
              <w:bottom w:val="single" w:sz="4" w:space="0" w:color="auto"/>
              <w:right w:val="single" w:sz="4" w:space="0" w:color="auto"/>
            </w:tcBorders>
            <w:shd w:val="clear" w:color="auto" w:fill="FFFFFF" w:themeFill="background1"/>
            <w:noWrap/>
          </w:tcPr>
          <w:p w14:paraId="1C48F77A"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color w:val="000000"/>
                <w:sz w:val="24"/>
                <w:szCs w:val="24"/>
                <w:lang w:eastAsia="fr-FR"/>
              </w:rPr>
              <w:t>Tougan/Sourou</w:t>
            </w:r>
          </w:p>
        </w:tc>
        <w:tc>
          <w:tcPr>
            <w:tcW w:w="1847" w:type="dxa"/>
            <w:tcBorders>
              <w:top w:val="single" w:sz="4" w:space="0" w:color="auto"/>
              <w:left w:val="nil"/>
              <w:bottom w:val="single" w:sz="4" w:space="0" w:color="auto"/>
              <w:right w:val="single" w:sz="4" w:space="0" w:color="auto"/>
            </w:tcBorders>
            <w:shd w:val="clear" w:color="auto" w:fill="FFFFFF" w:themeFill="background1"/>
            <w:noWrap/>
            <w:vAlign w:val="bottom"/>
          </w:tcPr>
          <w:p w14:paraId="364ACDF3"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color w:val="000000"/>
                <w:sz w:val="24"/>
                <w:szCs w:val="24"/>
                <w:lang w:eastAsia="fr-FR"/>
              </w:rPr>
              <w:t>101.4 MHz</w:t>
            </w:r>
          </w:p>
        </w:tc>
      </w:tr>
      <w:tr w:rsidR="00733207" w14:paraId="4C4AF20B" w14:textId="77777777">
        <w:trPr>
          <w:trHeight w:val="567"/>
          <w:jc w:val="center"/>
        </w:trPr>
        <w:tc>
          <w:tcPr>
            <w:tcW w:w="1005"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8A47F43"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2856" w:type="dxa"/>
            <w:tcBorders>
              <w:top w:val="single" w:sz="4" w:space="0" w:color="auto"/>
              <w:left w:val="nil"/>
              <w:bottom w:val="single" w:sz="4" w:space="0" w:color="auto"/>
              <w:right w:val="single" w:sz="4" w:space="0" w:color="auto"/>
            </w:tcBorders>
            <w:shd w:val="clear" w:color="auto" w:fill="FFFFFF" w:themeFill="background1"/>
            <w:noWrap/>
          </w:tcPr>
          <w:p w14:paraId="79B2FC63"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Notre Dame de l’Espérance</w:t>
            </w:r>
          </w:p>
        </w:tc>
        <w:tc>
          <w:tcPr>
            <w:tcW w:w="4288" w:type="dxa"/>
            <w:tcBorders>
              <w:top w:val="single" w:sz="4" w:space="0" w:color="auto"/>
              <w:left w:val="nil"/>
              <w:bottom w:val="single" w:sz="4" w:space="0" w:color="auto"/>
              <w:right w:val="single" w:sz="4" w:space="0" w:color="auto"/>
            </w:tcBorders>
            <w:shd w:val="clear" w:color="auto" w:fill="FFFFFF" w:themeFill="background1"/>
            <w:noWrap/>
          </w:tcPr>
          <w:p w14:paraId="62895401" w14:textId="77777777" w:rsidR="00733207" w:rsidRDefault="00912BAE">
            <w:p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Bam/Kongoussi</w:t>
            </w:r>
          </w:p>
        </w:tc>
        <w:tc>
          <w:tcPr>
            <w:tcW w:w="1847" w:type="dxa"/>
            <w:tcBorders>
              <w:top w:val="single" w:sz="4" w:space="0" w:color="auto"/>
              <w:left w:val="nil"/>
              <w:bottom w:val="single" w:sz="4" w:space="0" w:color="auto"/>
              <w:right w:val="single" w:sz="4" w:space="0" w:color="auto"/>
            </w:tcBorders>
            <w:shd w:val="clear" w:color="auto" w:fill="FFFFFF" w:themeFill="background1"/>
            <w:noWrap/>
            <w:vAlign w:val="bottom"/>
          </w:tcPr>
          <w:p w14:paraId="496895E3" w14:textId="77777777" w:rsidR="00733207" w:rsidRDefault="00912BAE">
            <w:pPr>
              <w:pStyle w:val="Paragraphedeliste"/>
              <w:numPr>
                <w:ilvl w:val="1"/>
                <w:numId w:val="63"/>
              </w:numPr>
              <w:spacing w:after="36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MHz</w:t>
            </w:r>
          </w:p>
        </w:tc>
      </w:tr>
    </w:tbl>
    <w:p w14:paraId="72345BE5" w14:textId="77777777" w:rsidR="00733207" w:rsidRDefault="00733207">
      <w:pPr>
        <w:pStyle w:val="Paragraphedeliste"/>
        <w:spacing w:before="360" w:after="200" w:line="276" w:lineRule="auto"/>
        <w:ind w:left="714"/>
        <w:jc w:val="both"/>
        <w:rPr>
          <w:rFonts w:ascii="Rockwell" w:hAnsi="Rockwell" w:cs="Times New Roman"/>
          <w:sz w:val="10"/>
          <w:szCs w:val="10"/>
        </w:rPr>
      </w:pPr>
    </w:p>
    <w:p w14:paraId="5DB66078" w14:textId="77777777" w:rsidR="00733207" w:rsidRDefault="00912BAE">
      <w:pPr>
        <w:pStyle w:val="Paragraphedeliste"/>
        <w:numPr>
          <w:ilvl w:val="0"/>
          <w:numId w:val="62"/>
        </w:numPr>
        <w:spacing w:before="360" w:after="200" w:line="276" w:lineRule="auto"/>
        <w:jc w:val="both"/>
        <w:rPr>
          <w:rFonts w:ascii="Rockwell" w:hAnsi="Rockwell" w:cs="Times New Roman"/>
          <w:sz w:val="24"/>
          <w:szCs w:val="24"/>
        </w:rPr>
      </w:pPr>
      <w:r>
        <w:rPr>
          <w:rFonts w:ascii="Rockwell" w:hAnsi="Rockwell" w:cs="Times New Roman"/>
          <w:sz w:val="24"/>
          <w:szCs w:val="24"/>
        </w:rPr>
        <w:t>Relais radio communautaire : 01</w:t>
      </w:r>
    </w:p>
    <w:p w14:paraId="389FB43C" w14:textId="77777777" w:rsidR="00733207" w:rsidRDefault="00733207">
      <w:pPr>
        <w:pStyle w:val="Paragraphedeliste"/>
        <w:spacing w:before="360" w:after="200" w:line="276" w:lineRule="auto"/>
        <w:ind w:left="714"/>
        <w:jc w:val="both"/>
        <w:rPr>
          <w:rFonts w:ascii="Rockwell" w:hAnsi="Rockwell" w:cs="Times New Roman"/>
          <w:sz w:val="10"/>
          <w:szCs w:val="10"/>
        </w:rPr>
      </w:pPr>
    </w:p>
    <w:tbl>
      <w:tblPr>
        <w:tblW w:w="10122" w:type="dxa"/>
        <w:jc w:val="center"/>
        <w:tblLayout w:type="fixed"/>
        <w:tblCellMar>
          <w:left w:w="70" w:type="dxa"/>
          <w:right w:w="70" w:type="dxa"/>
        </w:tblCellMar>
        <w:tblLook w:val="04A0" w:firstRow="1" w:lastRow="0" w:firstColumn="1" w:lastColumn="0" w:noHBand="0" w:noVBand="1"/>
      </w:tblPr>
      <w:tblGrid>
        <w:gridCol w:w="856"/>
        <w:gridCol w:w="2993"/>
        <w:gridCol w:w="3992"/>
        <w:gridCol w:w="2281"/>
      </w:tblGrid>
      <w:tr w:rsidR="00733207" w14:paraId="0C824244" w14:textId="77777777">
        <w:trPr>
          <w:trHeight w:val="567"/>
          <w:jc w:val="center"/>
        </w:trPr>
        <w:tc>
          <w:tcPr>
            <w:tcW w:w="85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61D23710"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2993"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89755C6"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40C27B86"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2281"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0009A16B"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1AD86AA4" w14:textId="77777777">
        <w:trPr>
          <w:trHeight w:val="567"/>
          <w:jc w:val="center"/>
        </w:trPr>
        <w:tc>
          <w:tcPr>
            <w:tcW w:w="85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7C34ED9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2993" w:type="dxa"/>
            <w:tcBorders>
              <w:top w:val="single" w:sz="4" w:space="0" w:color="auto"/>
              <w:left w:val="nil"/>
              <w:bottom w:val="single" w:sz="4" w:space="0" w:color="auto"/>
              <w:right w:val="single" w:sz="4" w:space="0" w:color="auto"/>
            </w:tcBorders>
            <w:shd w:val="clear" w:color="auto" w:fill="FFFFFF" w:themeFill="background1"/>
            <w:noWrap/>
          </w:tcPr>
          <w:p w14:paraId="158C8F6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YIRGOU</w:t>
            </w:r>
          </w:p>
        </w:tc>
        <w:tc>
          <w:tcPr>
            <w:tcW w:w="3992" w:type="dxa"/>
            <w:tcBorders>
              <w:top w:val="single" w:sz="4" w:space="0" w:color="auto"/>
              <w:left w:val="nil"/>
              <w:bottom w:val="single" w:sz="4" w:space="0" w:color="auto"/>
              <w:right w:val="single" w:sz="4" w:space="0" w:color="auto"/>
            </w:tcBorders>
            <w:shd w:val="clear" w:color="auto" w:fill="FFFFFF" w:themeFill="background1"/>
            <w:noWrap/>
          </w:tcPr>
          <w:p w14:paraId="4C660AF4" w14:textId="77777777" w:rsidR="00733207" w:rsidRDefault="00912BAE">
            <w:pPr>
              <w:spacing w:after="0" w:line="240" w:lineRule="auto"/>
              <w:jc w:val="both"/>
              <w:rPr>
                <w:rFonts w:ascii="Rockwell" w:eastAsia="Times New Roman" w:hAnsi="Rockwell" w:cs="Times New Roman"/>
                <w:color w:val="000000"/>
                <w:sz w:val="24"/>
                <w:szCs w:val="24"/>
                <w:lang w:eastAsia="fr-FR"/>
              </w:rPr>
            </w:pPr>
            <w:proofErr w:type="spellStart"/>
            <w:r>
              <w:rPr>
                <w:rFonts w:ascii="Rockwell" w:eastAsia="Times New Roman" w:hAnsi="Rockwell" w:cs="Times New Roman"/>
                <w:color w:val="000000"/>
                <w:sz w:val="24"/>
                <w:szCs w:val="24"/>
                <w:lang w:eastAsia="fr-FR"/>
              </w:rPr>
              <w:t>Barsalogo</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Yirgou</w:t>
            </w:r>
            <w:proofErr w:type="spellEnd"/>
            <w:r>
              <w:rPr>
                <w:rFonts w:ascii="Rockwell" w:eastAsia="Times New Roman" w:hAnsi="Rockwell" w:cs="Times New Roman"/>
                <w:color w:val="000000"/>
                <w:sz w:val="24"/>
                <w:szCs w:val="24"/>
                <w:lang w:eastAsia="fr-FR"/>
              </w:rPr>
              <w:t xml:space="preserve">, </w:t>
            </w:r>
            <w:proofErr w:type="spellStart"/>
            <w:r>
              <w:rPr>
                <w:rFonts w:ascii="Rockwell" w:eastAsia="Times New Roman" w:hAnsi="Rockwell" w:cs="Times New Roman"/>
                <w:color w:val="000000"/>
                <w:sz w:val="24"/>
                <w:szCs w:val="24"/>
                <w:lang w:eastAsia="fr-FR"/>
              </w:rPr>
              <w:t>Foubé</w:t>
            </w:r>
            <w:proofErr w:type="spellEnd"/>
            <w:r>
              <w:rPr>
                <w:rFonts w:ascii="Rockwell" w:eastAsia="Times New Roman" w:hAnsi="Rockwell" w:cs="Times New Roman"/>
                <w:color w:val="000000"/>
                <w:sz w:val="24"/>
                <w:szCs w:val="24"/>
                <w:lang w:eastAsia="fr-FR"/>
              </w:rPr>
              <w:t>/Sanmatenga</w:t>
            </w:r>
          </w:p>
        </w:tc>
        <w:tc>
          <w:tcPr>
            <w:tcW w:w="2281" w:type="dxa"/>
            <w:tcBorders>
              <w:top w:val="single" w:sz="4" w:space="0" w:color="auto"/>
              <w:left w:val="nil"/>
              <w:bottom w:val="single" w:sz="4" w:space="0" w:color="auto"/>
              <w:right w:val="single" w:sz="4" w:space="0" w:color="auto"/>
            </w:tcBorders>
            <w:shd w:val="clear" w:color="auto" w:fill="FFFFFF" w:themeFill="background1"/>
            <w:noWrap/>
          </w:tcPr>
          <w:p w14:paraId="01BF16C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100.5 MHz</w:t>
            </w:r>
          </w:p>
        </w:tc>
      </w:tr>
    </w:tbl>
    <w:p w14:paraId="7B7FD378" w14:textId="77777777" w:rsidR="00733207" w:rsidRDefault="00733207">
      <w:pPr>
        <w:jc w:val="both"/>
        <w:rPr>
          <w:rFonts w:ascii="Rockwell" w:hAnsi="Rockwell" w:cs="Times New Roman"/>
          <w:sz w:val="16"/>
          <w:szCs w:val="16"/>
        </w:rPr>
      </w:pPr>
    </w:p>
    <w:p w14:paraId="71E094C8"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4FB8B5F7" w14:textId="77777777" w:rsidR="00733207" w:rsidRDefault="00912BAE">
      <w:pPr>
        <w:pStyle w:val="Paragraphedeliste"/>
        <w:numPr>
          <w:ilvl w:val="0"/>
          <w:numId w:val="64"/>
        </w:num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LES FREQUENCES RELAIS DU SECTEUR PUBLIC</w:t>
      </w:r>
    </w:p>
    <w:p w14:paraId="7C29A190"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64281389" w14:textId="77777777" w:rsidR="00733207" w:rsidRDefault="00912BAE">
      <w:pPr>
        <w:pStyle w:val="Paragraphedeliste"/>
        <w:numPr>
          <w:ilvl w:val="6"/>
          <w:numId w:val="43"/>
        </w:numPr>
        <w:spacing w:after="0" w:line="240" w:lineRule="auto"/>
        <w:ind w:left="709"/>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Les fréquences relais des radiodiffusions sonores : Trente un (31)</w:t>
      </w:r>
    </w:p>
    <w:p w14:paraId="70826348" w14:textId="77777777" w:rsidR="00733207" w:rsidRDefault="00733207">
      <w:pPr>
        <w:spacing w:after="120" w:line="240" w:lineRule="auto"/>
        <w:jc w:val="both"/>
        <w:rPr>
          <w:rFonts w:ascii="Rockwell" w:eastAsia="Times New Roman" w:hAnsi="Rockwell" w:cs="Times New Roman"/>
          <w:b/>
          <w:bCs/>
          <w:color w:val="000000"/>
          <w:sz w:val="24"/>
          <w:szCs w:val="24"/>
          <w:lang w:eastAsia="fr-FR"/>
        </w:rPr>
      </w:pPr>
    </w:p>
    <w:tbl>
      <w:tblPr>
        <w:tblW w:w="9924" w:type="dxa"/>
        <w:tblInd w:w="-431" w:type="dxa"/>
        <w:tblLayout w:type="fixed"/>
        <w:tblCellMar>
          <w:left w:w="70" w:type="dxa"/>
          <w:right w:w="70" w:type="dxa"/>
        </w:tblCellMar>
        <w:tblLook w:val="04A0" w:firstRow="1" w:lastRow="0" w:firstColumn="1" w:lastColumn="0" w:noHBand="0" w:noVBand="1"/>
      </w:tblPr>
      <w:tblGrid>
        <w:gridCol w:w="993"/>
        <w:gridCol w:w="2977"/>
        <w:gridCol w:w="3969"/>
        <w:gridCol w:w="1985"/>
      </w:tblGrid>
      <w:tr w:rsidR="00733207" w14:paraId="5E272844"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000000" w:fill="BFBFBF"/>
            <w:noWrap/>
            <w:vAlign w:val="bottom"/>
          </w:tcPr>
          <w:p w14:paraId="5527AC4E"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2977" w:type="dxa"/>
            <w:tcBorders>
              <w:top w:val="single" w:sz="4" w:space="0" w:color="auto"/>
              <w:left w:val="nil"/>
              <w:bottom w:val="single" w:sz="4" w:space="0" w:color="auto"/>
              <w:right w:val="single" w:sz="4" w:space="0" w:color="auto"/>
            </w:tcBorders>
            <w:shd w:val="clear" w:color="000000" w:fill="BFBFBF"/>
            <w:noWrap/>
            <w:vAlign w:val="bottom"/>
          </w:tcPr>
          <w:p w14:paraId="6E09FC95"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3969" w:type="dxa"/>
            <w:tcBorders>
              <w:top w:val="single" w:sz="4" w:space="0" w:color="auto"/>
              <w:left w:val="nil"/>
              <w:bottom w:val="single" w:sz="4" w:space="0" w:color="auto"/>
              <w:right w:val="single" w:sz="4" w:space="0" w:color="auto"/>
            </w:tcBorders>
            <w:shd w:val="clear" w:color="000000" w:fill="BFBFBF"/>
            <w:noWrap/>
            <w:vAlign w:val="bottom"/>
          </w:tcPr>
          <w:p w14:paraId="102BCE94"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1985" w:type="dxa"/>
            <w:tcBorders>
              <w:top w:val="single" w:sz="4" w:space="0" w:color="auto"/>
              <w:left w:val="nil"/>
              <w:bottom w:val="single" w:sz="4" w:space="0" w:color="auto"/>
              <w:right w:val="single" w:sz="4" w:space="0" w:color="auto"/>
            </w:tcBorders>
            <w:shd w:val="clear" w:color="000000" w:fill="BFBFBF"/>
            <w:noWrap/>
            <w:vAlign w:val="bottom"/>
          </w:tcPr>
          <w:p w14:paraId="7BA0AD59"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052BE7A8"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F40992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0C3FA4C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0A1A1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Banfora/Comoé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53B9422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101.5 MHz</w:t>
            </w:r>
          </w:p>
        </w:tc>
      </w:tr>
      <w:tr w:rsidR="00733207" w14:paraId="3AB85302"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062BEE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674321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tcPr>
          <w:p w14:paraId="156DD25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Batié/Noumbiel</w:t>
            </w:r>
          </w:p>
        </w:tc>
        <w:tc>
          <w:tcPr>
            <w:tcW w:w="1985" w:type="dxa"/>
            <w:tcBorders>
              <w:top w:val="single" w:sz="4" w:space="0" w:color="auto"/>
              <w:left w:val="nil"/>
              <w:bottom w:val="single" w:sz="4" w:space="0" w:color="auto"/>
              <w:right w:val="single" w:sz="4" w:space="0" w:color="auto"/>
            </w:tcBorders>
            <w:shd w:val="clear" w:color="auto" w:fill="FFFFFF" w:themeFill="background1"/>
            <w:noWrap/>
          </w:tcPr>
          <w:p w14:paraId="312A317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96.4 MHz</w:t>
            </w:r>
          </w:p>
        </w:tc>
      </w:tr>
      <w:tr w:rsidR="00733207" w14:paraId="2098DC71"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C55571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00FA94E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83008D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55CFD12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99.4 MHz</w:t>
            </w:r>
          </w:p>
        </w:tc>
      </w:tr>
      <w:tr w:rsidR="00733207" w14:paraId="14DF2F0D"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34DAD7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7604CD4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 Liaison</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144F4B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3D6CE02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92.6 MHz</w:t>
            </w:r>
          </w:p>
        </w:tc>
      </w:tr>
      <w:tr w:rsidR="00733207" w14:paraId="5B6C753F"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11CD02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596943A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6542F7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Bogandé/Gnagna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56AD8FA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91.5 MHz</w:t>
            </w:r>
          </w:p>
        </w:tc>
      </w:tr>
      <w:tr w:rsidR="00733207" w14:paraId="588CDDF1"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ADAD69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6</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68673D7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BAECE2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Boromo/</w:t>
            </w:r>
            <w:proofErr w:type="spellStart"/>
            <w:r>
              <w:rPr>
                <w:rFonts w:ascii="Rockwell" w:eastAsia="Times New Roman" w:hAnsi="Rockwell" w:cs="Times New Roman"/>
                <w:color w:val="000000"/>
                <w:sz w:val="24"/>
                <w:szCs w:val="24"/>
                <w:lang w:eastAsia="fr-FR"/>
              </w:rPr>
              <w:t>Balé</w:t>
            </w:r>
            <w:proofErr w:type="spellEnd"/>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5C26D38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91.4 MHz</w:t>
            </w:r>
          </w:p>
        </w:tc>
      </w:tr>
      <w:tr w:rsidR="00733207" w14:paraId="54F6BC5A"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2B5DD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2DBBBB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6087E6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Dédougou/Mouhoun</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5EE6BD3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90.5 MHz</w:t>
            </w:r>
          </w:p>
        </w:tc>
      </w:tr>
      <w:tr w:rsidR="00733207" w14:paraId="44312357"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18A4B7D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lastRenderedPageBreak/>
              <w:t>8</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022C8EB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 Liaison</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026BC8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Dédougou/Mouhoun</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7BF369D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93.6 MHz</w:t>
            </w:r>
          </w:p>
        </w:tc>
      </w:tr>
      <w:tr w:rsidR="00733207" w14:paraId="1C9C3F31"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C258DB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37BA2F1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CACA8F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Diapaga/Tapoa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06DB0D5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92.6 MHz</w:t>
            </w:r>
          </w:p>
        </w:tc>
      </w:tr>
      <w:tr w:rsidR="00733207" w14:paraId="2B6B2B56"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130FA3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3EFAF6E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CDED23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Diébougou/Bougouriba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B342B3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88.4 MHz</w:t>
            </w:r>
          </w:p>
        </w:tc>
      </w:tr>
      <w:tr w:rsidR="00733207" w14:paraId="474DD4EF"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96A3ED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11</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0BFA55B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DB8090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Djibo/Soum</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383E40E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89.00 MHz</w:t>
            </w:r>
          </w:p>
        </w:tc>
      </w:tr>
      <w:tr w:rsidR="00733207" w14:paraId="3E874185"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FEEB2F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12</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53535A0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FB2C61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Dori/Séno</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867507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91.00 MHz</w:t>
            </w:r>
          </w:p>
        </w:tc>
      </w:tr>
      <w:tr w:rsidR="00733207" w14:paraId="041D14C9"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5E9660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13</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45FCFFA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5E877F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Dori/Séno</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124F37D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94.2 MHz</w:t>
            </w:r>
          </w:p>
        </w:tc>
      </w:tr>
      <w:tr w:rsidR="00733207" w14:paraId="522A0EE9"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AB31DE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14</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748F6B0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D08ECC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Fada N'Gourma/Gourma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1A6FE82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89.2 MHz</w:t>
            </w:r>
          </w:p>
        </w:tc>
      </w:tr>
      <w:tr w:rsidR="00733207" w14:paraId="18A0CBE8"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28AEC5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15</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1698B9F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C22163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Fada N'Gourma/Gourma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2BAF04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92.3 MHz</w:t>
            </w:r>
          </w:p>
        </w:tc>
      </w:tr>
      <w:tr w:rsidR="00733207" w14:paraId="7F63AC12"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BBB3D4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16</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092A96E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1EBC1C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Houndé/Tuy</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0C74FEE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98.3 MHz</w:t>
            </w:r>
          </w:p>
        </w:tc>
      </w:tr>
      <w:tr w:rsidR="00733207" w14:paraId="103C0C18"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DCD2BA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17</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3311262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33F1504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Kaya/Sanmatenga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BA190C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89.8 MHz</w:t>
            </w:r>
          </w:p>
        </w:tc>
      </w:tr>
      <w:tr w:rsidR="00733207" w14:paraId="303F038E"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AA8BA7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18</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6606B84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AD87374"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Koudougou/Boulkiemdé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CD2060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89.1 MHz</w:t>
            </w:r>
          </w:p>
        </w:tc>
      </w:tr>
      <w:tr w:rsidR="00733207" w14:paraId="03C172FC"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7C78287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19</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28B53AD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B9E38D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Manga/Zoundwéogo</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0FF6A26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92.5 MHz</w:t>
            </w:r>
          </w:p>
        </w:tc>
      </w:tr>
      <w:tr w:rsidR="00733207" w14:paraId="4EF0258F"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F64E30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20</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4C67115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2911D3A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Mangodara/Comoé</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2BF0C63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101.5 MHz</w:t>
            </w:r>
          </w:p>
        </w:tc>
      </w:tr>
      <w:tr w:rsidR="00733207" w14:paraId="45EF3550"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DDDBE0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21</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6ED0260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 Liaison</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24EB9D2"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Ouagadougou/</w:t>
            </w:r>
            <w:proofErr w:type="spellStart"/>
            <w:r>
              <w:rPr>
                <w:rFonts w:ascii="Rockwell" w:eastAsia="Times New Roman" w:hAnsi="Rockwell" w:cs="Times New Roman"/>
                <w:color w:val="000000"/>
                <w:sz w:val="24"/>
                <w:szCs w:val="24"/>
                <w:lang w:eastAsia="fr-FR"/>
              </w:rPr>
              <w:t>Kadio</w:t>
            </w:r>
            <w:proofErr w:type="spellEnd"/>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613B95D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88.5 MHz</w:t>
            </w:r>
          </w:p>
        </w:tc>
      </w:tr>
      <w:tr w:rsidR="00733207" w14:paraId="447628BE"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DD155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22</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30890EF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510CBF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06D843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89.5 MHz</w:t>
            </w:r>
          </w:p>
        </w:tc>
      </w:tr>
      <w:tr w:rsidR="00733207" w14:paraId="7445C01E"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0405D70C"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23</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6F17888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74DE74F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153A2FB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95.5 MHz</w:t>
            </w:r>
          </w:p>
        </w:tc>
      </w:tr>
      <w:tr w:rsidR="00733207" w14:paraId="018B120A"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2E83F0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24</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12C6BA66"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CE9A023"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Tougan/Sourou</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59B14AA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88.3 MHz</w:t>
            </w:r>
          </w:p>
        </w:tc>
      </w:tr>
      <w:tr w:rsidR="00733207" w14:paraId="7FF41FAA"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F3FC3C7"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25</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5C46815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7DC8F9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Orodara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037D7B6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88.1MHZ</w:t>
            </w:r>
          </w:p>
        </w:tc>
      </w:tr>
      <w:tr w:rsidR="00733207" w14:paraId="3D82D1E6"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36FC99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26</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0296C53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D176F8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Boulsa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371F0EA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88.9MHZ</w:t>
            </w:r>
          </w:p>
        </w:tc>
      </w:tr>
      <w:tr w:rsidR="00733207" w14:paraId="5FADE16A"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EBB303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27</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4E3632C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1047EDD8"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Diapaga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327C2540"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89.5MHZ</w:t>
            </w:r>
          </w:p>
        </w:tc>
      </w:tr>
      <w:tr w:rsidR="00733207" w14:paraId="1A68CE24"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CAD7F31"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28</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16F552E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C7ACC3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 xml:space="preserve">Ouahigouya/Yatenga </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6DF99227" w14:textId="77777777" w:rsidR="00733207" w:rsidRDefault="00912BAE">
            <w:pPr>
              <w:spacing w:after="0" w:line="240" w:lineRule="auto"/>
              <w:jc w:val="both"/>
              <w:rPr>
                <w:rFonts w:ascii="Rockwell" w:hAnsi="Rockwell" w:cs="Times New Roman"/>
                <w:sz w:val="24"/>
                <w:szCs w:val="24"/>
              </w:rPr>
            </w:pPr>
            <w:r>
              <w:rPr>
                <w:rFonts w:ascii="Rockwell" w:hAnsi="Rockwell" w:cs="Times New Roman"/>
                <w:sz w:val="24"/>
                <w:szCs w:val="24"/>
              </w:rPr>
              <w:t>91.1MHZ</w:t>
            </w:r>
          </w:p>
        </w:tc>
      </w:tr>
      <w:tr w:rsidR="00733207" w14:paraId="7D0E7173"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41B90B2D"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29</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72EE9DDA"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472AB299"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hAnsi="Rockwell" w:cs="Times New Roman"/>
                <w:sz w:val="24"/>
                <w:szCs w:val="24"/>
              </w:rPr>
              <w:t>Kompienga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4C1281E8" w14:textId="77777777" w:rsidR="00733207" w:rsidRDefault="00912BAE">
            <w:pPr>
              <w:spacing w:after="0" w:line="240" w:lineRule="auto"/>
              <w:jc w:val="both"/>
              <w:rPr>
                <w:rFonts w:ascii="Rockwell" w:hAnsi="Rockwell" w:cs="Times New Roman"/>
                <w:sz w:val="24"/>
                <w:szCs w:val="24"/>
              </w:rPr>
            </w:pPr>
            <w:r>
              <w:rPr>
                <w:rFonts w:ascii="Rockwell" w:hAnsi="Rockwell" w:cs="Times New Roman"/>
                <w:sz w:val="24"/>
                <w:szCs w:val="24"/>
              </w:rPr>
              <w:t>91.4MHZ</w:t>
            </w:r>
          </w:p>
        </w:tc>
      </w:tr>
      <w:tr w:rsidR="00733207" w14:paraId="5C054DF9"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2E23569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30</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1CBEBF6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5CC150EB"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Gaoua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7F4A2F4B" w14:textId="77777777" w:rsidR="00733207" w:rsidRDefault="00912BAE">
            <w:pPr>
              <w:spacing w:after="0" w:line="240" w:lineRule="auto"/>
              <w:jc w:val="both"/>
              <w:rPr>
                <w:rFonts w:ascii="Rockwell" w:hAnsi="Rockwell" w:cs="Times New Roman"/>
                <w:sz w:val="24"/>
                <w:szCs w:val="24"/>
              </w:rPr>
            </w:pPr>
            <w:r>
              <w:rPr>
                <w:rFonts w:ascii="Rockwell" w:hAnsi="Rockwell" w:cs="Times New Roman"/>
                <w:sz w:val="24"/>
                <w:szCs w:val="24"/>
              </w:rPr>
              <w:t>103.2MHZ</w:t>
            </w:r>
          </w:p>
        </w:tc>
      </w:tr>
      <w:tr w:rsidR="00733207" w14:paraId="0E98F24C" w14:textId="77777777">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528D41DE"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31</w:t>
            </w:r>
          </w:p>
        </w:tc>
        <w:tc>
          <w:tcPr>
            <w:tcW w:w="2977" w:type="dxa"/>
            <w:tcBorders>
              <w:top w:val="single" w:sz="4" w:space="0" w:color="auto"/>
              <w:left w:val="nil"/>
              <w:bottom w:val="single" w:sz="4" w:space="0" w:color="auto"/>
              <w:right w:val="single" w:sz="4" w:space="0" w:color="auto"/>
            </w:tcBorders>
            <w:shd w:val="clear" w:color="auto" w:fill="FFFFFF" w:themeFill="background1"/>
            <w:noWrap/>
            <w:vAlign w:val="bottom"/>
          </w:tcPr>
          <w:p w14:paraId="1024B785"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RTB/Radio</w:t>
            </w:r>
          </w:p>
        </w:tc>
        <w:tc>
          <w:tcPr>
            <w:tcW w:w="3969" w:type="dxa"/>
            <w:tcBorders>
              <w:top w:val="single" w:sz="4" w:space="0" w:color="auto"/>
              <w:left w:val="nil"/>
              <w:bottom w:val="single" w:sz="4" w:space="0" w:color="auto"/>
              <w:right w:val="single" w:sz="4" w:space="0" w:color="auto"/>
            </w:tcBorders>
            <w:shd w:val="clear" w:color="auto" w:fill="FFFFFF" w:themeFill="background1"/>
            <w:noWrap/>
            <w:vAlign w:val="bottom"/>
          </w:tcPr>
          <w:p w14:paraId="6BA122EF" w14:textId="77777777" w:rsidR="00733207" w:rsidRDefault="00912BAE">
            <w:pPr>
              <w:spacing w:after="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Kaya</w:t>
            </w:r>
          </w:p>
        </w:tc>
        <w:tc>
          <w:tcPr>
            <w:tcW w:w="1985" w:type="dxa"/>
            <w:tcBorders>
              <w:top w:val="single" w:sz="4" w:space="0" w:color="auto"/>
              <w:left w:val="nil"/>
              <w:bottom w:val="single" w:sz="4" w:space="0" w:color="auto"/>
              <w:right w:val="single" w:sz="4" w:space="0" w:color="auto"/>
            </w:tcBorders>
            <w:shd w:val="clear" w:color="auto" w:fill="FFFFFF" w:themeFill="background1"/>
            <w:noWrap/>
            <w:vAlign w:val="bottom"/>
          </w:tcPr>
          <w:p w14:paraId="1FC61ED1" w14:textId="77777777" w:rsidR="00733207" w:rsidRDefault="00912BAE">
            <w:pPr>
              <w:spacing w:after="0" w:line="240" w:lineRule="auto"/>
              <w:jc w:val="both"/>
              <w:rPr>
                <w:rFonts w:ascii="Rockwell" w:hAnsi="Rockwell" w:cs="Times New Roman"/>
                <w:sz w:val="24"/>
                <w:szCs w:val="24"/>
              </w:rPr>
            </w:pPr>
            <w:r>
              <w:rPr>
                <w:rFonts w:ascii="Rockwell" w:hAnsi="Rockwell" w:cs="Times New Roman"/>
                <w:sz w:val="24"/>
                <w:szCs w:val="24"/>
              </w:rPr>
              <w:t>103.2MHZ</w:t>
            </w:r>
          </w:p>
        </w:tc>
      </w:tr>
    </w:tbl>
    <w:p w14:paraId="1C941432" w14:textId="77777777" w:rsidR="00733207" w:rsidRDefault="00912BAE">
      <w:pPr>
        <w:pStyle w:val="Paragraphedeliste"/>
        <w:numPr>
          <w:ilvl w:val="0"/>
          <w:numId w:val="65"/>
        </w:numPr>
        <w:spacing w:after="200" w:line="480" w:lineRule="auto"/>
        <w:jc w:val="center"/>
        <w:rPr>
          <w:rFonts w:ascii="Rockwell" w:hAnsi="Rockwell" w:cs="Times New Roman"/>
          <w:b/>
          <w:sz w:val="24"/>
          <w:szCs w:val="24"/>
        </w:rPr>
      </w:pPr>
      <w:r>
        <w:rPr>
          <w:rFonts w:ascii="Rockwell" w:hAnsi="Rockwell" w:cs="Times New Roman"/>
          <w:b/>
          <w:sz w:val="24"/>
          <w:szCs w:val="24"/>
        </w:rPr>
        <w:lastRenderedPageBreak/>
        <w:t>LES FREQUENCES RELAIS DES MEDIAS AUDIOVISUELS INTERNATIONAUX</w:t>
      </w:r>
    </w:p>
    <w:p w14:paraId="77D779AF" w14:textId="77777777" w:rsidR="00733207" w:rsidRDefault="00912BAE">
      <w:pPr>
        <w:pStyle w:val="Paragraphedeliste"/>
        <w:numPr>
          <w:ilvl w:val="0"/>
          <w:numId w:val="66"/>
        </w:numPr>
        <w:spacing w:after="200" w:line="480" w:lineRule="auto"/>
        <w:jc w:val="both"/>
        <w:rPr>
          <w:rFonts w:ascii="Rockwell" w:hAnsi="Rockwell" w:cs="Times New Roman"/>
          <w:b/>
          <w:sz w:val="24"/>
          <w:szCs w:val="24"/>
        </w:rPr>
      </w:pPr>
      <w:r>
        <w:rPr>
          <w:rFonts w:ascii="Rockwell" w:hAnsi="Rockwell" w:cs="Times New Roman"/>
          <w:b/>
          <w:sz w:val="24"/>
          <w:szCs w:val="24"/>
        </w:rPr>
        <w:t>Les fréquences relais des radiodiffusions sonores</w:t>
      </w:r>
    </w:p>
    <w:p w14:paraId="20641F45" w14:textId="77777777" w:rsidR="00733207" w:rsidRDefault="00912BAE">
      <w:pPr>
        <w:pStyle w:val="Paragraphedeliste"/>
        <w:spacing w:after="0" w:line="48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a. Relais radios internationales : quatre (04)</w:t>
      </w:r>
    </w:p>
    <w:tbl>
      <w:tblPr>
        <w:tblW w:w="9720" w:type="dxa"/>
        <w:jc w:val="center"/>
        <w:tblLayout w:type="fixed"/>
        <w:tblCellMar>
          <w:left w:w="70" w:type="dxa"/>
          <w:right w:w="70" w:type="dxa"/>
        </w:tblCellMar>
        <w:tblLook w:val="04A0" w:firstRow="1" w:lastRow="0" w:firstColumn="1" w:lastColumn="0" w:noHBand="0" w:noVBand="1"/>
      </w:tblPr>
      <w:tblGrid>
        <w:gridCol w:w="1523"/>
        <w:gridCol w:w="3188"/>
        <w:gridCol w:w="2885"/>
        <w:gridCol w:w="2124"/>
      </w:tblGrid>
      <w:tr w:rsidR="00733207" w14:paraId="34074D9A" w14:textId="77777777">
        <w:trPr>
          <w:trHeight w:val="567"/>
          <w:jc w:val="center"/>
        </w:trPr>
        <w:tc>
          <w:tcPr>
            <w:tcW w:w="1523" w:type="dxa"/>
            <w:tcBorders>
              <w:top w:val="single" w:sz="4" w:space="0" w:color="auto"/>
              <w:left w:val="single" w:sz="4" w:space="0" w:color="auto"/>
              <w:bottom w:val="single" w:sz="4" w:space="0" w:color="auto"/>
              <w:right w:val="single" w:sz="4" w:space="0" w:color="auto"/>
            </w:tcBorders>
            <w:shd w:val="clear" w:color="000000" w:fill="BFBFBF"/>
            <w:noWrap/>
          </w:tcPr>
          <w:p w14:paraId="3C1054BC"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N°</w:t>
            </w:r>
          </w:p>
        </w:tc>
        <w:tc>
          <w:tcPr>
            <w:tcW w:w="3188" w:type="dxa"/>
            <w:tcBorders>
              <w:top w:val="single" w:sz="4" w:space="0" w:color="auto"/>
              <w:left w:val="nil"/>
              <w:bottom w:val="single" w:sz="4" w:space="0" w:color="auto"/>
              <w:right w:val="single" w:sz="4" w:space="0" w:color="auto"/>
            </w:tcBorders>
            <w:shd w:val="clear" w:color="000000" w:fill="BFBFBF"/>
            <w:noWrap/>
          </w:tcPr>
          <w:p w14:paraId="598F92C0"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Dénomination</w:t>
            </w:r>
          </w:p>
        </w:tc>
        <w:tc>
          <w:tcPr>
            <w:tcW w:w="2885" w:type="dxa"/>
            <w:tcBorders>
              <w:top w:val="single" w:sz="4" w:space="0" w:color="auto"/>
              <w:left w:val="nil"/>
              <w:bottom w:val="single" w:sz="4" w:space="0" w:color="auto"/>
              <w:right w:val="single" w:sz="4" w:space="0" w:color="auto"/>
            </w:tcBorders>
            <w:shd w:val="clear" w:color="000000" w:fill="BFBFBF"/>
            <w:noWrap/>
          </w:tcPr>
          <w:p w14:paraId="73FDC383"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Localité/Province</w:t>
            </w:r>
          </w:p>
        </w:tc>
        <w:tc>
          <w:tcPr>
            <w:tcW w:w="2124" w:type="dxa"/>
            <w:tcBorders>
              <w:top w:val="single" w:sz="4" w:space="0" w:color="auto"/>
              <w:left w:val="nil"/>
              <w:bottom w:val="single" w:sz="4" w:space="0" w:color="auto"/>
              <w:right w:val="single" w:sz="4" w:space="0" w:color="auto"/>
            </w:tcBorders>
            <w:shd w:val="clear" w:color="000000" w:fill="BFBFBF"/>
            <w:noWrap/>
          </w:tcPr>
          <w:p w14:paraId="69426AC7" w14:textId="77777777" w:rsidR="00733207" w:rsidRDefault="00912BAE">
            <w:pPr>
              <w:spacing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Fréquence</w:t>
            </w:r>
          </w:p>
        </w:tc>
      </w:tr>
      <w:tr w:rsidR="00733207" w14:paraId="12C46744" w14:textId="77777777">
        <w:trPr>
          <w:trHeight w:val="567"/>
          <w:jc w:val="center"/>
        </w:trPr>
        <w:tc>
          <w:tcPr>
            <w:tcW w:w="152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738E9B6"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w:t>
            </w:r>
          </w:p>
        </w:tc>
        <w:tc>
          <w:tcPr>
            <w:tcW w:w="3188" w:type="dxa"/>
            <w:tcBorders>
              <w:top w:val="single" w:sz="4" w:space="0" w:color="auto"/>
              <w:left w:val="nil"/>
              <w:bottom w:val="single" w:sz="4" w:space="0" w:color="auto"/>
              <w:right w:val="single" w:sz="4" w:space="0" w:color="auto"/>
            </w:tcBorders>
            <w:shd w:val="clear" w:color="auto" w:fill="FFFFFF" w:themeFill="background1"/>
            <w:noWrap/>
          </w:tcPr>
          <w:p w14:paraId="7D6A99A5"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France internationale</w:t>
            </w:r>
          </w:p>
        </w:tc>
        <w:tc>
          <w:tcPr>
            <w:tcW w:w="2885" w:type="dxa"/>
            <w:tcBorders>
              <w:top w:val="single" w:sz="4" w:space="0" w:color="auto"/>
              <w:left w:val="nil"/>
              <w:bottom w:val="single" w:sz="4" w:space="0" w:color="auto"/>
              <w:right w:val="single" w:sz="4" w:space="0" w:color="auto"/>
            </w:tcBorders>
            <w:shd w:val="clear" w:color="auto" w:fill="FFFFFF" w:themeFill="background1"/>
            <w:noWrap/>
          </w:tcPr>
          <w:p w14:paraId="7D95476C"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Bobo-Dioulasso/Houet</w:t>
            </w:r>
          </w:p>
        </w:tc>
        <w:tc>
          <w:tcPr>
            <w:tcW w:w="2124" w:type="dxa"/>
            <w:tcBorders>
              <w:top w:val="single" w:sz="4" w:space="0" w:color="auto"/>
              <w:left w:val="nil"/>
              <w:bottom w:val="single" w:sz="4" w:space="0" w:color="auto"/>
              <w:right w:val="single" w:sz="4" w:space="0" w:color="auto"/>
            </w:tcBorders>
            <w:shd w:val="clear" w:color="auto" w:fill="FFFFFF" w:themeFill="background1"/>
            <w:noWrap/>
          </w:tcPr>
          <w:p w14:paraId="62E1FD6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94.4 MHz</w:t>
            </w:r>
          </w:p>
        </w:tc>
      </w:tr>
      <w:tr w:rsidR="00733207" w14:paraId="4F33C644" w14:textId="77777777">
        <w:trPr>
          <w:trHeight w:val="567"/>
          <w:jc w:val="center"/>
        </w:trPr>
        <w:tc>
          <w:tcPr>
            <w:tcW w:w="152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3BA4A50"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2</w:t>
            </w:r>
          </w:p>
        </w:tc>
        <w:tc>
          <w:tcPr>
            <w:tcW w:w="3188" w:type="dxa"/>
            <w:tcBorders>
              <w:top w:val="single" w:sz="4" w:space="0" w:color="auto"/>
              <w:left w:val="nil"/>
              <w:bottom w:val="single" w:sz="4" w:space="0" w:color="auto"/>
              <w:right w:val="single" w:sz="4" w:space="0" w:color="auto"/>
            </w:tcBorders>
            <w:shd w:val="clear" w:color="auto" w:fill="FFFFFF" w:themeFill="background1"/>
            <w:noWrap/>
          </w:tcPr>
          <w:p w14:paraId="6CC191C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France internationale</w:t>
            </w:r>
          </w:p>
        </w:tc>
        <w:tc>
          <w:tcPr>
            <w:tcW w:w="2885" w:type="dxa"/>
            <w:tcBorders>
              <w:top w:val="single" w:sz="4" w:space="0" w:color="auto"/>
              <w:left w:val="nil"/>
              <w:bottom w:val="single" w:sz="4" w:space="0" w:color="auto"/>
              <w:right w:val="single" w:sz="4" w:space="0" w:color="auto"/>
            </w:tcBorders>
            <w:shd w:val="clear" w:color="auto" w:fill="FFFFFF" w:themeFill="background1"/>
            <w:noWrap/>
          </w:tcPr>
          <w:p w14:paraId="5902CB1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Koudougou/Boulkiemdé</w:t>
            </w:r>
          </w:p>
        </w:tc>
        <w:tc>
          <w:tcPr>
            <w:tcW w:w="2124" w:type="dxa"/>
            <w:tcBorders>
              <w:top w:val="single" w:sz="4" w:space="0" w:color="auto"/>
              <w:left w:val="nil"/>
              <w:bottom w:val="single" w:sz="4" w:space="0" w:color="auto"/>
              <w:right w:val="single" w:sz="4" w:space="0" w:color="auto"/>
            </w:tcBorders>
            <w:shd w:val="clear" w:color="auto" w:fill="FFFFFF" w:themeFill="background1"/>
            <w:noWrap/>
          </w:tcPr>
          <w:p w14:paraId="5B365A51"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93.00 MHz</w:t>
            </w:r>
          </w:p>
        </w:tc>
      </w:tr>
      <w:tr w:rsidR="00733207" w14:paraId="5BC5633C" w14:textId="77777777">
        <w:trPr>
          <w:trHeight w:val="567"/>
          <w:jc w:val="center"/>
        </w:trPr>
        <w:tc>
          <w:tcPr>
            <w:tcW w:w="152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104A0DA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w:t>
            </w:r>
          </w:p>
        </w:tc>
        <w:tc>
          <w:tcPr>
            <w:tcW w:w="3188" w:type="dxa"/>
            <w:tcBorders>
              <w:top w:val="single" w:sz="4" w:space="0" w:color="auto"/>
              <w:left w:val="nil"/>
              <w:bottom w:val="single" w:sz="4" w:space="0" w:color="auto"/>
              <w:right w:val="single" w:sz="4" w:space="0" w:color="auto"/>
            </w:tcBorders>
            <w:shd w:val="clear" w:color="auto" w:fill="FFFFFF" w:themeFill="background1"/>
            <w:noWrap/>
          </w:tcPr>
          <w:p w14:paraId="03FB59B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France internationale</w:t>
            </w:r>
          </w:p>
        </w:tc>
        <w:tc>
          <w:tcPr>
            <w:tcW w:w="2885" w:type="dxa"/>
            <w:tcBorders>
              <w:top w:val="single" w:sz="4" w:space="0" w:color="auto"/>
              <w:left w:val="nil"/>
              <w:bottom w:val="single" w:sz="4" w:space="0" w:color="auto"/>
              <w:right w:val="single" w:sz="4" w:space="0" w:color="auto"/>
            </w:tcBorders>
            <w:shd w:val="clear" w:color="auto" w:fill="FFFFFF" w:themeFill="background1"/>
            <w:noWrap/>
          </w:tcPr>
          <w:p w14:paraId="5CACF62D"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Banfora/Comoé</w:t>
            </w:r>
          </w:p>
        </w:tc>
        <w:tc>
          <w:tcPr>
            <w:tcW w:w="2124" w:type="dxa"/>
            <w:tcBorders>
              <w:top w:val="single" w:sz="4" w:space="0" w:color="auto"/>
              <w:left w:val="nil"/>
              <w:bottom w:val="single" w:sz="4" w:space="0" w:color="auto"/>
              <w:right w:val="single" w:sz="4" w:space="0" w:color="auto"/>
            </w:tcBorders>
            <w:shd w:val="clear" w:color="auto" w:fill="FFFFFF" w:themeFill="background1"/>
            <w:noWrap/>
          </w:tcPr>
          <w:p w14:paraId="726D077E"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91.5 MHz</w:t>
            </w:r>
          </w:p>
        </w:tc>
      </w:tr>
      <w:tr w:rsidR="00733207" w14:paraId="1DC84DFC" w14:textId="77777777">
        <w:trPr>
          <w:trHeight w:val="567"/>
          <w:jc w:val="center"/>
        </w:trPr>
        <w:tc>
          <w:tcPr>
            <w:tcW w:w="1523"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3E7CD561"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3188" w:type="dxa"/>
            <w:tcBorders>
              <w:top w:val="single" w:sz="4" w:space="0" w:color="auto"/>
              <w:left w:val="nil"/>
              <w:bottom w:val="single" w:sz="4" w:space="0" w:color="auto"/>
              <w:right w:val="single" w:sz="4" w:space="0" w:color="auto"/>
            </w:tcBorders>
            <w:shd w:val="clear" w:color="auto" w:fill="FFFFFF" w:themeFill="background1"/>
            <w:noWrap/>
          </w:tcPr>
          <w:p w14:paraId="5612C93F"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Radio France internationale</w:t>
            </w:r>
          </w:p>
        </w:tc>
        <w:tc>
          <w:tcPr>
            <w:tcW w:w="2885" w:type="dxa"/>
            <w:tcBorders>
              <w:top w:val="single" w:sz="4" w:space="0" w:color="auto"/>
              <w:left w:val="nil"/>
              <w:bottom w:val="single" w:sz="4" w:space="0" w:color="auto"/>
              <w:right w:val="single" w:sz="4" w:space="0" w:color="auto"/>
            </w:tcBorders>
            <w:shd w:val="clear" w:color="auto" w:fill="FFFFFF" w:themeFill="background1"/>
            <w:noWrap/>
          </w:tcPr>
          <w:p w14:paraId="29BF5C04"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Ouahigouya/Yatenga</w:t>
            </w:r>
          </w:p>
        </w:tc>
        <w:tc>
          <w:tcPr>
            <w:tcW w:w="2124" w:type="dxa"/>
            <w:tcBorders>
              <w:top w:val="single" w:sz="4" w:space="0" w:color="auto"/>
              <w:left w:val="nil"/>
              <w:bottom w:val="single" w:sz="4" w:space="0" w:color="auto"/>
              <w:right w:val="single" w:sz="4" w:space="0" w:color="auto"/>
            </w:tcBorders>
            <w:shd w:val="clear" w:color="auto" w:fill="FFFFFF" w:themeFill="background1"/>
            <w:noWrap/>
          </w:tcPr>
          <w:p w14:paraId="2D39CF09" w14:textId="77777777" w:rsidR="00733207" w:rsidRDefault="00912BAE">
            <w:pPr>
              <w:spacing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94.3 MHz</w:t>
            </w:r>
          </w:p>
        </w:tc>
      </w:tr>
    </w:tbl>
    <w:p w14:paraId="28647B7D" w14:textId="77777777" w:rsidR="00733207" w:rsidRDefault="00733207">
      <w:pPr>
        <w:spacing w:after="0" w:line="240" w:lineRule="auto"/>
        <w:jc w:val="both"/>
        <w:rPr>
          <w:rFonts w:ascii="Rockwell" w:eastAsia="Times New Roman" w:hAnsi="Rockwell" w:cs="Times New Roman"/>
          <w:b/>
          <w:bCs/>
          <w:color w:val="000000"/>
          <w:sz w:val="16"/>
          <w:szCs w:val="16"/>
          <w:lang w:eastAsia="fr-FR"/>
        </w:rPr>
      </w:pPr>
    </w:p>
    <w:p w14:paraId="31E23411" w14:textId="77777777" w:rsidR="00733207" w:rsidRDefault="00733207">
      <w:pPr>
        <w:spacing w:after="0" w:line="240" w:lineRule="auto"/>
        <w:jc w:val="both"/>
        <w:rPr>
          <w:rFonts w:ascii="Rockwell" w:eastAsia="Times New Roman" w:hAnsi="Rockwell" w:cs="Times New Roman"/>
          <w:b/>
          <w:bCs/>
          <w:color w:val="000000"/>
          <w:sz w:val="32"/>
          <w:szCs w:val="32"/>
          <w:lang w:eastAsia="fr-FR"/>
        </w:rPr>
      </w:pPr>
    </w:p>
    <w:p w14:paraId="4DF438DB" w14:textId="77777777" w:rsidR="00733207" w:rsidRDefault="00733207">
      <w:pPr>
        <w:spacing w:after="0" w:line="240" w:lineRule="auto"/>
        <w:jc w:val="both"/>
        <w:rPr>
          <w:rFonts w:ascii="Rockwell" w:eastAsia="Times New Roman" w:hAnsi="Rockwell" w:cs="Times New Roman"/>
          <w:b/>
          <w:bCs/>
          <w:color w:val="000000"/>
          <w:sz w:val="32"/>
          <w:szCs w:val="32"/>
          <w:lang w:eastAsia="fr-FR"/>
        </w:rPr>
      </w:pPr>
    </w:p>
    <w:p w14:paraId="0F43C849" w14:textId="77777777" w:rsidR="00733207" w:rsidRDefault="00733207">
      <w:pPr>
        <w:spacing w:after="0" w:line="240" w:lineRule="auto"/>
        <w:jc w:val="both"/>
        <w:rPr>
          <w:rFonts w:ascii="Rockwell" w:eastAsia="Times New Roman" w:hAnsi="Rockwell" w:cs="Times New Roman"/>
          <w:b/>
          <w:bCs/>
          <w:color w:val="000000"/>
          <w:sz w:val="32"/>
          <w:szCs w:val="32"/>
          <w:lang w:eastAsia="fr-FR"/>
        </w:rPr>
        <w:sectPr w:rsidR="00733207">
          <w:pgSz w:w="11906" w:h="16838"/>
          <w:pgMar w:top="1417" w:right="1417" w:bottom="1417" w:left="1417" w:header="708" w:footer="708" w:gutter="0"/>
          <w:cols w:space="708"/>
          <w:docGrid w:linePitch="360"/>
        </w:sectPr>
      </w:pPr>
    </w:p>
    <w:p w14:paraId="0D46E50E" w14:textId="77777777" w:rsidR="00733207" w:rsidRDefault="00733207">
      <w:pPr>
        <w:spacing w:after="0" w:line="240" w:lineRule="auto"/>
        <w:jc w:val="both"/>
        <w:rPr>
          <w:rFonts w:ascii="Rockwell" w:eastAsia="Times New Roman" w:hAnsi="Rockwell" w:cs="Times New Roman"/>
          <w:b/>
          <w:bCs/>
          <w:color w:val="000000"/>
          <w:sz w:val="32"/>
          <w:szCs w:val="32"/>
          <w:lang w:eastAsia="fr-FR"/>
        </w:rPr>
      </w:pPr>
    </w:p>
    <w:p w14:paraId="73CE0F3E" w14:textId="77777777" w:rsidR="00733207" w:rsidRDefault="00912BAE">
      <w:pPr>
        <w:tabs>
          <w:tab w:val="left" w:pos="851"/>
        </w:tabs>
        <w:spacing w:after="0" w:line="240" w:lineRule="auto"/>
        <w:jc w:val="both"/>
        <w:rPr>
          <w:rFonts w:ascii="Rockwell" w:eastAsia="Times New Roman" w:hAnsi="Rockwell" w:cs="Times New Roman"/>
          <w:b/>
          <w:bCs/>
          <w:color w:val="000000"/>
          <w:sz w:val="32"/>
          <w:szCs w:val="32"/>
          <w:lang w:eastAsia="fr-FR"/>
        </w:rPr>
      </w:pPr>
      <w:r>
        <w:rPr>
          <w:rFonts w:ascii="Rockwell" w:eastAsia="Times New Roman" w:hAnsi="Rockwell" w:cs="Times New Roman"/>
          <w:b/>
          <w:bCs/>
          <w:color w:val="000000"/>
          <w:sz w:val="32"/>
          <w:szCs w:val="32"/>
          <w:lang w:eastAsia="fr-FR"/>
        </w:rPr>
        <w:t>RECAPITULATIF</w:t>
      </w:r>
    </w:p>
    <w:p w14:paraId="432BB077" w14:textId="77777777" w:rsidR="00733207" w:rsidRDefault="00733207">
      <w:pPr>
        <w:tabs>
          <w:tab w:val="left" w:pos="851"/>
        </w:tabs>
        <w:spacing w:after="0" w:line="240" w:lineRule="auto"/>
        <w:jc w:val="both"/>
        <w:rPr>
          <w:rFonts w:ascii="Rockwell" w:eastAsia="Times New Roman" w:hAnsi="Rockwell" w:cs="Times New Roman"/>
          <w:b/>
          <w:bCs/>
          <w:color w:val="000000"/>
          <w:sz w:val="32"/>
          <w:szCs w:val="32"/>
          <w:lang w:eastAsia="fr-FR"/>
        </w:rPr>
      </w:pPr>
    </w:p>
    <w:p w14:paraId="7E1D9147"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tbl>
      <w:tblPr>
        <w:tblStyle w:val="Grilledutableau1"/>
        <w:tblW w:w="15163" w:type="dxa"/>
        <w:jc w:val="center"/>
        <w:tblLayout w:type="fixed"/>
        <w:tblLook w:val="04A0" w:firstRow="1" w:lastRow="0" w:firstColumn="1" w:lastColumn="0" w:noHBand="0" w:noVBand="1"/>
      </w:tblPr>
      <w:tblGrid>
        <w:gridCol w:w="1129"/>
        <w:gridCol w:w="1985"/>
        <w:gridCol w:w="2268"/>
        <w:gridCol w:w="1984"/>
        <w:gridCol w:w="1560"/>
        <w:gridCol w:w="1842"/>
        <w:gridCol w:w="1276"/>
        <w:gridCol w:w="1985"/>
        <w:gridCol w:w="1134"/>
      </w:tblGrid>
      <w:tr w:rsidR="00733207" w14:paraId="7F72F1FE" w14:textId="77777777">
        <w:trPr>
          <w:trHeight w:val="851"/>
          <w:jc w:val="center"/>
        </w:trPr>
        <w:tc>
          <w:tcPr>
            <w:tcW w:w="1129" w:type="dxa"/>
            <w:shd w:val="clear" w:color="auto" w:fill="BFBFBF" w:themeFill="background1" w:themeFillShade="BF"/>
          </w:tcPr>
          <w:p w14:paraId="4F5B5F02"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Genre</w:t>
            </w:r>
          </w:p>
        </w:tc>
        <w:tc>
          <w:tcPr>
            <w:tcW w:w="1985" w:type="dxa"/>
            <w:shd w:val="clear" w:color="auto" w:fill="BFBFBF" w:themeFill="background1" w:themeFillShade="BF"/>
          </w:tcPr>
          <w:p w14:paraId="7F58A045"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Commercial</w:t>
            </w:r>
          </w:p>
        </w:tc>
        <w:tc>
          <w:tcPr>
            <w:tcW w:w="2268" w:type="dxa"/>
            <w:shd w:val="clear" w:color="auto" w:fill="BFBFBF" w:themeFill="background1" w:themeFillShade="BF"/>
          </w:tcPr>
          <w:p w14:paraId="06098163"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Communautaire</w:t>
            </w:r>
          </w:p>
        </w:tc>
        <w:tc>
          <w:tcPr>
            <w:tcW w:w="1984" w:type="dxa"/>
            <w:shd w:val="clear" w:color="auto" w:fill="BFBFBF" w:themeFill="background1" w:themeFillShade="BF"/>
          </w:tcPr>
          <w:p w14:paraId="35B5726E"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Confessionnel</w:t>
            </w:r>
          </w:p>
        </w:tc>
        <w:tc>
          <w:tcPr>
            <w:tcW w:w="1560" w:type="dxa"/>
            <w:shd w:val="clear" w:color="auto" w:fill="BFBFBF" w:themeFill="background1" w:themeFillShade="BF"/>
          </w:tcPr>
          <w:p w14:paraId="0CF3BA09"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Communal</w:t>
            </w:r>
          </w:p>
        </w:tc>
        <w:tc>
          <w:tcPr>
            <w:tcW w:w="1842" w:type="dxa"/>
            <w:shd w:val="clear" w:color="auto" w:fill="BFBFBF" w:themeFill="background1" w:themeFillShade="BF"/>
          </w:tcPr>
          <w:p w14:paraId="7D349719"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 xml:space="preserve">International </w:t>
            </w:r>
          </w:p>
        </w:tc>
        <w:tc>
          <w:tcPr>
            <w:tcW w:w="1276" w:type="dxa"/>
            <w:shd w:val="clear" w:color="auto" w:fill="BFBFBF" w:themeFill="background1" w:themeFillShade="BF"/>
          </w:tcPr>
          <w:p w14:paraId="6595A43F"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Secteur public</w:t>
            </w:r>
          </w:p>
        </w:tc>
        <w:tc>
          <w:tcPr>
            <w:tcW w:w="1985" w:type="dxa"/>
            <w:shd w:val="clear" w:color="auto" w:fill="BFBFBF" w:themeFill="background1" w:themeFillShade="BF"/>
          </w:tcPr>
          <w:p w14:paraId="38CB02FE"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Institutionnel</w:t>
            </w:r>
          </w:p>
        </w:tc>
        <w:tc>
          <w:tcPr>
            <w:tcW w:w="1134" w:type="dxa"/>
            <w:shd w:val="clear" w:color="auto" w:fill="BFBFBF" w:themeFill="background1" w:themeFillShade="BF"/>
          </w:tcPr>
          <w:p w14:paraId="5F3E98A6" w14:textId="77777777" w:rsidR="00733207" w:rsidRDefault="00912BAE">
            <w:pPr>
              <w:spacing w:after="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TOTAL</w:t>
            </w:r>
          </w:p>
        </w:tc>
      </w:tr>
      <w:tr w:rsidR="00733207" w14:paraId="7442B5EC" w14:textId="77777777">
        <w:trPr>
          <w:trHeight w:val="851"/>
          <w:jc w:val="center"/>
        </w:trPr>
        <w:tc>
          <w:tcPr>
            <w:tcW w:w="1129" w:type="dxa"/>
          </w:tcPr>
          <w:p w14:paraId="77BA875E"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Radio</w:t>
            </w:r>
          </w:p>
        </w:tc>
        <w:tc>
          <w:tcPr>
            <w:tcW w:w="1985" w:type="dxa"/>
          </w:tcPr>
          <w:p w14:paraId="49E82925"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41</w:t>
            </w:r>
          </w:p>
        </w:tc>
        <w:tc>
          <w:tcPr>
            <w:tcW w:w="2268" w:type="dxa"/>
          </w:tcPr>
          <w:p w14:paraId="6A7F3DFD"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51</w:t>
            </w:r>
          </w:p>
        </w:tc>
        <w:tc>
          <w:tcPr>
            <w:tcW w:w="1984" w:type="dxa"/>
          </w:tcPr>
          <w:p w14:paraId="2E7A130A"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40</w:t>
            </w:r>
          </w:p>
        </w:tc>
        <w:tc>
          <w:tcPr>
            <w:tcW w:w="1560" w:type="dxa"/>
          </w:tcPr>
          <w:p w14:paraId="1C393157"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31</w:t>
            </w:r>
          </w:p>
        </w:tc>
        <w:tc>
          <w:tcPr>
            <w:tcW w:w="1842" w:type="dxa"/>
          </w:tcPr>
          <w:p w14:paraId="59268DC0"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4</w:t>
            </w:r>
          </w:p>
        </w:tc>
        <w:tc>
          <w:tcPr>
            <w:tcW w:w="1276" w:type="dxa"/>
          </w:tcPr>
          <w:p w14:paraId="3718F2F7"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1985" w:type="dxa"/>
          </w:tcPr>
          <w:p w14:paraId="532DBD01"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1134" w:type="dxa"/>
          </w:tcPr>
          <w:p w14:paraId="1CB8AFF3"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 xml:space="preserve">181 </w:t>
            </w:r>
          </w:p>
        </w:tc>
      </w:tr>
      <w:tr w:rsidR="00733207" w14:paraId="6C90E037" w14:textId="77777777">
        <w:trPr>
          <w:trHeight w:val="851"/>
          <w:jc w:val="center"/>
        </w:trPr>
        <w:tc>
          <w:tcPr>
            <w:tcW w:w="1129" w:type="dxa"/>
          </w:tcPr>
          <w:p w14:paraId="3E4A04DD"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Télé</w:t>
            </w:r>
          </w:p>
        </w:tc>
        <w:tc>
          <w:tcPr>
            <w:tcW w:w="1985" w:type="dxa"/>
          </w:tcPr>
          <w:p w14:paraId="38A95BF1"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16</w:t>
            </w:r>
          </w:p>
        </w:tc>
        <w:tc>
          <w:tcPr>
            <w:tcW w:w="2268" w:type="dxa"/>
          </w:tcPr>
          <w:p w14:paraId="5438F53B"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7</w:t>
            </w:r>
          </w:p>
        </w:tc>
        <w:tc>
          <w:tcPr>
            <w:tcW w:w="1984" w:type="dxa"/>
          </w:tcPr>
          <w:p w14:paraId="2824B99E"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1560" w:type="dxa"/>
          </w:tcPr>
          <w:p w14:paraId="23F1AC6E"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0</w:t>
            </w:r>
          </w:p>
        </w:tc>
        <w:tc>
          <w:tcPr>
            <w:tcW w:w="1842" w:type="dxa"/>
          </w:tcPr>
          <w:p w14:paraId="0970BD20"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0</w:t>
            </w:r>
          </w:p>
        </w:tc>
        <w:tc>
          <w:tcPr>
            <w:tcW w:w="1276" w:type="dxa"/>
          </w:tcPr>
          <w:p w14:paraId="45141AD7"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5</w:t>
            </w:r>
          </w:p>
        </w:tc>
        <w:tc>
          <w:tcPr>
            <w:tcW w:w="1985" w:type="dxa"/>
          </w:tcPr>
          <w:p w14:paraId="2F567602" w14:textId="77777777" w:rsidR="00733207" w:rsidRDefault="00912BAE">
            <w:pPr>
              <w:spacing w:before="120" w:after="120" w:line="240" w:lineRule="auto"/>
              <w:jc w:val="both"/>
              <w:rPr>
                <w:rFonts w:ascii="Rockwell" w:eastAsia="Times New Roman" w:hAnsi="Rockwell" w:cs="Times New Roman"/>
                <w:color w:val="000000"/>
                <w:sz w:val="24"/>
                <w:szCs w:val="24"/>
                <w:lang w:eastAsia="fr-FR"/>
              </w:rPr>
            </w:pPr>
            <w:r>
              <w:rPr>
                <w:rFonts w:ascii="Rockwell" w:eastAsia="Times New Roman" w:hAnsi="Rockwell" w:cs="Times New Roman"/>
                <w:color w:val="000000"/>
                <w:sz w:val="24"/>
                <w:szCs w:val="24"/>
                <w:lang w:eastAsia="fr-FR"/>
              </w:rPr>
              <w:t>0</w:t>
            </w:r>
          </w:p>
        </w:tc>
        <w:tc>
          <w:tcPr>
            <w:tcW w:w="1134" w:type="dxa"/>
          </w:tcPr>
          <w:p w14:paraId="22FA04A5"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33</w:t>
            </w:r>
          </w:p>
        </w:tc>
      </w:tr>
      <w:tr w:rsidR="00733207" w14:paraId="723E0C87" w14:textId="77777777">
        <w:trPr>
          <w:trHeight w:val="851"/>
          <w:jc w:val="center"/>
        </w:trPr>
        <w:tc>
          <w:tcPr>
            <w:tcW w:w="1129" w:type="dxa"/>
          </w:tcPr>
          <w:p w14:paraId="0CF6999E"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TOTAL</w:t>
            </w:r>
          </w:p>
        </w:tc>
        <w:tc>
          <w:tcPr>
            <w:tcW w:w="1985" w:type="dxa"/>
          </w:tcPr>
          <w:p w14:paraId="6B6FEAC8"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57</w:t>
            </w:r>
          </w:p>
        </w:tc>
        <w:tc>
          <w:tcPr>
            <w:tcW w:w="2268" w:type="dxa"/>
          </w:tcPr>
          <w:p w14:paraId="3F8EF730"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59</w:t>
            </w:r>
          </w:p>
        </w:tc>
        <w:tc>
          <w:tcPr>
            <w:tcW w:w="1984" w:type="dxa"/>
          </w:tcPr>
          <w:p w14:paraId="6AADC214"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45</w:t>
            </w:r>
          </w:p>
        </w:tc>
        <w:tc>
          <w:tcPr>
            <w:tcW w:w="1560" w:type="dxa"/>
          </w:tcPr>
          <w:p w14:paraId="26FB6AB5"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31</w:t>
            </w:r>
          </w:p>
        </w:tc>
        <w:tc>
          <w:tcPr>
            <w:tcW w:w="1842" w:type="dxa"/>
          </w:tcPr>
          <w:p w14:paraId="16397BBF"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4</w:t>
            </w:r>
          </w:p>
        </w:tc>
        <w:tc>
          <w:tcPr>
            <w:tcW w:w="1276" w:type="dxa"/>
          </w:tcPr>
          <w:p w14:paraId="364D07A2"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12</w:t>
            </w:r>
          </w:p>
        </w:tc>
        <w:tc>
          <w:tcPr>
            <w:tcW w:w="1985" w:type="dxa"/>
          </w:tcPr>
          <w:p w14:paraId="442AA300"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7</w:t>
            </w:r>
          </w:p>
        </w:tc>
        <w:tc>
          <w:tcPr>
            <w:tcW w:w="1134" w:type="dxa"/>
            <w:shd w:val="clear" w:color="auto" w:fill="BFBFBF" w:themeFill="background1" w:themeFillShade="BF"/>
          </w:tcPr>
          <w:p w14:paraId="32BC05FA" w14:textId="77777777" w:rsidR="00733207" w:rsidRDefault="00912BAE">
            <w:pPr>
              <w:spacing w:before="120" w:after="120" w:line="240" w:lineRule="auto"/>
              <w:jc w:val="both"/>
              <w:rPr>
                <w:rFonts w:ascii="Rockwell" w:eastAsia="Times New Roman" w:hAnsi="Rockwell" w:cs="Times New Roman"/>
                <w:b/>
                <w:bCs/>
                <w:color w:val="000000"/>
                <w:sz w:val="24"/>
                <w:szCs w:val="24"/>
                <w:lang w:eastAsia="fr-FR"/>
              </w:rPr>
            </w:pPr>
            <w:r>
              <w:rPr>
                <w:rFonts w:ascii="Rockwell" w:eastAsia="Times New Roman" w:hAnsi="Rockwell" w:cs="Times New Roman"/>
                <w:b/>
                <w:bCs/>
                <w:color w:val="000000"/>
                <w:sz w:val="24"/>
                <w:szCs w:val="24"/>
                <w:lang w:eastAsia="fr-FR"/>
              </w:rPr>
              <w:t xml:space="preserve">214 </w:t>
            </w:r>
          </w:p>
        </w:tc>
      </w:tr>
    </w:tbl>
    <w:p w14:paraId="51738689" w14:textId="77777777" w:rsidR="00733207" w:rsidRDefault="00733207">
      <w:pPr>
        <w:spacing w:before="120" w:after="120" w:line="240" w:lineRule="auto"/>
        <w:jc w:val="both"/>
        <w:rPr>
          <w:rFonts w:ascii="Rockwell" w:eastAsia="Times New Roman" w:hAnsi="Rockwell" w:cs="Times New Roman"/>
          <w:b/>
          <w:bCs/>
          <w:color w:val="000000"/>
          <w:sz w:val="16"/>
          <w:szCs w:val="16"/>
          <w:lang w:eastAsia="fr-FR"/>
        </w:rPr>
      </w:pPr>
    </w:p>
    <w:p w14:paraId="57FD1A66"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 xml:space="preserve">   Opérateurs MMDS : 4</w:t>
      </w:r>
    </w:p>
    <w:p w14:paraId="23EA92B9" w14:textId="77777777" w:rsidR="00733207" w:rsidRDefault="00912BAE">
      <w:pPr>
        <w:spacing w:after="0" w:line="240" w:lineRule="auto"/>
        <w:jc w:val="both"/>
        <w:rPr>
          <w:rFonts w:ascii="Rockwell" w:eastAsia="Times New Roman" w:hAnsi="Rockwell" w:cs="Times New Roman"/>
          <w:b/>
          <w:bCs/>
          <w:iCs/>
          <w:color w:val="000000"/>
          <w:sz w:val="24"/>
          <w:szCs w:val="24"/>
          <w:lang w:eastAsia="fr-FR"/>
        </w:rPr>
      </w:pPr>
      <w:r>
        <w:rPr>
          <w:rFonts w:ascii="Rockwell" w:eastAsia="Times New Roman" w:hAnsi="Rockwell" w:cs="Times New Roman"/>
          <w:b/>
          <w:bCs/>
          <w:iCs/>
          <w:color w:val="000000"/>
          <w:sz w:val="24"/>
          <w:szCs w:val="24"/>
          <w:lang w:eastAsia="fr-FR"/>
        </w:rPr>
        <w:t xml:space="preserve">   Opérateurs RDS : 4</w:t>
      </w:r>
    </w:p>
    <w:p w14:paraId="3B5E3531" w14:textId="77777777" w:rsidR="00733207" w:rsidRDefault="00733207">
      <w:pPr>
        <w:spacing w:after="0" w:line="240" w:lineRule="auto"/>
        <w:jc w:val="both"/>
        <w:rPr>
          <w:rFonts w:ascii="Rockwell" w:eastAsia="Times New Roman" w:hAnsi="Rockwell" w:cs="Times New Roman"/>
          <w:b/>
          <w:bCs/>
          <w:color w:val="000000"/>
          <w:sz w:val="24"/>
          <w:szCs w:val="24"/>
          <w:lang w:eastAsia="fr-FR"/>
        </w:rPr>
        <w:sectPr w:rsidR="00733207">
          <w:pgSz w:w="16838" w:h="11906" w:orient="landscape"/>
          <w:pgMar w:top="1417" w:right="1417" w:bottom="1417" w:left="1417" w:header="708" w:footer="708" w:gutter="0"/>
          <w:cols w:space="708"/>
          <w:docGrid w:linePitch="360"/>
        </w:sectPr>
      </w:pPr>
    </w:p>
    <w:p w14:paraId="4AD186D8" w14:textId="77777777" w:rsidR="00733207" w:rsidRDefault="00733207">
      <w:pPr>
        <w:spacing w:after="0" w:line="240" w:lineRule="auto"/>
        <w:jc w:val="both"/>
        <w:rPr>
          <w:rFonts w:ascii="Rockwell" w:eastAsia="Times New Roman" w:hAnsi="Rockwell" w:cs="Times New Roman"/>
          <w:b/>
          <w:bCs/>
          <w:color w:val="000000"/>
          <w:sz w:val="24"/>
          <w:szCs w:val="24"/>
          <w:lang w:eastAsia="fr-FR"/>
        </w:rPr>
      </w:pPr>
    </w:p>
    <w:p w14:paraId="632EF631" w14:textId="77777777" w:rsidR="00733207" w:rsidRDefault="00733207">
      <w:pPr>
        <w:jc w:val="both"/>
        <w:rPr>
          <w:rFonts w:ascii="Rockwell" w:hAnsi="Rockwell"/>
          <w:b/>
          <w:i/>
          <w:sz w:val="32"/>
          <w:szCs w:val="32"/>
        </w:rPr>
      </w:pPr>
    </w:p>
    <w:p w14:paraId="1BA79AF5" w14:textId="77777777" w:rsidR="00733207" w:rsidRDefault="00733207">
      <w:pPr>
        <w:jc w:val="both"/>
        <w:rPr>
          <w:rFonts w:ascii="Rockwell" w:hAnsi="Rockwell"/>
          <w:b/>
          <w:i/>
          <w:sz w:val="32"/>
          <w:szCs w:val="32"/>
        </w:rPr>
      </w:pPr>
    </w:p>
    <w:p w14:paraId="07F064BA" w14:textId="77777777" w:rsidR="00733207" w:rsidRDefault="00733207">
      <w:pPr>
        <w:jc w:val="both"/>
        <w:rPr>
          <w:rFonts w:ascii="Rockwell" w:hAnsi="Rockwell"/>
          <w:b/>
          <w:i/>
          <w:sz w:val="32"/>
          <w:szCs w:val="32"/>
        </w:rPr>
      </w:pPr>
    </w:p>
    <w:p w14:paraId="2C54DE22" w14:textId="77777777" w:rsidR="00733207" w:rsidRDefault="00733207">
      <w:pPr>
        <w:jc w:val="both"/>
        <w:rPr>
          <w:rFonts w:ascii="Rockwell" w:hAnsi="Rockwell"/>
          <w:b/>
          <w:i/>
          <w:sz w:val="32"/>
          <w:szCs w:val="32"/>
        </w:rPr>
      </w:pPr>
    </w:p>
    <w:p w14:paraId="4EDA786C" w14:textId="77777777" w:rsidR="00733207" w:rsidRDefault="00733207">
      <w:pPr>
        <w:jc w:val="both"/>
        <w:rPr>
          <w:rFonts w:ascii="Rockwell" w:hAnsi="Rockwell"/>
          <w:b/>
          <w:i/>
          <w:sz w:val="32"/>
          <w:szCs w:val="32"/>
        </w:rPr>
      </w:pPr>
    </w:p>
    <w:p w14:paraId="2E4A984F" w14:textId="77777777" w:rsidR="00733207" w:rsidRDefault="00733207">
      <w:pPr>
        <w:jc w:val="both"/>
        <w:rPr>
          <w:rFonts w:ascii="Rockwell" w:hAnsi="Rockwell"/>
          <w:b/>
          <w:i/>
          <w:sz w:val="32"/>
          <w:szCs w:val="32"/>
        </w:rPr>
      </w:pPr>
    </w:p>
    <w:p w14:paraId="7EC1D6B4" w14:textId="77777777" w:rsidR="00733207" w:rsidRDefault="00733207">
      <w:pPr>
        <w:jc w:val="both"/>
        <w:rPr>
          <w:rFonts w:ascii="Rockwell" w:hAnsi="Rockwell"/>
          <w:b/>
          <w:i/>
          <w:sz w:val="32"/>
          <w:szCs w:val="32"/>
        </w:rPr>
      </w:pPr>
    </w:p>
    <w:p w14:paraId="6D56A695" w14:textId="77777777" w:rsidR="00733207" w:rsidRDefault="00733207">
      <w:pPr>
        <w:jc w:val="both"/>
        <w:rPr>
          <w:rFonts w:ascii="Rockwell" w:hAnsi="Rockwell"/>
          <w:b/>
          <w:i/>
          <w:sz w:val="32"/>
          <w:szCs w:val="32"/>
        </w:rPr>
      </w:pPr>
    </w:p>
    <w:p w14:paraId="30419140" w14:textId="77777777" w:rsidR="00733207" w:rsidRDefault="00733207">
      <w:pPr>
        <w:jc w:val="both"/>
        <w:rPr>
          <w:rFonts w:ascii="Rockwell" w:hAnsi="Rockwell"/>
          <w:b/>
          <w:i/>
          <w:sz w:val="32"/>
          <w:szCs w:val="32"/>
        </w:rPr>
      </w:pPr>
    </w:p>
    <w:p w14:paraId="5E6E061C" w14:textId="77777777" w:rsidR="00733207" w:rsidRDefault="00733207">
      <w:pPr>
        <w:jc w:val="both"/>
        <w:rPr>
          <w:rFonts w:ascii="Rockwell" w:hAnsi="Rockwell"/>
          <w:b/>
          <w:i/>
          <w:sz w:val="32"/>
          <w:szCs w:val="32"/>
        </w:rPr>
      </w:pPr>
    </w:p>
    <w:p w14:paraId="3DED5369" w14:textId="77777777" w:rsidR="00733207" w:rsidRDefault="00733207">
      <w:pPr>
        <w:jc w:val="both"/>
        <w:rPr>
          <w:rFonts w:ascii="Rockwell" w:hAnsi="Rockwell"/>
          <w:b/>
          <w:i/>
          <w:sz w:val="32"/>
          <w:szCs w:val="32"/>
        </w:rPr>
      </w:pPr>
    </w:p>
    <w:p w14:paraId="77668929" w14:textId="77777777" w:rsidR="00733207" w:rsidRDefault="00912BAE">
      <w:pPr>
        <w:jc w:val="center"/>
        <w:rPr>
          <w:rFonts w:ascii="Rockwell" w:hAnsi="Rockwell"/>
          <w:b/>
          <w:i/>
          <w:sz w:val="32"/>
          <w:szCs w:val="32"/>
        </w:rPr>
      </w:pPr>
      <w:r>
        <w:rPr>
          <w:rFonts w:ascii="Rockwell" w:hAnsi="Rockwell"/>
          <w:b/>
          <w:i/>
          <w:sz w:val="32"/>
          <w:szCs w:val="32"/>
        </w:rPr>
        <w:t>ANNEXE 3 : REPRERTOIRE DE LA PRESSE EN LIGNE</w:t>
      </w:r>
    </w:p>
    <w:p w14:paraId="33A8EA66" w14:textId="77777777" w:rsidR="00733207" w:rsidRDefault="00733207">
      <w:pPr>
        <w:jc w:val="both"/>
        <w:rPr>
          <w:rFonts w:ascii="Rockwell" w:hAnsi="Rockwell"/>
          <w:b/>
          <w:i/>
          <w:sz w:val="32"/>
          <w:szCs w:val="32"/>
        </w:rPr>
      </w:pPr>
    </w:p>
    <w:p w14:paraId="7235124F" w14:textId="77777777" w:rsidR="00733207" w:rsidRDefault="00733207">
      <w:pPr>
        <w:jc w:val="both"/>
        <w:rPr>
          <w:rFonts w:ascii="Rockwell" w:hAnsi="Rockwell"/>
          <w:b/>
          <w:i/>
          <w:sz w:val="32"/>
          <w:szCs w:val="32"/>
        </w:rPr>
      </w:pPr>
    </w:p>
    <w:p w14:paraId="790C56EF" w14:textId="77777777" w:rsidR="00733207" w:rsidRDefault="00733207">
      <w:pPr>
        <w:jc w:val="both"/>
        <w:rPr>
          <w:rFonts w:ascii="Rockwell" w:hAnsi="Rockwell"/>
          <w:b/>
          <w:i/>
          <w:sz w:val="32"/>
          <w:szCs w:val="32"/>
        </w:rPr>
      </w:pPr>
    </w:p>
    <w:p w14:paraId="697000F0" w14:textId="77777777" w:rsidR="00733207" w:rsidRDefault="00733207">
      <w:pPr>
        <w:jc w:val="both"/>
        <w:rPr>
          <w:rFonts w:ascii="Rockwell" w:hAnsi="Rockwell"/>
          <w:b/>
          <w:i/>
          <w:sz w:val="32"/>
          <w:szCs w:val="32"/>
        </w:rPr>
      </w:pPr>
    </w:p>
    <w:p w14:paraId="08E0E99B" w14:textId="77777777" w:rsidR="00733207" w:rsidRDefault="00733207">
      <w:pPr>
        <w:jc w:val="both"/>
        <w:rPr>
          <w:rFonts w:ascii="Rockwell" w:hAnsi="Rockwell"/>
          <w:b/>
          <w:i/>
          <w:sz w:val="32"/>
          <w:szCs w:val="32"/>
        </w:rPr>
      </w:pPr>
    </w:p>
    <w:p w14:paraId="376EA0CC" w14:textId="77777777" w:rsidR="00733207" w:rsidRDefault="00733207">
      <w:pPr>
        <w:jc w:val="both"/>
        <w:rPr>
          <w:rFonts w:ascii="Rockwell" w:hAnsi="Rockwell"/>
          <w:b/>
          <w:i/>
          <w:sz w:val="32"/>
          <w:szCs w:val="32"/>
        </w:rPr>
      </w:pPr>
    </w:p>
    <w:p w14:paraId="2A1B8282" w14:textId="77777777" w:rsidR="00733207" w:rsidRDefault="00733207">
      <w:pPr>
        <w:jc w:val="both"/>
        <w:rPr>
          <w:rFonts w:ascii="Rockwell" w:hAnsi="Rockwell"/>
          <w:b/>
          <w:i/>
          <w:sz w:val="32"/>
          <w:szCs w:val="32"/>
        </w:rPr>
      </w:pPr>
    </w:p>
    <w:p w14:paraId="7C6A8B3E" w14:textId="77777777" w:rsidR="00733207" w:rsidRDefault="00733207">
      <w:pPr>
        <w:jc w:val="both"/>
        <w:rPr>
          <w:rFonts w:ascii="Rockwell" w:hAnsi="Rockwell"/>
          <w:b/>
          <w:i/>
          <w:sz w:val="32"/>
          <w:szCs w:val="32"/>
        </w:rPr>
      </w:pPr>
    </w:p>
    <w:p w14:paraId="1E6CB772" w14:textId="77777777" w:rsidR="00733207" w:rsidRDefault="00733207">
      <w:pPr>
        <w:jc w:val="both"/>
        <w:rPr>
          <w:rFonts w:ascii="Rockwell" w:hAnsi="Rockwell"/>
          <w:b/>
          <w:i/>
          <w:sz w:val="32"/>
          <w:szCs w:val="32"/>
        </w:rPr>
      </w:pPr>
    </w:p>
    <w:p w14:paraId="4BC655DF" w14:textId="77777777" w:rsidR="00733207" w:rsidRDefault="00733207">
      <w:pPr>
        <w:jc w:val="both"/>
        <w:rPr>
          <w:rFonts w:ascii="Rockwell" w:hAnsi="Rockwell"/>
          <w:b/>
          <w:i/>
          <w:sz w:val="32"/>
          <w:szCs w:val="32"/>
        </w:rPr>
      </w:pPr>
    </w:p>
    <w:p w14:paraId="12D93477" w14:textId="77777777" w:rsidR="00733207" w:rsidRDefault="00733207">
      <w:pPr>
        <w:jc w:val="both"/>
        <w:rPr>
          <w:rFonts w:ascii="Rockwell" w:hAnsi="Rockwell"/>
          <w:b/>
          <w:i/>
          <w:sz w:val="32"/>
          <w:szCs w:val="32"/>
        </w:rPr>
      </w:pPr>
    </w:p>
    <w:p w14:paraId="31BE74A6" w14:textId="77777777" w:rsidR="00733207" w:rsidRDefault="00733207">
      <w:pPr>
        <w:jc w:val="both"/>
        <w:rPr>
          <w:rFonts w:ascii="Rockwell" w:eastAsia="Calibri" w:hAnsi="Rockwell" w:cs="Times New Roman"/>
          <w:sz w:val="10"/>
          <w:szCs w:val="16"/>
        </w:rPr>
      </w:pPr>
    </w:p>
    <w:tbl>
      <w:tblPr>
        <w:tblStyle w:val="Grilledutableau4"/>
        <w:tblW w:w="9650" w:type="dxa"/>
        <w:jc w:val="center"/>
        <w:tblLayout w:type="fixed"/>
        <w:tblLook w:val="04A0" w:firstRow="1" w:lastRow="0" w:firstColumn="1" w:lastColumn="0" w:noHBand="0" w:noVBand="1"/>
      </w:tblPr>
      <w:tblGrid>
        <w:gridCol w:w="988"/>
        <w:gridCol w:w="3827"/>
        <w:gridCol w:w="4835"/>
      </w:tblGrid>
      <w:tr w:rsidR="00733207" w14:paraId="6FAB967F" w14:textId="77777777">
        <w:trPr>
          <w:trHeight w:val="567"/>
          <w:jc w:val="center"/>
        </w:trPr>
        <w:tc>
          <w:tcPr>
            <w:tcW w:w="988" w:type="dxa"/>
            <w:shd w:val="clear" w:color="auto" w:fill="BFBFBF"/>
          </w:tcPr>
          <w:p w14:paraId="728DDFB7" w14:textId="77777777" w:rsidR="00733207" w:rsidRDefault="00912BAE">
            <w:pPr>
              <w:spacing w:after="0" w:line="240" w:lineRule="auto"/>
              <w:jc w:val="both"/>
              <w:rPr>
                <w:rFonts w:ascii="Rockwell" w:eastAsia="Calibri" w:hAnsi="Rockwell"/>
                <w:sz w:val="28"/>
                <w:szCs w:val="28"/>
                <w:vertAlign w:val="superscript"/>
              </w:rPr>
            </w:pPr>
            <w:r>
              <w:rPr>
                <w:rFonts w:ascii="Rockwell" w:eastAsia="Calibri" w:hAnsi="Rockwell"/>
                <w:sz w:val="28"/>
                <w:szCs w:val="28"/>
              </w:rPr>
              <w:lastRenderedPageBreak/>
              <w:t>N</w:t>
            </w:r>
            <w:r>
              <w:rPr>
                <w:rFonts w:ascii="Rockwell" w:eastAsia="Calibri" w:hAnsi="Rockwell"/>
                <w:sz w:val="28"/>
                <w:szCs w:val="28"/>
                <w:vertAlign w:val="superscript"/>
              </w:rPr>
              <w:t>o</w:t>
            </w:r>
          </w:p>
        </w:tc>
        <w:tc>
          <w:tcPr>
            <w:tcW w:w="3827" w:type="dxa"/>
            <w:shd w:val="clear" w:color="auto" w:fill="BFBFBF"/>
            <w:vAlign w:val="bottom"/>
          </w:tcPr>
          <w:p w14:paraId="47CC6066" w14:textId="77777777" w:rsidR="00733207" w:rsidRDefault="00912BAE">
            <w:pPr>
              <w:spacing w:after="0" w:line="240" w:lineRule="auto"/>
              <w:jc w:val="both"/>
              <w:rPr>
                <w:rFonts w:ascii="Rockwell" w:eastAsia="Calibri" w:hAnsi="Rockwell"/>
                <w:b/>
                <w:sz w:val="28"/>
                <w:szCs w:val="28"/>
              </w:rPr>
            </w:pPr>
            <w:r>
              <w:rPr>
                <w:rFonts w:ascii="Rockwell" w:eastAsia="Calibri" w:hAnsi="Rockwell"/>
                <w:b/>
                <w:sz w:val="28"/>
                <w:szCs w:val="28"/>
              </w:rPr>
              <w:t>Dénomination</w:t>
            </w:r>
          </w:p>
          <w:p w14:paraId="069AF8B5" w14:textId="77777777" w:rsidR="00733207" w:rsidRDefault="00733207">
            <w:pPr>
              <w:spacing w:after="0" w:line="240" w:lineRule="auto"/>
              <w:jc w:val="both"/>
              <w:rPr>
                <w:rFonts w:ascii="Rockwell" w:eastAsia="Calibri" w:hAnsi="Rockwell"/>
                <w:b/>
                <w:sz w:val="28"/>
                <w:szCs w:val="28"/>
              </w:rPr>
            </w:pPr>
          </w:p>
        </w:tc>
        <w:tc>
          <w:tcPr>
            <w:tcW w:w="4835" w:type="dxa"/>
            <w:shd w:val="clear" w:color="auto" w:fill="BFBFBF"/>
            <w:vAlign w:val="bottom"/>
          </w:tcPr>
          <w:p w14:paraId="0243EE75" w14:textId="77777777" w:rsidR="00733207" w:rsidRDefault="00912BAE">
            <w:pPr>
              <w:tabs>
                <w:tab w:val="left" w:pos="3119"/>
              </w:tabs>
              <w:spacing w:after="0" w:line="240" w:lineRule="auto"/>
              <w:jc w:val="both"/>
              <w:outlineLvl w:val="0"/>
              <w:rPr>
                <w:rFonts w:ascii="Rockwell" w:eastAsia="Calibri" w:hAnsi="Rockwell"/>
                <w:b/>
                <w:sz w:val="28"/>
                <w:szCs w:val="28"/>
              </w:rPr>
            </w:pPr>
            <w:bookmarkStart w:id="614" w:name="_Toc175128612"/>
            <w:r>
              <w:rPr>
                <w:rFonts w:ascii="Rockwell" w:eastAsia="Calibri" w:hAnsi="Rockwell"/>
                <w:b/>
                <w:sz w:val="28"/>
                <w:szCs w:val="28"/>
              </w:rPr>
              <w:t>Liens électroniques</w:t>
            </w:r>
            <w:bookmarkEnd w:id="614"/>
          </w:p>
          <w:p w14:paraId="031FA28C" w14:textId="77777777" w:rsidR="00733207" w:rsidRDefault="00733207">
            <w:pPr>
              <w:tabs>
                <w:tab w:val="left" w:pos="3119"/>
              </w:tabs>
              <w:spacing w:after="0" w:line="240" w:lineRule="auto"/>
              <w:jc w:val="both"/>
              <w:outlineLvl w:val="0"/>
              <w:rPr>
                <w:rFonts w:ascii="Rockwell" w:eastAsia="Calibri" w:hAnsi="Rockwell"/>
                <w:b/>
                <w:sz w:val="28"/>
                <w:szCs w:val="28"/>
              </w:rPr>
            </w:pPr>
          </w:p>
        </w:tc>
      </w:tr>
      <w:tr w:rsidR="00733207" w14:paraId="2778744A" w14:textId="77777777">
        <w:trPr>
          <w:trHeight w:val="567"/>
          <w:jc w:val="center"/>
        </w:trPr>
        <w:tc>
          <w:tcPr>
            <w:tcW w:w="988" w:type="dxa"/>
          </w:tcPr>
          <w:p w14:paraId="24B97B7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w:t>
            </w:r>
          </w:p>
        </w:tc>
        <w:tc>
          <w:tcPr>
            <w:tcW w:w="3827" w:type="dxa"/>
            <w:vAlign w:val="bottom"/>
          </w:tcPr>
          <w:p w14:paraId="7AC28E2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FASOZINE</w:t>
            </w:r>
          </w:p>
          <w:p w14:paraId="14D51730"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4DE740D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71" w:history="1">
              <w:bookmarkStart w:id="615" w:name="_Toc175128613"/>
              <w:r w:rsidR="00912BAE" w:rsidRPr="003F11D8">
                <w:rPr>
                  <w:rFonts w:ascii="Rockwell" w:eastAsia="Calibri" w:hAnsi="Rockwell"/>
                  <w:color w:val="0000FF"/>
                  <w:sz w:val="28"/>
                  <w:szCs w:val="28"/>
                </w:rPr>
                <w:t>www.fasozine.com</w:t>
              </w:r>
              <w:bookmarkEnd w:id="615"/>
            </w:hyperlink>
          </w:p>
          <w:p w14:paraId="3BAE4421" w14:textId="77777777" w:rsidR="00733207" w:rsidRPr="003F11D8" w:rsidRDefault="00733207">
            <w:pPr>
              <w:tabs>
                <w:tab w:val="left" w:pos="3119"/>
              </w:tabs>
              <w:spacing w:after="0" w:line="240" w:lineRule="auto"/>
              <w:jc w:val="both"/>
              <w:outlineLvl w:val="0"/>
              <w:rPr>
                <w:rFonts w:ascii="Rockwell" w:eastAsia="Calibri" w:hAnsi="Rockwell"/>
                <w:b/>
                <w:sz w:val="28"/>
                <w:szCs w:val="28"/>
              </w:rPr>
            </w:pPr>
          </w:p>
        </w:tc>
      </w:tr>
      <w:tr w:rsidR="00733207" w14:paraId="1CE1681A" w14:textId="77777777">
        <w:trPr>
          <w:trHeight w:val="567"/>
          <w:jc w:val="center"/>
        </w:trPr>
        <w:tc>
          <w:tcPr>
            <w:tcW w:w="988" w:type="dxa"/>
          </w:tcPr>
          <w:p w14:paraId="53120D9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w:t>
            </w:r>
          </w:p>
        </w:tc>
        <w:tc>
          <w:tcPr>
            <w:tcW w:w="3827" w:type="dxa"/>
            <w:vAlign w:val="center"/>
          </w:tcPr>
          <w:p w14:paraId="76A0BB2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Santé-actu</w:t>
            </w:r>
          </w:p>
        </w:tc>
        <w:tc>
          <w:tcPr>
            <w:tcW w:w="4835" w:type="dxa"/>
            <w:vAlign w:val="center"/>
          </w:tcPr>
          <w:p w14:paraId="0F391B85"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72" w:history="1">
              <w:bookmarkStart w:id="616" w:name="_Toc175128614"/>
              <w:r w:rsidR="00912BAE" w:rsidRPr="003F11D8">
                <w:rPr>
                  <w:rFonts w:ascii="Rockwell" w:eastAsia="Calibri" w:hAnsi="Rockwell"/>
                  <w:color w:val="0000FF"/>
                  <w:sz w:val="28"/>
                  <w:szCs w:val="28"/>
                </w:rPr>
                <w:t>www.santeactu.bf</w:t>
              </w:r>
              <w:bookmarkEnd w:id="616"/>
            </w:hyperlink>
            <w:r w:rsidR="00912BAE" w:rsidRPr="003F11D8">
              <w:rPr>
                <w:rFonts w:ascii="Rockwell" w:eastAsia="Calibri" w:hAnsi="Rockwell"/>
                <w:sz w:val="28"/>
                <w:szCs w:val="28"/>
              </w:rPr>
              <w:t xml:space="preserve"> </w:t>
            </w:r>
          </w:p>
        </w:tc>
      </w:tr>
      <w:tr w:rsidR="00733207" w14:paraId="6EC17A9F" w14:textId="77777777">
        <w:trPr>
          <w:trHeight w:val="567"/>
          <w:jc w:val="center"/>
        </w:trPr>
        <w:tc>
          <w:tcPr>
            <w:tcW w:w="988" w:type="dxa"/>
          </w:tcPr>
          <w:p w14:paraId="0E637C6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w:t>
            </w:r>
          </w:p>
        </w:tc>
        <w:tc>
          <w:tcPr>
            <w:tcW w:w="3827" w:type="dxa"/>
            <w:vAlign w:val="center"/>
          </w:tcPr>
          <w:p w14:paraId="19A8FFF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Switch-maker</w:t>
            </w:r>
          </w:p>
        </w:tc>
        <w:tc>
          <w:tcPr>
            <w:tcW w:w="4835" w:type="dxa"/>
            <w:vAlign w:val="center"/>
          </w:tcPr>
          <w:p w14:paraId="036FB00C" w14:textId="77777777" w:rsidR="00733207" w:rsidRPr="003F11D8" w:rsidRDefault="00E06378">
            <w:pPr>
              <w:tabs>
                <w:tab w:val="left" w:pos="3119"/>
              </w:tabs>
              <w:spacing w:after="0" w:line="240" w:lineRule="auto"/>
              <w:jc w:val="both"/>
              <w:outlineLvl w:val="0"/>
              <w:rPr>
                <w:rFonts w:ascii="Rockwell" w:eastAsia="Calibri" w:hAnsi="Rockwell"/>
                <w:b/>
                <w:sz w:val="28"/>
                <w:szCs w:val="28"/>
              </w:rPr>
            </w:pPr>
            <w:hyperlink r:id="rId73" w:history="1">
              <w:bookmarkStart w:id="617" w:name="_Toc175128615"/>
              <w:r w:rsidR="00912BAE" w:rsidRPr="003F11D8">
                <w:rPr>
                  <w:rFonts w:ascii="Rockwell" w:eastAsia="Calibri" w:hAnsi="Rockwell"/>
                  <w:color w:val="0000FF"/>
                  <w:sz w:val="28"/>
                  <w:szCs w:val="28"/>
                </w:rPr>
                <w:t>www.switch-maker.com</w:t>
              </w:r>
              <w:bookmarkEnd w:id="617"/>
            </w:hyperlink>
            <w:r w:rsidR="00912BAE" w:rsidRPr="003F11D8">
              <w:rPr>
                <w:rFonts w:ascii="Rockwell" w:eastAsia="Calibri" w:hAnsi="Rockwell"/>
                <w:sz w:val="28"/>
                <w:szCs w:val="28"/>
              </w:rPr>
              <w:t xml:space="preserve"> </w:t>
            </w:r>
          </w:p>
        </w:tc>
      </w:tr>
      <w:tr w:rsidR="00733207" w14:paraId="0E23E90F" w14:textId="77777777">
        <w:trPr>
          <w:trHeight w:val="567"/>
          <w:jc w:val="center"/>
        </w:trPr>
        <w:tc>
          <w:tcPr>
            <w:tcW w:w="988" w:type="dxa"/>
          </w:tcPr>
          <w:p w14:paraId="0F8A23C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w:t>
            </w:r>
          </w:p>
        </w:tc>
        <w:tc>
          <w:tcPr>
            <w:tcW w:w="3827" w:type="dxa"/>
            <w:vAlign w:val="center"/>
          </w:tcPr>
          <w:p w14:paraId="418BEA4E" w14:textId="77777777" w:rsidR="00733207" w:rsidRDefault="00912BAE">
            <w:pPr>
              <w:spacing w:after="0" w:line="240" w:lineRule="auto"/>
              <w:jc w:val="both"/>
              <w:rPr>
                <w:rFonts w:ascii="Rockwell" w:eastAsia="Calibri" w:hAnsi="Rockwell"/>
                <w:sz w:val="28"/>
                <w:szCs w:val="28"/>
                <w:lang w:val="en-US"/>
              </w:rPr>
            </w:pPr>
            <w:proofErr w:type="spellStart"/>
            <w:r>
              <w:rPr>
                <w:rFonts w:ascii="Rockwell" w:eastAsia="Calibri" w:hAnsi="Rockwell"/>
                <w:sz w:val="28"/>
                <w:szCs w:val="28"/>
                <w:lang w:val="en-US"/>
              </w:rPr>
              <w:t>BurkinaOnline</w:t>
            </w:r>
            <w:proofErr w:type="spellEnd"/>
          </w:p>
        </w:tc>
        <w:tc>
          <w:tcPr>
            <w:tcW w:w="4835" w:type="dxa"/>
            <w:vAlign w:val="bottom"/>
          </w:tcPr>
          <w:p w14:paraId="2FA877B9" w14:textId="77777777" w:rsidR="00733207" w:rsidRPr="003F11D8" w:rsidRDefault="00E06378">
            <w:pPr>
              <w:tabs>
                <w:tab w:val="left" w:pos="3119"/>
              </w:tabs>
              <w:spacing w:after="0" w:line="240" w:lineRule="auto"/>
              <w:jc w:val="both"/>
              <w:outlineLvl w:val="0"/>
              <w:rPr>
                <w:rFonts w:ascii="Rockwell" w:eastAsia="Calibri" w:hAnsi="Rockwell"/>
                <w:b/>
                <w:sz w:val="28"/>
                <w:szCs w:val="28"/>
                <w:lang w:val="en-US"/>
              </w:rPr>
            </w:pPr>
            <w:hyperlink r:id="rId74" w:history="1">
              <w:bookmarkStart w:id="618" w:name="_Toc175128616"/>
              <w:r w:rsidR="00912BAE" w:rsidRPr="003F11D8">
                <w:rPr>
                  <w:rFonts w:ascii="Rockwell" w:eastAsia="Calibri" w:hAnsi="Rockwell"/>
                  <w:b/>
                  <w:color w:val="0000FF"/>
                  <w:sz w:val="28"/>
                  <w:szCs w:val="28"/>
                  <w:lang w:val="en-US"/>
                </w:rPr>
                <w:t>www.burkinaonline.com</w:t>
              </w:r>
              <w:bookmarkEnd w:id="618"/>
            </w:hyperlink>
          </w:p>
          <w:p w14:paraId="6D05AF53" w14:textId="77777777" w:rsidR="00733207" w:rsidRPr="003F11D8" w:rsidRDefault="00733207">
            <w:pPr>
              <w:tabs>
                <w:tab w:val="left" w:pos="3119"/>
              </w:tabs>
              <w:spacing w:after="0" w:line="240" w:lineRule="auto"/>
              <w:jc w:val="both"/>
              <w:outlineLvl w:val="0"/>
              <w:rPr>
                <w:rFonts w:ascii="Rockwell" w:eastAsia="Calibri" w:hAnsi="Rockwell"/>
                <w:sz w:val="28"/>
                <w:szCs w:val="28"/>
                <w:lang w:val="en-US"/>
              </w:rPr>
            </w:pPr>
          </w:p>
        </w:tc>
      </w:tr>
      <w:tr w:rsidR="00733207" w14:paraId="50E4D5EB" w14:textId="77777777">
        <w:trPr>
          <w:trHeight w:val="567"/>
          <w:jc w:val="center"/>
        </w:trPr>
        <w:tc>
          <w:tcPr>
            <w:tcW w:w="988" w:type="dxa"/>
          </w:tcPr>
          <w:p w14:paraId="12B0992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w:t>
            </w:r>
          </w:p>
        </w:tc>
        <w:tc>
          <w:tcPr>
            <w:tcW w:w="3827" w:type="dxa"/>
            <w:vAlign w:val="bottom"/>
          </w:tcPr>
          <w:p w14:paraId="1BEF2EB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Ouaga24</w:t>
            </w:r>
          </w:p>
          <w:p w14:paraId="41DF6D35"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336D5E79"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75" w:history="1">
              <w:bookmarkStart w:id="619" w:name="_Toc175128617"/>
              <w:r w:rsidR="00912BAE" w:rsidRPr="003F11D8">
                <w:rPr>
                  <w:rFonts w:ascii="Rockwell" w:eastAsia="Calibri" w:hAnsi="Rockwell"/>
                  <w:color w:val="0000FF"/>
                  <w:sz w:val="28"/>
                  <w:szCs w:val="28"/>
                </w:rPr>
                <w:t>www.ouaga24.com</w:t>
              </w:r>
              <w:bookmarkEnd w:id="619"/>
            </w:hyperlink>
          </w:p>
          <w:p w14:paraId="05CE2818"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4390315" w14:textId="77777777">
        <w:trPr>
          <w:trHeight w:val="567"/>
          <w:jc w:val="center"/>
        </w:trPr>
        <w:tc>
          <w:tcPr>
            <w:tcW w:w="988" w:type="dxa"/>
          </w:tcPr>
          <w:p w14:paraId="75EF70D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w:t>
            </w:r>
          </w:p>
        </w:tc>
        <w:tc>
          <w:tcPr>
            <w:tcW w:w="3827" w:type="dxa"/>
            <w:vAlign w:val="center"/>
          </w:tcPr>
          <w:p w14:paraId="7DC9959D"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Iburkina</w:t>
            </w:r>
            <w:proofErr w:type="spellEnd"/>
          </w:p>
        </w:tc>
        <w:tc>
          <w:tcPr>
            <w:tcW w:w="4835" w:type="dxa"/>
            <w:vAlign w:val="center"/>
          </w:tcPr>
          <w:p w14:paraId="397DA53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76" w:history="1">
              <w:bookmarkStart w:id="620" w:name="_Toc175128618"/>
              <w:r w:rsidR="00912BAE" w:rsidRPr="003F11D8">
                <w:rPr>
                  <w:rFonts w:ascii="Rockwell" w:eastAsia="Calibri" w:hAnsi="Rockwell"/>
                  <w:color w:val="0000FF"/>
                  <w:sz w:val="28"/>
                  <w:szCs w:val="28"/>
                </w:rPr>
                <w:t>www.iburkina.com</w:t>
              </w:r>
              <w:bookmarkEnd w:id="620"/>
            </w:hyperlink>
            <w:r w:rsidR="00912BAE" w:rsidRPr="003F11D8">
              <w:rPr>
                <w:rFonts w:ascii="Rockwell" w:eastAsia="Calibri" w:hAnsi="Rockwell"/>
                <w:sz w:val="28"/>
                <w:szCs w:val="28"/>
              </w:rPr>
              <w:t xml:space="preserve"> </w:t>
            </w:r>
          </w:p>
        </w:tc>
      </w:tr>
      <w:tr w:rsidR="00733207" w14:paraId="6B59E496" w14:textId="77777777">
        <w:trPr>
          <w:trHeight w:val="567"/>
          <w:jc w:val="center"/>
        </w:trPr>
        <w:tc>
          <w:tcPr>
            <w:tcW w:w="988" w:type="dxa"/>
          </w:tcPr>
          <w:p w14:paraId="3A380203" w14:textId="77777777" w:rsidR="00733207" w:rsidRDefault="00912BAE">
            <w:pPr>
              <w:tabs>
                <w:tab w:val="left" w:pos="3119"/>
              </w:tabs>
              <w:spacing w:after="0" w:line="240" w:lineRule="auto"/>
              <w:jc w:val="both"/>
              <w:outlineLvl w:val="0"/>
              <w:rPr>
                <w:rFonts w:ascii="Rockwell" w:eastAsia="Calibri" w:hAnsi="Rockwell"/>
                <w:sz w:val="28"/>
                <w:szCs w:val="28"/>
                <w:lang w:val="en-US"/>
              </w:rPr>
            </w:pPr>
            <w:bookmarkStart w:id="621" w:name="_Toc175128619"/>
            <w:r>
              <w:rPr>
                <w:rFonts w:ascii="Rockwell" w:eastAsia="Calibri" w:hAnsi="Rockwell"/>
                <w:sz w:val="28"/>
                <w:szCs w:val="28"/>
                <w:lang w:val="en-US"/>
              </w:rPr>
              <w:t>7</w:t>
            </w:r>
            <w:bookmarkEnd w:id="621"/>
          </w:p>
        </w:tc>
        <w:tc>
          <w:tcPr>
            <w:tcW w:w="3827" w:type="dxa"/>
            <w:vAlign w:val="center"/>
          </w:tcPr>
          <w:p w14:paraId="11B20E93"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Touteinfo</w:t>
            </w:r>
            <w:proofErr w:type="spellEnd"/>
          </w:p>
        </w:tc>
        <w:tc>
          <w:tcPr>
            <w:tcW w:w="4835" w:type="dxa"/>
            <w:vAlign w:val="center"/>
          </w:tcPr>
          <w:p w14:paraId="76E5DCF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77" w:history="1">
              <w:bookmarkStart w:id="622" w:name="_Toc175128620"/>
              <w:r w:rsidR="00912BAE" w:rsidRPr="003F11D8">
                <w:rPr>
                  <w:rFonts w:ascii="Rockwell" w:eastAsia="Calibri" w:hAnsi="Rockwell"/>
                  <w:color w:val="0000FF"/>
                  <w:sz w:val="28"/>
                  <w:szCs w:val="28"/>
                </w:rPr>
                <w:t>www.touteinfo.com</w:t>
              </w:r>
              <w:bookmarkEnd w:id="622"/>
            </w:hyperlink>
            <w:r w:rsidR="00912BAE" w:rsidRPr="003F11D8">
              <w:rPr>
                <w:rFonts w:ascii="Rockwell" w:eastAsia="Calibri" w:hAnsi="Rockwell"/>
                <w:sz w:val="28"/>
                <w:szCs w:val="28"/>
              </w:rPr>
              <w:t xml:space="preserve"> </w:t>
            </w:r>
          </w:p>
        </w:tc>
      </w:tr>
      <w:tr w:rsidR="00733207" w14:paraId="49573F48" w14:textId="77777777">
        <w:trPr>
          <w:trHeight w:val="567"/>
          <w:jc w:val="center"/>
        </w:trPr>
        <w:tc>
          <w:tcPr>
            <w:tcW w:w="988" w:type="dxa"/>
          </w:tcPr>
          <w:p w14:paraId="72A3430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w:t>
            </w:r>
          </w:p>
        </w:tc>
        <w:tc>
          <w:tcPr>
            <w:tcW w:w="3827" w:type="dxa"/>
            <w:vAlign w:val="center"/>
          </w:tcPr>
          <w:p w14:paraId="7C4E6895"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Queenmafa</w:t>
            </w:r>
            <w:proofErr w:type="spellEnd"/>
          </w:p>
        </w:tc>
        <w:tc>
          <w:tcPr>
            <w:tcW w:w="4835" w:type="dxa"/>
            <w:vAlign w:val="center"/>
          </w:tcPr>
          <w:p w14:paraId="670F19A2"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78" w:history="1">
              <w:bookmarkStart w:id="623" w:name="_Toc175128621"/>
              <w:r w:rsidR="00912BAE" w:rsidRPr="003F11D8">
                <w:rPr>
                  <w:rFonts w:ascii="Rockwell" w:eastAsia="Calibri" w:hAnsi="Rockwell"/>
                  <w:color w:val="0000FF"/>
                  <w:sz w:val="28"/>
                  <w:szCs w:val="28"/>
                </w:rPr>
                <w:t>www.queenmafa.net</w:t>
              </w:r>
              <w:bookmarkEnd w:id="623"/>
            </w:hyperlink>
            <w:r w:rsidR="00912BAE" w:rsidRPr="003F11D8">
              <w:rPr>
                <w:rFonts w:ascii="Rockwell" w:eastAsia="Calibri" w:hAnsi="Rockwell"/>
                <w:sz w:val="28"/>
                <w:szCs w:val="28"/>
              </w:rPr>
              <w:t xml:space="preserve">  </w:t>
            </w:r>
          </w:p>
        </w:tc>
      </w:tr>
      <w:tr w:rsidR="00733207" w14:paraId="2C4C2A4E" w14:textId="77777777">
        <w:trPr>
          <w:trHeight w:val="567"/>
          <w:jc w:val="center"/>
        </w:trPr>
        <w:tc>
          <w:tcPr>
            <w:tcW w:w="988" w:type="dxa"/>
          </w:tcPr>
          <w:p w14:paraId="3323886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09</w:t>
            </w:r>
          </w:p>
        </w:tc>
        <w:tc>
          <w:tcPr>
            <w:tcW w:w="3827" w:type="dxa"/>
            <w:vAlign w:val="bottom"/>
          </w:tcPr>
          <w:p w14:paraId="753553D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Lefaso.net</w:t>
            </w:r>
          </w:p>
          <w:p w14:paraId="19DEAA04"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0E2D0A7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79" w:history="1">
              <w:bookmarkStart w:id="624" w:name="_Toc175128622"/>
              <w:r w:rsidR="00912BAE" w:rsidRPr="003F11D8">
                <w:rPr>
                  <w:rFonts w:ascii="Rockwell" w:eastAsia="Calibri" w:hAnsi="Rockwell"/>
                  <w:color w:val="0000FF"/>
                  <w:sz w:val="28"/>
                  <w:szCs w:val="28"/>
                </w:rPr>
                <w:t>www.lefaso.net</w:t>
              </w:r>
              <w:bookmarkEnd w:id="624"/>
            </w:hyperlink>
          </w:p>
          <w:p w14:paraId="70F619E4" w14:textId="77777777" w:rsidR="00733207" w:rsidRPr="003F11D8" w:rsidRDefault="00733207">
            <w:pPr>
              <w:tabs>
                <w:tab w:val="left" w:pos="3119"/>
              </w:tabs>
              <w:spacing w:after="0" w:line="240" w:lineRule="auto"/>
              <w:jc w:val="both"/>
              <w:outlineLvl w:val="0"/>
              <w:rPr>
                <w:rFonts w:ascii="Rockwell" w:eastAsia="Calibri" w:hAnsi="Rockwell"/>
                <w:b/>
                <w:sz w:val="28"/>
                <w:szCs w:val="28"/>
              </w:rPr>
            </w:pPr>
          </w:p>
        </w:tc>
      </w:tr>
      <w:tr w:rsidR="00733207" w14:paraId="70EFB4DD" w14:textId="77777777">
        <w:trPr>
          <w:trHeight w:val="567"/>
          <w:jc w:val="center"/>
        </w:trPr>
        <w:tc>
          <w:tcPr>
            <w:tcW w:w="988" w:type="dxa"/>
          </w:tcPr>
          <w:p w14:paraId="00FFAA2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w:t>
            </w:r>
          </w:p>
        </w:tc>
        <w:tc>
          <w:tcPr>
            <w:tcW w:w="3827" w:type="dxa"/>
            <w:vAlign w:val="bottom"/>
          </w:tcPr>
          <w:p w14:paraId="6B2FA6BB"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Zoodmail</w:t>
            </w:r>
            <w:proofErr w:type="spellEnd"/>
          </w:p>
          <w:p w14:paraId="1E1C4AD9"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3E70300A"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0" w:history="1">
              <w:bookmarkStart w:id="625" w:name="_Toc175128623"/>
              <w:r w:rsidR="00912BAE" w:rsidRPr="003F11D8">
                <w:rPr>
                  <w:rFonts w:ascii="Rockwell" w:eastAsia="Calibri" w:hAnsi="Rockwell"/>
                  <w:color w:val="0000FF"/>
                  <w:sz w:val="28"/>
                  <w:szCs w:val="28"/>
                </w:rPr>
                <w:t>www.zoodomail.com</w:t>
              </w:r>
              <w:bookmarkEnd w:id="625"/>
            </w:hyperlink>
          </w:p>
        </w:tc>
      </w:tr>
      <w:tr w:rsidR="00733207" w14:paraId="6E2371F4" w14:textId="77777777">
        <w:trPr>
          <w:trHeight w:val="567"/>
          <w:jc w:val="center"/>
        </w:trPr>
        <w:tc>
          <w:tcPr>
            <w:tcW w:w="988" w:type="dxa"/>
          </w:tcPr>
          <w:p w14:paraId="36FA7C32" w14:textId="77777777" w:rsidR="00733207" w:rsidRDefault="00912BAE">
            <w:pPr>
              <w:spacing w:after="0" w:line="240" w:lineRule="auto"/>
              <w:jc w:val="both"/>
              <w:rPr>
                <w:rFonts w:ascii="Rockwell" w:eastAsia="Calibri" w:hAnsi="Rockwell"/>
                <w:sz w:val="28"/>
                <w:szCs w:val="28"/>
                <w:lang w:val="en-US"/>
              </w:rPr>
            </w:pPr>
            <w:r>
              <w:rPr>
                <w:rFonts w:ascii="Rockwell" w:eastAsia="Calibri" w:hAnsi="Rockwell"/>
                <w:sz w:val="28"/>
                <w:szCs w:val="28"/>
                <w:lang w:val="en-US"/>
              </w:rPr>
              <w:t>11</w:t>
            </w:r>
          </w:p>
        </w:tc>
        <w:tc>
          <w:tcPr>
            <w:tcW w:w="3827" w:type="dxa"/>
            <w:vAlign w:val="bottom"/>
          </w:tcPr>
          <w:p w14:paraId="427B520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Burkina24</w:t>
            </w:r>
          </w:p>
          <w:p w14:paraId="10066B14"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614688E6"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1" w:history="1">
              <w:bookmarkStart w:id="626" w:name="_Toc175128624"/>
              <w:r w:rsidR="00912BAE" w:rsidRPr="003F11D8">
                <w:rPr>
                  <w:rFonts w:ascii="Rockwell" w:eastAsia="Calibri" w:hAnsi="Rockwell"/>
                  <w:color w:val="0000FF"/>
                  <w:sz w:val="28"/>
                  <w:szCs w:val="28"/>
                </w:rPr>
                <w:t>www.burkina24.com</w:t>
              </w:r>
              <w:bookmarkEnd w:id="626"/>
            </w:hyperlink>
          </w:p>
          <w:p w14:paraId="69FEC6F4" w14:textId="77777777" w:rsidR="00733207" w:rsidRPr="003F11D8" w:rsidRDefault="00733207">
            <w:pPr>
              <w:tabs>
                <w:tab w:val="left" w:pos="3119"/>
              </w:tabs>
              <w:spacing w:after="0" w:line="240" w:lineRule="auto"/>
              <w:jc w:val="both"/>
              <w:outlineLvl w:val="0"/>
              <w:rPr>
                <w:rFonts w:ascii="Rockwell" w:eastAsia="Calibri" w:hAnsi="Rockwell"/>
                <w:b/>
                <w:sz w:val="28"/>
                <w:szCs w:val="28"/>
              </w:rPr>
            </w:pPr>
          </w:p>
        </w:tc>
      </w:tr>
      <w:tr w:rsidR="00733207" w14:paraId="25E27F83" w14:textId="77777777">
        <w:trPr>
          <w:trHeight w:val="567"/>
          <w:jc w:val="center"/>
        </w:trPr>
        <w:tc>
          <w:tcPr>
            <w:tcW w:w="988" w:type="dxa"/>
          </w:tcPr>
          <w:p w14:paraId="60D78C6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w:t>
            </w:r>
          </w:p>
        </w:tc>
        <w:tc>
          <w:tcPr>
            <w:tcW w:w="3827" w:type="dxa"/>
            <w:vAlign w:val="bottom"/>
          </w:tcPr>
          <w:p w14:paraId="4831776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Editions </w:t>
            </w:r>
            <w:proofErr w:type="spellStart"/>
            <w:r>
              <w:rPr>
                <w:rFonts w:ascii="Rockwell" w:eastAsia="Calibri" w:hAnsi="Rockwell"/>
                <w:sz w:val="28"/>
                <w:szCs w:val="28"/>
              </w:rPr>
              <w:t>Fasoactu</w:t>
            </w:r>
            <w:proofErr w:type="spellEnd"/>
          </w:p>
          <w:p w14:paraId="2CBF52B0"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42D3E55B"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82" w:history="1">
              <w:bookmarkStart w:id="627" w:name="_Toc175128625"/>
              <w:r w:rsidR="00912BAE" w:rsidRPr="003F11D8">
                <w:rPr>
                  <w:rFonts w:ascii="Rockwell" w:eastAsia="Calibri" w:hAnsi="Rockwell"/>
                  <w:color w:val="0000FF"/>
                  <w:sz w:val="28"/>
                  <w:szCs w:val="28"/>
                </w:rPr>
                <w:t>www.fasoactu.com</w:t>
              </w:r>
              <w:bookmarkEnd w:id="627"/>
            </w:hyperlink>
          </w:p>
          <w:p w14:paraId="5612AF78"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0FFE54C1" w14:textId="77777777">
        <w:trPr>
          <w:trHeight w:val="567"/>
          <w:jc w:val="center"/>
        </w:trPr>
        <w:tc>
          <w:tcPr>
            <w:tcW w:w="988" w:type="dxa"/>
          </w:tcPr>
          <w:p w14:paraId="7D42942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w:t>
            </w:r>
          </w:p>
        </w:tc>
        <w:tc>
          <w:tcPr>
            <w:tcW w:w="3827" w:type="dxa"/>
            <w:vAlign w:val="bottom"/>
          </w:tcPr>
          <w:p w14:paraId="7E3AE559" w14:textId="77777777" w:rsidR="00733207" w:rsidRDefault="00912BAE">
            <w:pPr>
              <w:spacing w:after="0" w:line="240" w:lineRule="auto"/>
              <w:contextualSpacing/>
              <w:jc w:val="both"/>
              <w:rPr>
                <w:rFonts w:ascii="Rockwell" w:eastAsia="Calibri" w:hAnsi="Rockwell"/>
                <w:spacing w:val="-10"/>
                <w:kern w:val="28"/>
                <w:sz w:val="28"/>
                <w:szCs w:val="28"/>
                <w:lang w:val="en-US"/>
              </w:rPr>
            </w:pPr>
            <w:r>
              <w:rPr>
                <w:rFonts w:ascii="Rockwell" w:eastAsia="Calibri" w:hAnsi="Rockwell"/>
                <w:spacing w:val="-10"/>
                <w:kern w:val="28"/>
                <w:sz w:val="28"/>
                <w:szCs w:val="28"/>
                <w:lang w:val="en-US"/>
              </w:rPr>
              <w:t>Faso-</w:t>
            </w:r>
            <w:proofErr w:type="spellStart"/>
            <w:r>
              <w:rPr>
                <w:rFonts w:ascii="Rockwell" w:eastAsia="Calibri" w:hAnsi="Rockwell"/>
                <w:spacing w:val="-10"/>
                <w:kern w:val="28"/>
                <w:sz w:val="28"/>
                <w:szCs w:val="28"/>
                <w:lang w:val="en-US"/>
              </w:rPr>
              <w:t>actu</w:t>
            </w:r>
            <w:proofErr w:type="spellEnd"/>
          </w:p>
          <w:p w14:paraId="347D7C4C" w14:textId="77777777" w:rsidR="00733207" w:rsidRDefault="00733207">
            <w:pPr>
              <w:tabs>
                <w:tab w:val="left" w:pos="3119"/>
              </w:tabs>
              <w:spacing w:after="0" w:line="240" w:lineRule="auto"/>
              <w:jc w:val="both"/>
              <w:outlineLvl w:val="0"/>
              <w:rPr>
                <w:rFonts w:ascii="Rockwell" w:eastAsia="Calibri" w:hAnsi="Rockwell"/>
                <w:sz w:val="28"/>
                <w:szCs w:val="28"/>
                <w:lang w:val="en-US"/>
              </w:rPr>
            </w:pPr>
          </w:p>
        </w:tc>
        <w:tc>
          <w:tcPr>
            <w:tcW w:w="4835" w:type="dxa"/>
            <w:vAlign w:val="bottom"/>
          </w:tcPr>
          <w:p w14:paraId="4D1637EA"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lang w:val="en-US"/>
              </w:rPr>
            </w:pPr>
            <w:hyperlink r:id="rId83" w:history="1">
              <w:bookmarkStart w:id="628" w:name="_Toc175128626"/>
              <w:r w:rsidR="00912BAE" w:rsidRPr="003F11D8">
                <w:rPr>
                  <w:rFonts w:ascii="Rockwell" w:eastAsia="Calibri" w:hAnsi="Rockwell"/>
                  <w:color w:val="0000FF"/>
                  <w:sz w:val="28"/>
                  <w:szCs w:val="28"/>
                  <w:lang w:val="en-US"/>
                </w:rPr>
                <w:t>www.fasoactu.net</w:t>
              </w:r>
              <w:bookmarkEnd w:id="628"/>
            </w:hyperlink>
          </w:p>
          <w:p w14:paraId="686BF0B6" w14:textId="77777777" w:rsidR="00733207" w:rsidRPr="003F11D8" w:rsidRDefault="00733207">
            <w:pPr>
              <w:tabs>
                <w:tab w:val="left" w:pos="3119"/>
              </w:tabs>
              <w:spacing w:after="0" w:line="240" w:lineRule="auto"/>
              <w:jc w:val="both"/>
              <w:outlineLvl w:val="0"/>
              <w:rPr>
                <w:rFonts w:ascii="Rockwell" w:eastAsia="Calibri" w:hAnsi="Rockwell"/>
                <w:b/>
                <w:sz w:val="28"/>
                <w:szCs w:val="28"/>
              </w:rPr>
            </w:pPr>
          </w:p>
        </w:tc>
      </w:tr>
      <w:tr w:rsidR="00733207" w14:paraId="159AA0D6" w14:textId="77777777">
        <w:trPr>
          <w:trHeight w:val="567"/>
          <w:jc w:val="center"/>
        </w:trPr>
        <w:tc>
          <w:tcPr>
            <w:tcW w:w="988" w:type="dxa"/>
          </w:tcPr>
          <w:p w14:paraId="2B06336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14</w:t>
            </w:r>
          </w:p>
        </w:tc>
        <w:tc>
          <w:tcPr>
            <w:tcW w:w="3827" w:type="dxa"/>
            <w:vAlign w:val="bottom"/>
          </w:tcPr>
          <w:p w14:paraId="27EEAE3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Laborpresse.Net</w:t>
            </w:r>
          </w:p>
          <w:p w14:paraId="0A9F405E" w14:textId="77777777" w:rsidR="00733207" w:rsidRDefault="00733207">
            <w:pPr>
              <w:spacing w:after="0" w:line="240" w:lineRule="auto"/>
              <w:jc w:val="both"/>
              <w:rPr>
                <w:rFonts w:ascii="Rockwell" w:eastAsia="Calibri" w:hAnsi="Rockwell"/>
                <w:sz w:val="28"/>
                <w:szCs w:val="28"/>
              </w:rPr>
            </w:pPr>
          </w:p>
        </w:tc>
        <w:tc>
          <w:tcPr>
            <w:tcW w:w="4835" w:type="dxa"/>
            <w:vAlign w:val="bottom"/>
          </w:tcPr>
          <w:p w14:paraId="1A750056"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4" w:history="1">
              <w:bookmarkStart w:id="629" w:name="_Toc175128627"/>
              <w:r w:rsidR="00912BAE" w:rsidRPr="003F11D8">
                <w:rPr>
                  <w:rFonts w:ascii="Rockwell" w:eastAsia="Calibri" w:hAnsi="Rockwell"/>
                  <w:color w:val="0000FF"/>
                  <w:sz w:val="28"/>
                  <w:szCs w:val="28"/>
                </w:rPr>
                <w:t>www.laborpresse.net</w:t>
              </w:r>
              <w:bookmarkEnd w:id="629"/>
            </w:hyperlink>
          </w:p>
        </w:tc>
      </w:tr>
      <w:tr w:rsidR="00733207" w14:paraId="67FEF5BB" w14:textId="77777777">
        <w:trPr>
          <w:trHeight w:val="567"/>
          <w:jc w:val="center"/>
        </w:trPr>
        <w:tc>
          <w:tcPr>
            <w:tcW w:w="988" w:type="dxa"/>
          </w:tcPr>
          <w:p w14:paraId="6818F10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15</w:t>
            </w:r>
          </w:p>
        </w:tc>
        <w:tc>
          <w:tcPr>
            <w:tcW w:w="3827" w:type="dxa"/>
            <w:vAlign w:val="center"/>
          </w:tcPr>
          <w:p w14:paraId="1FE4929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 amazone</w:t>
            </w:r>
          </w:p>
        </w:tc>
        <w:tc>
          <w:tcPr>
            <w:tcW w:w="4835" w:type="dxa"/>
            <w:vAlign w:val="center"/>
          </w:tcPr>
          <w:p w14:paraId="1ED83892" w14:textId="77777777" w:rsidR="00733207" w:rsidRPr="003F11D8" w:rsidRDefault="00912BAE">
            <w:pPr>
              <w:tabs>
                <w:tab w:val="left" w:pos="3119"/>
              </w:tabs>
              <w:spacing w:after="0" w:line="240" w:lineRule="auto"/>
              <w:jc w:val="both"/>
              <w:outlineLvl w:val="0"/>
              <w:rPr>
                <w:rFonts w:ascii="Rockwell" w:eastAsia="Calibri" w:hAnsi="Rockwell"/>
                <w:b/>
                <w:sz w:val="28"/>
                <w:szCs w:val="28"/>
              </w:rPr>
            </w:pPr>
            <w:bookmarkStart w:id="630" w:name="_Toc175128628"/>
            <w:r w:rsidRPr="003F11D8">
              <w:rPr>
                <w:rFonts w:ascii="Rockwell" w:eastAsia="Calibri" w:hAnsi="Rockwell"/>
                <w:color w:val="002060"/>
                <w:sz w:val="28"/>
                <w:szCs w:val="28"/>
              </w:rPr>
              <w:t>www.fasoamazone.net</w:t>
            </w:r>
            <w:bookmarkEnd w:id="630"/>
          </w:p>
        </w:tc>
      </w:tr>
      <w:tr w:rsidR="00733207" w14:paraId="7A63FCD9" w14:textId="77777777">
        <w:trPr>
          <w:trHeight w:val="567"/>
          <w:jc w:val="center"/>
        </w:trPr>
        <w:tc>
          <w:tcPr>
            <w:tcW w:w="988" w:type="dxa"/>
          </w:tcPr>
          <w:p w14:paraId="3B25E5B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16</w:t>
            </w:r>
          </w:p>
        </w:tc>
        <w:tc>
          <w:tcPr>
            <w:tcW w:w="3827" w:type="dxa"/>
            <w:vAlign w:val="center"/>
          </w:tcPr>
          <w:p w14:paraId="37EA9511"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Burkinademain</w:t>
            </w:r>
            <w:proofErr w:type="spellEnd"/>
          </w:p>
        </w:tc>
        <w:tc>
          <w:tcPr>
            <w:tcW w:w="4835" w:type="dxa"/>
            <w:vAlign w:val="bottom"/>
          </w:tcPr>
          <w:p w14:paraId="3D65831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5" w:history="1">
              <w:bookmarkStart w:id="631" w:name="_Toc175128629"/>
              <w:r w:rsidR="00912BAE" w:rsidRPr="003F11D8">
                <w:rPr>
                  <w:rFonts w:ascii="Rockwell" w:eastAsia="Calibri" w:hAnsi="Rockwell"/>
                  <w:color w:val="0000FF"/>
                  <w:sz w:val="28"/>
                  <w:szCs w:val="28"/>
                </w:rPr>
                <w:t>www.burkinademain.com</w:t>
              </w:r>
              <w:bookmarkEnd w:id="631"/>
            </w:hyperlink>
            <w:r w:rsidR="00912BAE" w:rsidRPr="003F11D8">
              <w:rPr>
                <w:rFonts w:ascii="Rockwell" w:eastAsia="Calibri" w:hAnsi="Rockwell"/>
                <w:sz w:val="28"/>
                <w:szCs w:val="28"/>
              </w:rPr>
              <w:t xml:space="preserve"> </w:t>
            </w:r>
          </w:p>
        </w:tc>
      </w:tr>
      <w:tr w:rsidR="00733207" w14:paraId="45B9B677" w14:textId="77777777">
        <w:trPr>
          <w:trHeight w:val="567"/>
          <w:jc w:val="center"/>
        </w:trPr>
        <w:tc>
          <w:tcPr>
            <w:tcW w:w="988" w:type="dxa"/>
          </w:tcPr>
          <w:p w14:paraId="68E800B3" w14:textId="77777777" w:rsidR="00733207" w:rsidRDefault="00912BAE">
            <w:pPr>
              <w:spacing w:after="0" w:line="240" w:lineRule="auto"/>
              <w:jc w:val="both"/>
              <w:rPr>
                <w:rFonts w:ascii="Rockwell" w:eastAsia="Times New Roman" w:hAnsi="Rockwell"/>
                <w:sz w:val="28"/>
                <w:szCs w:val="28"/>
              </w:rPr>
            </w:pPr>
            <w:r>
              <w:rPr>
                <w:rFonts w:ascii="Rockwell" w:eastAsia="Times New Roman" w:hAnsi="Rockwell"/>
                <w:sz w:val="28"/>
                <w:szCs w:val="28"/>
              </w:rPr>
              <w:t>17</w:t>
            </w:r>
          </w:p>
        </w:tc>
        <w:tc>
          <w:tcPr>
            <w:tcW w:w="3827" w:type="dxa"/>
            <w:vAlign w:val="center"/>
          </w:tcPr>
          <w:p w14:paraId="276FB436"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Kaceto</w:t>
            </w:r>
            <w:proofErr w:type="spellEnd"/>
          </w:p>
        </w:tc>
        <w:tc>
          <w:tcPr>
            <w:tcW w:w="4835" w:type="dxa"/>
            <w:vAlign w:val="center"/>
          </w:tcPr>
          <w:p w14:paraId="036145A6"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6" w:history="1">
              <w:bookmarkStart w:id="632" w:name="_Toc175128630"/>
              <w:r w:rsidR="00912BAE" w:rsidRPr="003F11D8">
                <w:rPr>
                  <w:rFonts w:ascii="Rockwell" w:eastAsia="Calibri" w:hAnsi="Rockwell"/>
                  <w:color w:val="0000FF"/>
                  <w:sz w:val="28"/>
                  <w:szCs w:val="28"/>
                  <w:lang w:val="en-US"/>
                </w:rPr>
                <w:t>www.kaceto.net</w:t>
              </w:r>
              <w:bookmarkEnd w:id="632"/>
            </w:hyperlink>
          </w:p>
        </w:tc>
      </w:tr>
      <w:tr w:rsidR="00733207" w14:paraId="1776E491" w14:textId="77777777">
        <w:trPr>
          <w:trHeight w:val="567"/>
          <w:jc w:val="center"/>
        </w:trPr>
        <w:tc>
          <w:tcPr>
            <w:tcW w:w="988" w:type="dxa"/>
          </w:tcPr>
          <w:p w14:paraId="0099BFD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18</w:t>
            </w:r>
          </w:p>
        </w:tc>
        <w:tc>
          <w:tcPr>
            <w:tcW w:w="3827" w:type="dxa"/>
            <w:vAlign w:val="center"/>
          </w:tcPr>
          <w:p w14:paraId="2560341B"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Wakatsera</w:t>
            </w:r>
            <w:proofErr w:type="spellEnd"/>
          </w:p>
        </w:tc>
        <w:tc>
          <w:tcPr>
            <w:tcW w:w="4835" w:type="dxa"/>
            <w:vAlign w:val="center"/>
          </w:tcPr>
          <w:p w14:paraId="76BBA35B"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7" w:history="1">
              <w:bookmarkStart w:id="633" w:name="_Toc175128631"/>
              <w:r w:rsidR="00912BAE" w:rsidRPr="003F11D8">
                <w:rPr>
                  <w:rFonts w:ascii="Rockwell" w:eastAsia="Calibri" w:hAnsi="Rockwell"/>
                  <w:color w:val="0000FF"/>
                  <w:sz w:val="28"/>
                  <w:szCs w:val="28"/>
                </w:rPr>
                <w:t>www.wakatsera.</w:t>
              </w:r>
            </w:hyperlink>
            <w:r w:rsidR="00912BAE" w:rsidRPr="003F11D8">
              <w:rPr>
                <w:rFonts w:ascii="Rockwell" w:eastAsia="Calibri" w:hAnsi="Rockwell"/>
                <w:color w:val="0000FF"/>
                <w:sz w:val="28"/>
                <w:szCs w:val="28"/>
              </w:rPr>
              <w:t>com</w:t>
            </w:r>
            <w:bookmarkEnd w:id="633"/>
            <w:r w:rsidR="00912BAE" w:rsidRPr="003F11D8">
              <w:rPr>
                <w:rFonts w:ascii="Rockwell" w:eastAsia="Calibri" w:hAnsi="Rockwell"/>
                <w:sz w:val="28"/>
                <w:szCs w:val="28"/>
              </w:rPr>
              <w:t xml:space="preserve"> </w:t>
            </w:r>
          </w:p>
        </w:tc>
      </w:tr>
      <w:tr w:rsidR="00733207" w14:paraId="206399F1" w14:textId="77777777">
        <w:trPr>
          <w:trHeight w:val="567"/>
          <w:jc w:val="center"/>
        </w:trPr>
        <w:tc>
          <w:tcPr>
            <w:tcW w:w="988" w:type="dxa"/>
          </w:tcPr>
          <w:p w14:paraId="472B4C5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19</w:t>
            </w:r>
          </w:p>
        </w:tc>
        <w:tc>
          <w:tcPr>
            <w:tcW w:w="3827" w:type="dxa"/>
            <w:vAlign w:val="center"/>
          </w:tcPr>
          <w:p w14:paraId="631C9240" w14:textId="77777777" w:rsidR="00733207" w:rsidRDefault="00912BAE">
            <w:pPr>
              <w:spacing w:after="0" w:line="240" w:lineRule="auto"/>
              <w:jc w:val="both"/>
              <w:rPr>
                <w:rFonts w:ascii="Rockwell" w:eastAsia="Times New Roman" w:hAnsi="Rockwell"/>
                <w:sz w:val="28"/>
                <w:szCs w:val="28"/>
              </w:rPr>
            </w:pPr>
            <w:proofErr w:type="spellStart"/>
            <w:r>
              <w:rPr>
                <w:rFonts w:ascii="Rockwell" w:eastAsia="Times New Roman" w:hAnsi="Rockwell"/>
                <w:sz w:val="28"/>
                <w:szCs w:val="28"/>
              </w:rPr>
              <w:t>Artistesbf</w:t>
            </w:r>
            <w:proofErr w:type="spellEnd"/>
          </w:p>
        </w:tc>
        <w:tc>
          <w:tcPr>
            <w:tcW w:w="4835" w:type="dxa"/>
            <w:vAlign w:val="center"/>
          </w:tcPr>
          <w:p w14:paraId="5A2389A0" w14:textId="77777777" w:rsidR="00733207" w:rsidRPr="003F11D8" w:rsidRDefault="00E06378">
            <w:pPr>
              <w:tabs>
                <w:tab w:val="left" w:pos="3119"/>
              </w:tabs>
              <w:spacing w:after="0" w:line="240" w:lineRule="auto"/>
              <w:jc w:val="both"/>
              <w:outlineLvl w:val="0"/>
              <w:rPr>
                <w:rFonts w:ascii="Rockwell" w:eastAsia="Calibri" w:hAnsi="Rockwell"/>
                <w:sz w:val="28"/>
                <w:szCs w:val="28"/>
                <w:lang w:val="en-US"/>
              </w:rPr>
            </w:pPr>
            <w:hyperlink r:id="rId88" w:history="1">
              <w:bookmarkStart w:id="634" w:name="_Toc175128632"/>
              <w:r w:rsidR="00912BAE" w:rsidRPr="003F11D8">
                <w:rPr>
                  <w:rFonts w:ascii="Rockwell" w:eastAsia="Calibri" w:hAnsi="Rockwell"/>
                  <w:color w:val="0000FF"/>
                  <w:sz w:val="28"/>
                  <w:szCs w:val="28"/>
                  <w:lang w:val="en-US"/>
                </w:rPr>
                <w:t>www.artistesbf.org</w:t>
              </w:r>
              <w:bookmarkEnd w:id="634"/>
            </w:hyperlink>
            <w:r w:rsidR="00912BAE" w:rsidRPr="003F11D8">
              <w:rPr>
                <w:rFonts w:ascii="Rockwell" w:eastAsia="Calibri" w:hAnsi="Rockwell"/>
                <w:sz w:val="28"/>
                <w:szCs w:val="28"/>
                <w:lang w:val="en-US"/>
              </w:rPr>
              <w:t xml:space="preserve"> </w:t>
            </w:r>
          </w:p>
        </w:tc>
      </w:tr>
      <w:tr w:rsidR="00733207" w14:paraId="59F95B74" w14:textId="77777777">
        <w:trPr>
          <w:trHeight w:val="567"/>
          <w:jc w:val="center"/>
        </w:trPr>
        <w:tc>
          <w:tcPr>
            <w:tcW w:w="988" w:type="dxa"/>
          </w:tcPr>
          <w:p w14:paraId="28156BB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20</w:t>
            </w:r>
          </w:p>
        </w:tc>
        <w:tc>
          <w:tcPr>
            <w:tcW w:w="3827" w:type="dxa"/>
            <w:vAlign w:val="center"/>
          </w:tcPr>
          <w:p w14:paraId="58D2626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infowakat.net</w:t>
            </w:r>
          </w:p>
        </w:tc>
        <w:tc>
          <w:tcPr>
            <w:tcW w:w="4835" w:type="dxa"/>
            <w:vAlign w:val="bottom"/>
          </w:tcPr>
          <w:p w14:paraId="1A15431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89" w:history="1">
              <w:bookmarkStart w:id="635" w:name="_Toc175128633"/>
              <w:r w:rsidR="00912BAE" w:rsidRPr="003F11D8">
                <w:rPr>
                  <w:rFonts w:ascii="Rockwell" w:eastAsia="Calibri" w:hAnsi="Rockwell"/>
                  <w:color w:val="0000FF"/>
                  <w:sz w:val="28"/>
                  <w:szCs w:val="28"/>
                </w:rPr>
                <w:t>www.infowakat.net</w:t>
              </w:r>
              <w:bookmarkEnd w:id="635"/>
            </w:hyperlink>
          </w:p>
          <w:p w14:paraId="3CBA8126"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3E990F76" w14:textId="77777777">
        <w:trPr>
          <w:trHeight w:val="567"/>
          <w:jc w:val="center"/>
        </w:trPr>
        <w:tc>
          <w:tcPr>
            <w:tcW w:w="988" w:type="dxa"/>
          </w:tcPr>
          <w:p w14:paraId="4E366A6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21</w:t>
            </w:r>
          </w:p>
        </w:tc>
        <w:tc>
          <w:tcPr>
            <w:tcW w:w="3827" w:type="dxa"/>
            <w:vAlign w:val="center"/>
          </w:tcPr>
          <w:p w14:paraId="189BBAA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Tic magazine</w:t>
            </w:r>
          </w:p>
        </w:tc>
        <w:tc>
          <w:tcPr>
            <w:tcW w:w="4835" w:type="dxa"/>
            <w:vAlign w:val="center"/>
          </w:tcPr>
          <w:p w14:paraId="29550B23"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0" w:history="1">
              <w:bookmarkStart w:id="636" w:name="_Toc175128634"/>
              <w:r w:rsidR="00912BAE" w:rsidRPr="003F11D8">
                <w:rPr>
                  <w:rFonts w:ascii="Rockwell" w:eastAsia="Calibri" w:hAnsi="Rockwell"/>
                  <w:color w:val="0000FF"/>
                  <w:sz w:val="28"/>
                  <w:szCs w:val="28"/>
                </w:rPr>
                <w:t>www.ticmagazine.bf</w:t>
              </w:r>
              <w:bookmarkEnd w:id="636"/>
            </w:hyperlink>
            <w:r w:rsidR="00912BAE" w:rsidRPr="003F11D8">
              <w:rPr>
                <w:rFonts w:ascii="Rockwell" w:eastAsia="Calibri" w:hAnsi="Rockwell"/>
                <w:sz w:val="28"/>
                <w:szCs w:val="28"/>
              </w:rPr>
              <w:t xml:space="preserve"> </w:t>
            </w:r>
          </w:p>
        </w:tc>
      </w:tr>
      <w:tr w:rsidR="00733207" w14:paraId="10AFCFC7" w14:textId="77777777">
        <w:trPr>
          <w:trHeight w:val="567"/>
          <w:jc w:val="center"/>
        </w:trPr>
        <w:tc>
          <w:tcPr>
            <w:tcW w:w="988" w:type="dxa"/>
          </w:tcPr>
          <w:p w14:paraId="10F3023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lastRenderedPageBreak/>
              <w:t>22</w:t>
            </w:r>
          </w:p>
        </w:tc>
        <w:tc>
          <w:tcPr>
            <w:tcW w:w="3827" w:type="dxa"/>
            <w:vAlign w:val="center"/>
          </w:tcPr>
          <w:p w14:paraId="55A9352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Infobf.net</w:t>
            </w:r>
          </w:p>
        </w:tc>
        <w:tc>
          <w:tcPr>
            <w:tcW w:w="4835" w:type="dxa"/>
            <w:vAlign w:val="center"/>
          </w:tcPr>
          <w:p w14:paraId="5769CB79"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1" w:history="1">
              <w:bookmarkStart w:id="637" w:name="_Toc175128635"/>
              <w:r w:rsidR="00912BAE" w:rsidRPr="003F11D8">
                <w:rPr>
                  <w:rFonts w:ascii="Rockwell" w:eastAsia="Calibri" w:hAnsi="Rockwell"/>
                  <w:color w:val="0000FF"/>
                  <w:sz w:val="28"/>
                  <w:szCs w:val="28"/>
                </w:rPr>
                <w:t>www.infobf.net</w:t>
              </w:r>
              <w:bookmarkEnd w:id="637"/>
            </w:hyperlink>
            <w:r w:rsidR="00912BAE" w:rsidRPr="003F11D8">
              <w:rPr>
                <w:rFonts w:ascii="Rockwell" w:eastAsia="Calibri" w:hAnsi="Rockwell"/>
                <w:sz w:val="28"/>
                <w:szCs w:val="28"/>
              </w:rPr>
              <w:t xml:space="preserve"> </w:t>
            </w:r>
          </w:p>
        </w:tc>
      </w:tr>
      <w:tr w:rsidR="00733207" w14:paraId="135F7291" w14:textId="77777777">
        <w:trPr>
          <w:trHeight w:val="567"/>
          <w:jc w:val="center"/>
        </w:trPr>
        <w:tc>
          <w:tcPr>
            <w:tcW w:w="988" w:type="dxa"/>
          </w:tcPr>
          <w:p w14:paraId="43C2D19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23</w:t>
            </w:r>
          </w:p>
        </w:tc>
        <w:tc>
          <w:tcPr>
            <w:tcW w:w="3827" w:type="dxa"/>
            <w:vAlign w:val="center"/>
          </w:tcPr>
          <w:p w14:paraId="23EEA46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Tanko.info</w:t>
            </w:r>
          </w:p>
        </w:tc>
        <w:tc>
          <w:tcPr>
            <w:tcW w:w="4835" w:type="dxa"/>
            <w:vAlign w:val="bottom"/>
          </w:tcPr>
          <w:p w14:paraId="1526FA5D"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38" w:name="_Toc175128636"/>
            <w:r w:rsidRPr="003F11D8">
              <w:rPr>
                <w:rFonts w:ascii="Rockwell" w:eastAsia="Calibri" w:hAnsi="Rockwell"/>
                <w:sz w:val="28"/>
                <w:szCs w:val="28"/>
              </w:rPr>
              <w:t>www.tankono.info</w:t>
            </w:r>
            <w:bookmarkEnd w:id="638"/>
          </w:p>
        </w:tc>
      </w:tr>
      <w:tr w:rsidR="00733207" w14:paraId="7CB2B61C" w14:textId="77777777">
        <w:trPr>
          <w:trHeight w:val="567"/>
          <w:jc w:val="center"/>
        </w:trPr>
        <w:tc>
          <w:tcPr>
            <w:tcW w:w="988" w:type="dxa"/>
          </w:tcPr>
          <w:p w14:paraId="4FBAE1A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24</w:t>
            </w:r>
          </w:p>
        </w:tc>
        <w:tc>
          <w:tcPr>
            <w:tcW w:w="3827" w:type="dxa"/>
            <w:vAlign w:val="center"/>
          </w:tcPr>
          <w:p w14:paraId="4F70316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TAN KONNON</w:t>
            </w:r>
          </w:p>
        </w:tc>
        <w:tc>
          <w:tcPr>
            <w:tcW w:w="4835" w:type="dxa"/>
            <w:vAlign w:val="bottom"/>
          </w:tcPr>
          <w:p w14:paraId="1E24969D"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92" w:history="1">
              <w:bookmarkStart w:id="639" w:name="_Toc175128637"/>
              <w:r w:rsidR="00912BAE" w:rsidRPr="003F11D8">
                <w:rPr>
                  <w:rFonts w:ascii="Rockwell" w:eastAsia="Calibri" w:hAnsi="Rockwell"/>
                  <w:color w:val="0000FF"/>
                  <w:sz w:val="28"/>
                  <w:szCs w:val="28"/>
                </w:rPr>
                <w:t>www.Tankonnon.info</w:t>
              </w:r>
              <w:bookmarkEnd w:id="639"/>
            </w:hyperlink>
          </w:p>
        </w:tc>
      </w:tr>
      <w:tr w:rsidR="00733207" w14:paraId="78CE6E7D" w14:textId="77777777">
        <w:trPr>
          <w:trHeight w:val="567"/>
          <w:jc w:val="center"/>
        </w:trPr>
        <w:tc>
          <w:tcPr>
            <w:tcW w:w="988" w:type="dxa"/>
          </w:tcPr>
          <w:p w14:paraId="6F014F6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25</w:t>
            </w:r>
          </w:p>
        </w:tc>
        <w:tc>
          <w:tcPr>
            <w:tcW w:w="3827" w:type="dxa"/>
            <w:vAlign w:val="center"/>
          </w:tcPr>
          <w:p w14:paraId="204FE661"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Daawatoul.islamia</w:t>
            </w:r>
            <w:proofErr w:type="spellEnd"/>
          </w:p>
        </w:tc>
        <w:tc>
          <w:tcPr>
            <w:tcW w:w="4835" w:type="dxa"/>
            <w:vAlign w:val="center"/>
          </w:tcPr>
          <w:p w14:paraId="3445E77D"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3" w:history="1">
              <w:bookmarkStart w:id="640" w:name="_Toc175128638"/>
              <w:r w:rsidR="00912BAE" w:rsidRPr="003F11D8">
                <w:rPr>
                  <w:rFonts w:ascii="Rockwell" w:eastAsia="Calibri" w:hAnsi="Rockwell"/>
                  <w:color w:val="0000FF"/>
                  <w:sz w:val="28"/>
                  <w:szCs w:val="28"/>
                </w:rPr>
                <w:t>www.daawatoulislamia.net</w:t>
              </w:r>
              <w:bookmarkEnd w:id="640"/>
            </w:hyperlink>
            <w:r w:rsidR="00912BAE" w:rsidRPr="003F11D8">
              <w:rPr>
                <w:rFonts w:ascii="Rockwell" w:eastAsia="Calibri" w:hAnsi="Rockwell"/>
                <w:sz w:val="28"/>
                <w:szCs w:val="28"/>
              </w:rPr>
              <w:t xml:space="preserve"> </w:t>
            </w:r>
          </w:p>
        </w:tc>
      </w:tr>
      <w:tr w:rsidR="00733207" w14:paraId="42D80FA2" w14:textId="77777777">
        <w:trPr>
          <w:trHeight w:val="567"/>
          <w:jc w:val="center"/>
        </w:trPr>
        <w:tc>
          <w:tcPr>
            <w:tcW w:w="988" w:type="dxa"/>
          </w:tcPr>
          <w:p w14:paraId="2271A79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26</w:t>
            </w:r>
          </w:p>
        </w:tc>
        <w:tc>
          <w:tcPr>
            <w:tcW w:w="3827" w:type="dxa"/>
            <w:vAlign w:val="center"/>
          </w:tcPr>
          <w:p w14:paraId="7D36771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 infos.com</w:t>
            </w:r>
          </w:p>
        </w:tc>
        <w:tc>
          <w:tcPr>
            <w:tcW w:w="4835" w:type="dxa"/>
            <w:vAlign w:val="bottom"/>
          </w:tcPr>
          <w:p w14:paraId="2D845CAB"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4" w:history="1">
              <w:bookmarkStart w:id="641" w:name="_Toc175128639"/>
              <w:r w:rsidR="00912BAE" w:rsidRPr="003F11D8">
                <w:rPr>
                  <w:rFonts w:ascii="Rockwell" w:eastAsia="Calibri" w:hAnsi="Rockwell"/>
                  <w:color w:val="0000FF"/>
                  <w:sz w:val="28"/>
                  <w:szCs w:val="28"/>
                </w:rPr>
                <w:t>www.fasoinfo.com</w:t>
              </w:r>
              <w:bookmarkEnd w:id="641"/>
            </w:hyperlink>
          </w:p>
          <w:p w14:paraId="49E3CA6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26C542D" w14:textId="77777777">
        <w:trPr>
          <w:trHeight w:val="567"/>
          <w:jc w:val="center"/>
        </w:trPr>
        <w:tc>
          <w:tcPr>
            <w:tcW w:w="988" w:type="dxa"/>
          </w:tcPr>
          <w:p w14:paraId="75DC814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27</w:t>
            </w:r>
          </w:p>
        </w:tc>
        <w:tc>
          <w:tcPr>
            <w:tcW w:w="3827" w:type="dxa"/>
            <w:vAlign w:val="center"/>
          </w:tcPr>
          <w:p w14:paraId="27579ECA"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Aconews</w:t>
            </w:r>
            <w:proofErr w:type="spellEnd"/>
          </w:p>
        </w:tc>
        <w:tc>
          <w:tcPr>
            <w:tcW w:w="4835" w:type="dxa"/>
            <w:vAlign w:val="center"/>
          </w:tcPr>
          <w:p w14:paraId="67736EB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5" w:history="1">
              <w:bookmarkStart w:id="642" w:name="_Toc175128640"/>
              <w:r w:rsidR="00912BAE" w:rsidRPr="003F11D8">
                <w:rPr>
                  <w:rFonts w:ascii="Rockwell" w:eastAsia="Calibri" w:hAnsi="Rockwell"/>
                  <w:color w:val="0000FF"/>
                  <w:sz w:val="28"/>
                  <w:szCs w:val="28"/>
                </w:rPr>
                <w:t>www.aconews.net</w:t>
              </w:r>
              <w:bookmarkEnd w:id="642"/>
            </w:hyperlink>
            <w:r w:rsidR="00912BAE" w:rsidRPr="003F11D8">
              <w:rPr>
                <w:rFonts w:ascii="Rockwell" w:eastAsia="Calibri" w:hAnsi="Rockwell"/>
                <w:sz w:val="28"/>
                <w:szCs w:val="28"/>
              </w:rPr>
              <w:t xml:space="preserve">  </w:t>
            </w:r>
          </w:p>
        </w:tc>
      </w:tr>
      <w:tr w:rsidR="00733207" w14:paraId="08A52C7B" w14:textId="77777777">
        <w:trPr>
          <w:trHeight w:val="567"/>
          <w:jc w:val="center"/>
        </w:trPr>
        <w:tc>
          <w:tcPr>
            <w:tcW w:w="988" w:type="dxa"/>
          </w:tcPr>
          <w:p w14:paraId="20E6246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28</w:t>
            </w:r>
          </w:p>
        </w:tc>
        <w:tc>
          <w:tcPr>
            <w:tcW w:w="3827" w:type="dxa"/>
            <w:vAlign w:val="center"/>
          </w:tcPr>
          <w:p w14:paraId="381060E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Tinganews.com</w:t>
            </w:r>
          </w:p>
        </w:tc>
        <w:tc>
          <w:tcPr>
            <w:tcW w:w="4835" w:type="dxa"/>
            <w:vAlign w:val="bottom"/>
          </w:tcPr>
          <w:p w14:paraId="67619E8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6" w:history="1">
              <w:bookmarkStart w:id="643" w:name="_Toc175128641"/>
              <w:r w:rsidR="00912BAE" w:rsidRPr="003F11D8">
                <w:rPr>
                  <w:rFonts w:ascii="Rockwell" w:eastAsia="Calibri" w:hAnsi="Rockwell"/>
                  <w:color w:val="0000FF"/>
                  <w:sz w:val="28"/>
                  <w:szCs w:val="28"/>
                </w:rPr>
                <w:t>www.tinganews.com</w:t>
              </w:r>
              <w:bookmarkEnd w:id="643"/>
            </w:hyperlink>
          </w:p>
          <w:p w14:paraId="270BBED8"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B25BC5F" w14:textId="77777777">
        <w:trPr>
          <w:trHeight w:val="567"/>
          <w:jc w:val="center"/>
        </w:trPr>
        <w:tc>
          <w:tcPr>
            <w:tcW w:w="988" w:type="dxa"/>
          </w:tcPr>
          <w:p w14:paraId="43A80D2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29</w:t>
            </w:r>
          </w:p>
        </w:tc>
        <w:tc>
          <w:tcPr>
            <w:tcW w:w="3827" w:type="dxa"/>
            <w:vAlign w:val="center"/>
          </w:tcPr>
          <w:p w14:paraId="210D59E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Libre info</w:t>
            </w:r>
          </w:p>
        </w:tc>
        <w:tc>
          <w:tcPr>
            <w:tcW w:w="4835" w:type="dxa"/>
            <w:vAlign w:val="center"/>
          </w:tcPr>
          <w:p w14:paraId="183F9AE3"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7" w:history="1">
              <w:bookmarkStart w:id="644" w:name="_Toc175128642"/>
              <w:r w:rsidR="00912BAE" w:rsidRPr="003F11D8">
                <w:rPr>
                  <w:rFonts w:ascii="Rockwell" w:eastAsia="Calibri" w:hAnsi="Rockwell"/>
                  <w:color w:val="0000FF"/>
                  <w:sz w:val="28"/>
                  <w:szCs w:val="28"/>
                </w:rPr>
                <w:t>www.libreinfo.net</w:t>
              </w:r>
              <w:bookmarkEnd w:id="644"/>
            </w:hyperlink>
            <w:r w:rsidR="00912BAE" w:rsidRPr="003F11D8">
              <w:rPr>
                <w:rFonts w:ascii="Rockwell" w:eastAsia="Calibri" w:hAnsi="Rockwell"/>
                <w:sz w:val="28"/>
                <w:szCs w:val="28"/>
              </w:rPr>
              <w:t xml:space="preserve"> </w:t>
            </w:r>
          </w:p>
        </w:tc>
      </w:tr>
      <w:tr w:rsidR="00733207" w14:paraId="2D19901B" w14:textId="77777777">
        <w:trPr>
          <w:trHeight w:val="567"/>
          <w:jc w:val="center"/>
        </w:trPr>
        <w:tc>
          <w:tcPr>
            <w:tcW w:w="988" w:type="dxa"/>
          </w:tcPr>
          <w:p w14:paraId="51B8746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30</w:t>
            </w:r>
          </w:p>
        </w:tc>
        <w:tc>
          <w:tcPr>
            <w:tcW w:w="3827" w:type="dxa"/>
            <w:vAlign w:val="center"/>
          </w:tcPr>
          <w:p w14:paraId="2C56A93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Top info plus</w:t>
            </w:r>
          </w:p>
        </w:tc>
        <w:tc>
          <w:tcPr>
            <w:tcW w:w="4835" w:type="dxa"/>
            <w:vAlign w:val="bottom"/>
          </w:tcPr>
          <w:p w14:paraId="13A5E731" w14:textId="77777777" w:rsidR="00733207" w:rsidRPr="003F11D8" w:rsidRDefault="00E06378">
            <w:pPr>
              <w:tabs>
                <w:tab w:val="left" w:pos="3119"/>
              </w:tabs>
              <w:spacing w:after="0" w:line="240" w:lineRule="auto"/>
              <w:jc w:val="both"/>
              <w:outlineLvl w:val="0"/>
              <w:rPr>
                <w:rFonts w:ascii="Rockwell" w:eastAsia="Calibri" w:hAnsi="Rockwell"/>
                <w:sz w:val="28"/>
                <w:szCs w:val="28"/>
                <w:lang w:val="en-US"/>
              </w:rPr>
            </w:pPr>
            <w:hyperlink r:id="rId98" w:history="1">
              <w:bookmarkStart w:id="645" w:name="_Toc175128643"/>
              <w:r w:rsidR="00912BAE" w:rsidRPr="003F11D8">
                <w:rPr>
                  <w:rFonts w:ascii="Rockwell" w:eastAsia="Calibri" w:hAnsi="Rockwell"/>
                  <w:color w:val="0000FF"/>
                  <w:sz w:val="28"/>
                  <w:szCs w:val="28"/>
                  <w:lang w:val="en-US"/>
                </w:rPr>
                <w:t>www.topinfosplus.com</w:t>
              </w:r>
              <w:bookmarkEnd w:id="645"/>
            </w:hyperlink>
          </w:p>
          <w:p w14:paraId="5EA2F839" w14:textId="77777777" w:rsidR="00733207" w:rsidRPr="003F11D8" w:rsidRDefault="00733207">
            <w:pPr>
              <w:tabs>
                <w:tab w:val="left" w:pos="3119"/>
              </w:tabs>
              <w:spacing w:after="0" w:line="240" w:lineRule="auto"/>
              <w:jc w:val="both"/>
              <w:outlineLvl w:val="0"/>
              <w:rPr>
                <w:rFonts w:ascii="Rockwell" w:eastAsia="Calibri" w:hAnsi="Rockwell"/>
                <w:sz w:val="28"/>
                <w:szCs w:val="28"/>
                <w:lang w:val="en-US"/>
              </w:rPr>
            </w:pPr>
          </w:p>
        </w:tc>
      </w:tr>
      <w:tr w:rsidR="00733207" w14:paraId="6CBAE44D" w14:textId="77777777">
        <w:trPr>
          <w:trHeight w:val="567"/>
          <w:jc w:val="center"/>
        </w:trPr>
        <w:tc>
          <w:tcPr>
            <w:tcW w:w="988" w:type="dxa"/>
          </w:tcPr>
          <w:p w14:paraId="48BA16C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31</w:t>
            </w:r>
          </w:p>
        </w:tc>
        <w:tc>
          <w:tcPr>
            <w:tcW w:w="3827" w:type="dxa"/>
            <w:vAlign w:val="center"/>
          </w:tcPr>
          <w:p w14:paraId="2608A843"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Citeelegance</w:t>
            </w:r>
            <w:proofErr w:type="spellEnd"/>
          </w:p>
        </w:tc>
        <w:tc>
          <w:tcPr>
            <w:tcW w:w="4835" w:type="dxa"/>
            <w:vAlign w:val="bottom"/>
          </w:tcPr>
          <w:p w14:paraId="352BCF42"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46" w:name="_Toc175128644"/>
            <w:r w:rsidRPr="003F11D8">
              <w:rPr>
                <w:rFonts w:ascii="Rockwell" w:eastAsia="Calibri" w:hAnsi="Rockwell"/>
                <w:sz w:val="28"/>
                <w:szCs w:val="28"/>
              </w:rPr>
              <w:t>www.Citeelegance.net</w:t>
            </w:r>
            <w:bookmarkEnd w:id="646"/>
          </w:p>
        </w:tc>
      </w:tr>
      <w:tr w:rsidR="00733207" w14:paraId="56EB0D52" w14:textId="77777777">
        <w:trPr>
          <w:trHeight w:val="567"/>
          <w:jc w:val="center"/>
        </w:trPr>
        <w:tc>
          <w:tcPr>
            <w:tcW w:w="988" w:type="dxa"/>
          </w:tcPr>
          <w:p w14:paraId="58D5493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32 </w:t>
            </w:r>
          </w:p>
        </w:tc>
        <w:tc>
          <w:tcPr>
            <w:tcW w:w="3827" w:type="dxa"/>
            <w:vAlign w:val="center"/>
          </w:tcPr>
          <w:p w14:paraId="0965DA4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226infos.net</w:t>
            </w:r>
          </w:p>
        </w:tc>
        <w:tc>
          <w:tcPr>
            <w:tcW w:w="4835" w:type="dxa"/>
            <w:vAlign w:val="bottom"/>
          </w:tcPr>
          <w:p w14:paraId="2374C5B1"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99" w:history="1">
              <w:bookmarkStart w:id="647" w:name="_Toc175128645"/>
              <w:r w:rsidR="00912BAE" w:rsidRPr="003F11D8">
                <w:rPr>
                  <w:rFonts w:ascii="Rockwell" w:eastAsia="Calibri" w:hAnsi="Rockwell"/>
                  <w:color w:val="0000FF"/>
                  <w:sz w:val="28"/>
                  <w:szCs w:val="28"/>
                </w:rPr>
                <w:t>www.226infos.net</w:t>
              </w:r>
              <w:bookmarkEnd w:id="647"/>
            </w:hyperlink>
          </w:p>
          <w:p w14:paraId="51D0EB98"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0DC4955" w14:textId="77777777">
        <w:trPr>
          <w:trHeight w:val="567"/>
          <w:jc w:val="center"/>
        </w:trPr>
        <w:tc>
          <w:tcPr>
            <w:tcW w:w="988" w:type="dxa"/>
          </w:tcPr>
          <w:p w14:paraId="126ADA3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33</w:t>
            </w:r>
          </w:p>
        </w:tc>
        <w:tc>
          <w:tcPr>
            <w:tcW w:w="3827" w:type="dxa"/>
            <w:vAlign w:val="center"/>
          </w:tcPr>
          <w:p w14:paraId="2842E24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commune-actu.bf</w:t>
            </w:r>
          </w:p>
        </w:tc>
        <w:tc>
          <w:tcPr>
            <w:tcW w:w="4835" w:type="dxa"/>
            <w:vAlign w:val="bottom"/>
          </w:tcPr>
          <w:p w14:paraId="28F067C9"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0" w:history="1">
              <w:bookmarkStart w:id="648" w:name="_Toc175128646"/>
              <w:r w:rsidR="00912BAE" w:rsidRPr="003F11D8">
                <w:rPr>
                  <w:rFonts w:ascii="Rockwell" w:eastAsia="Calibri" w:hAnsi="Rockwell"/>
                  <w:color w:val="0000FF"/>
                  <w:sz w:val="28"/>
                  <w:szCs w:val="28"/>
                </w:rPr>
                <w:t>www.commune-actu.net</w:t>
              </w:r>
              <w:bookmarkEnd w:id="648"/>
            </w:hyperlink>
          </w:p>
          <w:p w14:paraId="29CA4C42"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07D1813" w14:textId="77777777">
        <w:trPr>
          <w:trHeight w:val="567"/>
          <w:jc w:val="center"/>
        </w:trPr>
        <w:tc>
          <w:tcPr>
            <w:tcW w:w="988" w:type="dxa"/>
          </w:tcPr>
          <w:p w14:paraId="2DF6150D" w14:textId="77777777" w:rsidR="00733207" w:rsidRDefault="00912BAE">
            <w:pPr>
              <w:spacing w:after="0" w:line="240" w:lineRule="auto"/>
              <w:jc w:val="both"/>
              <w:rPr>
                <w:rFonts w:ascii="Rockwell" w:eastAsia="Calibri" w:hAnsi="Rockwell"/>
                <w:sz w:val="28"/>
                <w:szCs w:val="28"/>
                <w:lang w:val="en-US"/>
              </w:rPr>
            </w:pPr>
            <w:r>
              <w:rPr>
                <w:rFonts w:ascii="Rockwell" w:eastAsia="Calibri" w:hAnsi="Rockwell"/>
                <w:sz w:val="28"/>
                <w:szCs w:val="28"/>
                <w:lang w:val="en-US"/>
              </w:rPr>
              <w:t>34</w:t>
            </w:r>
          </w:p>
        </w:tc>
        <w:tc>
          <w:tcPr>
            <w:tcW w:w="3827" w:type="dxa"/>
            <w:vAlign w:val="center"/>
          </w:tcPr>
          <w:p w14:paraId="54925F0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Minute.bf</w:t>
            </w:r>
          </w:p>
        </w:tc>
        <w:tc>
          <w:tcPr>
            <w:tcW w:w="4835" w:type="dxa"/>
            <w:vAlign w:val="bottom"/>
          </w:tcPr>
          <w:p w14:paraId="0E54581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1" w:history="1">
              <w:bookmarkStart w:id="649" w:name="_Toc175128647"/>
              <w:r w:rsidR="00912BAE" w:rsidRPr="003F11D8">
                <w:rPr>
                  <w:rFonts w:ascii="Rockwell" w:eastAsia="Calibri" w:hAnsi="Rockwell"/>
                  <w:color w:val="0000FF"/>
                  <w:sz w:val="28"/>
                  <w:szCs w:val="28"/>
                </w:rPr>
                <w:t>www.minute.bf</w:t>
              </w:r>
              <w:bookmarkEnd w:id="649"/>
            </w:hyperlink>
          </w:p>
          <w:p w14:paraId="54C3A426"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E27F907" w14:textId="77777777">
        <w:trPr>
          <w:trHeight w:val="567"/>
          <w:jc w:val="center"/>
        </w:trPr>
        <w:tc>
          <w:tcPr>
            <w:tcW w:w="988" w:type="dxa"/>
          </w:tcPr>
          <w:p w14:paraId="0A117BA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35</w:t>
            </w:r>
          </w:p>
        </w:tc>
        <w:tc>
          <w:tcPr>
            <w:tcW w:w="3827" w:type="dxa"/>
            <w:vAlign w:val="center"/>
          </w:tcPr>
          <w:p w14:paraId="5BC26F8B"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Letalon</w:t>
            </w:r>
            <w:proofErr w:type="spellEnd"/>
          </w:p>
        </w:tc>
        <w:tc>
          <w:tcPr>
            <w:tcW w:w="4835" w:type="dxa"/>
            <w:vAlign w:val="center"/>
          </w:tcPr>
          <w:p w14:paraId="4D3DFD37"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2" w:history="1">
              <w:bookmarkStart w:id="650" w:name="_Toc175128648"/>
              <w:r w:rsidR="00912BAE" w:rsidRPr="003F11D8">
                <w:rPr>
                  <w:rFonts w:ascii="Rockwell" w:eastAsia="Calibri" w:hAnsi="Rockwell"/>
                  <w:color w:val="0000FF"/>
                  <w:sz w:val="28"/>
                  <w:szCs w:val="28"/>
                </w:rPr>
                <w:t>www.letalon.net</w:t>
              </w:r>
              <w:bookmarkEnd w:id="650"/>
            </w:hyperlink>
            <w:r w:rsidR="00912BAE" w:rsidRPr="003F11D8">
              <w:rPr>
                <w:rFonts w:ascii="Rockwell" w:eastAsia="Calibri" w:hAnsi="Rockwell"/>
                <w:sz w:val="28"/>
                <w:szCs w:val="28"/>
              </w:rPr>
              <w:t xml:space="preserve"> </w:t>
            </w:r>
          </w:p>
        </w:tc>
      </w:tr>
      <w:tr w:rsidR="00733207" w14:paraId="602FC126" w14:textId="77777777">
        <w:trPr>
          <w:trHeight w:val="567"/>
          <w:jc w:val="center"/>
        </w:trPr>
        <w:tc>
          <w:tcPr>
            <w:tcW w:w="988" w:type="dxa"/>
          </w:tcPr>
          <w:p w14:paraId="3E89576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36</w:t>
            </w:r>
          </w:p>
        </w:tc>
        <w:tc>
          <w:tcPr>
            <w:tcW w:w="3827" w:type="dxa"/>
            <w:vAlign w:val="center"/>
          </w:tcPr>
          <w:p w14:paraId="35EB372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bafujiinfos.com</w:t>
            </w:r>
          </w:p>
        </w:tc>
        <w:tc>
          <w:tcPr>
            <w:tcW w:w="4835" w:type="dxa"/>
            <w:vAlign w:val="bottom"/>
          </w:tcPr>
          <w:p w14:paraId="1BAEBA9E" w14:textId="77777777" w:rsidR="00733207" w:rsidRPr="003F11D8" w:rsidRDefault="00E06378">
            <w:pPr>
              <w:tabs>
                <w:tab w:val="left" w:pos="3119"/>
              </w:tabs>
              <w:spacing w:after="0" w:line="240" w:lineRule="auto"/>
              <w:jc w:val="both"/>
              <w:outlineLvl w:val="0"/>
              <w:rPr>
                <w:rFonts w:ascii="Rockwell" w:eastAsia="Calibri" w:hAnsi="Rockwell"/>
                <w:sz w:val="28"/>
                <w:szCs w:val="28"/>
                <w:lang w:val="en-US"/>
              </w:rPr>
            </w:pPr>
            <w:hyperlink r:id="rId103" w:history="1">
              <w:bookmarkStart w:id="651" w:name="_Toc175128649"/>
              <w:r w:rsidR="00912BAE" w:rsidRPr="003F11D8">
                <w:rPr>
                  <w:rFonts w:ascii="Rockwell" w:eastAsia="Calibri" w:hAnsi="Rockwell"/>
                  <w:color w:val="0000FF"/>
                  <w:sz w:val="28"/>
                  <w:szCs w:val="28"/>
                  <w:lang w:val="en-US"/>
                </w:rPr>
                <w:t>www.bafujiinfos.com</w:t>
              </w:r>
              <w:bookmarkEnd w:id="651"/>
            </w:hyperlink>
          </w:p>
          <w:p w14:paraId="1939F9C5" w14:textId="77777777" w:rsidR="00733207" w:rsidRPr="003F11D8" w:rsidRDefault="00733207">
            <w:pPr>
              <w:tabs>
                <w:tab w:val="left" w:pos="3119"/>
              </w:tabs>
              <w:spacing w:after="0" w:line="240" w:lineRule="auto"/>
              <w:jc w:val="both"/>
              <w:outlineLvl w:val="0"/>
              <w:rPr>
                <w:rFonts w:ascii="Rockwell" w:eastAsia="Calibri" w:hAnsi="Rockwell"/>
                <w:sz w:val="28"/>
                <w:szCs w:val="28"/>
                <w:lang w:val="en-US"/>
              </w:rPr>
            </w:pPr>
          </w:p>
        </w:tc>
      </w:tr>
      <w:tr w:rsidR="00733207" w14:paraId="21A9AE34" w14:textId="77777777">
        <w:trPr>
          <w:trHeight w:val="567"/>
          <w:jc w:val="center"/>
        </w:trPr>
        <w:tc>
          <w:tcPr>
            <w:tcW w:w="988" w:type="dxa"/>
          </w:tcPr>
          <w:p w14:paraId="2311ACB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37</w:t>
            </w:r>
          </w:p>
        </w:tc>
        <w:tc>
          <w:tcPr>
            <w:tcW w:w="3827" w:type="dxa"/>
            <w:vAlign w:val="center"/>
          </w:tcPr>
          <w:p w14:paraId="781ACCA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Raamde-bf.com</w:t>
            </w:r>
          </w:p>
        </w:tc>
        <w:tc>
          <w:tcPr>
            <w:tcW w:w="4835" w:type="dxa"/>
            <w:vAlign w:val="bottom"/>
          </w:tcPr>
          <w:p w14:paraId="37291D85"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4" w:history="1">
              <w:bookmarkStart w:id="652" w:name="_Toc175128650"/>
              <w:r w:rsidR="00912BAE" w:rsidRPr="003F11D8">
                <w:rPr>
                  <w:rFonts w:ascii="Rockwell" w:eastAsia="Calibri" w:hAnsi="Rockwell"/>
                  <w:color w:val="0000FF"/>
                  <w:sz w:val="28"/>
                  <w:szCs w:val="28"/>
                </w:rPr>
                <w:t>www.raamde-bf.net</w:t>
              </w:r>
              <w:bookmarkEnd w:id="652"/>
            </w:hyperlink>
          </w:p>
          <w:p w14:paraId="3F5E59D9"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4D288712" w14:textId="77777777">
        <w:trPr>
          <w:trHeight w:val="567"/>
          <w:jc w:val="center"/>
        </w:trPr>
        <w:tc>
          <w:tcPr>
            <w:tcW w:w="988" w:type="dxa"/>
          </w:tcPr>
          <w:p w14:paraId="058CC89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38</w:t>
            </w:r>
          </w:p>
        </w:tc>
        <w:tc>
          <w:tcPr>
            <w:tcW w:w="3827" w:type="dxa"/>
            <w:vAlign w:val="center"/>
          </w:tcPr>
          <w:p w14:paraId="04F868E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Radars Info Burkina</w:t>
            </w:r>
          </w:p>
        </w:tc>
        <w:tc>
          <w:tcPr>
            <w:tcW w:w="4835" w:type="dxa"/>
            <w:vAlign w:val="bottom"/>
          </w:tcPr>
          <w:p w14:paraId="48DD3F2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5" w:history="1">
              <w:bookmarkStart w:id="653" w:name="_Toc175128651"/>
              <w:r w:rsidR="00912BAE" w:rsidRPr="003F11D8">
                <w:rPr>
                  <w:rFonts w:ascii="Rockwell" w:eastAsia="Calibri" w:hAnsi="Rockwell"/>
                  <w:color w:val="0000FF"/>
                  <w:sz w:val="28"/>
                  <w:szCs w:val="28"/>
                </w:rPr>
                <w:t>www.radarsburkina.net</w:t>
              </w:r>
              <w:bookmarkEnd w:id="653"/>
            </w:hyperlink>
          </w:p>
          <w:p w14:paraId="6ACCC82E"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FAC313B" w14:textId="77777777">
        <w:trPr>
          <w:trHeight w:val="567"/>
          <w:jc w:val="center"/>
        </w:trPr>
        <w:tc>
          <w:tcPr>
            <w:tcW w:w="988" w:type="dxa"/>
          </w:tcPr>
          <w:p w14:paraId="26D288D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39</w:t>
            </w:r>
          </w:p>
        </w:tc>
        <w:tc>
          <w:tcPr>
            <w:tcW w:w="3827" w:type="dxa"/>
            <w:vAlign w:val="center"/>
          </w:tcPr>
          <w:p w14:paraId="75D88EF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Net Afrique</w:t>
            </w:r>
          </w:p>
        </w:tc>
        <w:tc>
          <w:tcPr>
            <w:tcW w:w="4835" w:type="dxa"/>
            <w:vAlign w:val="bottom"/>
          </w:tcPr>
          <w:p w14:paraId="0FF2C64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6" w:history="1">
              <w:bookmarkStart w:id="654" w:name="_Toc175128652"/>
              <w:r w:rsidR="00912BAE" w:rsidRPr="003F11D8">
                <w:rPr>
                  <w:rFonts w:ascii="Rockwell" w:eastAsia="Calibri" w:hAnsi="Rockwell"/>
                  <w:color w:val="0000FF"/>
                  <w:sz w:val="28"/>
                  <w:szCs w:val="28"/>
                </w:rPr>
                <w:t>www.netafrique.net</w:t>
              </w:r>
              <w:bookmarkEnd w:id="654"/>
            </w:hyperlink>
          </w:p>
        </w:tc>
      </w:tr>
      <w:tr w:rsidR="00733207" w14:paraId="40BA276E" w14:textId="77777777">
        <w:trPr>
          <w:trHeight w:val="567"/>
          <w:jc w:val="center"/>
        </w:trPr>
        <w:tc>
          <w:tcPr>
            <w:tcW w:w="988" w:type="dxa"/>
          </w:tcPr>
          <w:p w14:paraId="3BE9962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40</w:t>
            </w:r>
          </w:p>
        </w:tc>
        <w:tc>
          <w:tcPr>
            <w:tcW w:w="3827" w:type="dxa"/>
            <w:vAlign w:val="center"/>
          </w:tcPr>
          <w:p w14:paraId="0B330C0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Sentinelle.bf</w:t>
            </w:r>
          </w:p>
        </w:tc>
        <w:tc>
          <w:tcPr>
            <w:tcW w:w="4835" w:type="dxa"/>
            <w:vAlign w:val="center"/>
          </w:tcPr>
          <w:p w14:paraId="406012B3"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7" w:history="1">
              <w:bookmarkStart w:id="655" w:name="_Toc175128653"/>
              <w:r w:rsidR="00912BAE" w:rsidRPr="003F11D8">
                <w:rPr>
                  <w:rFonts w:ascii="Rockwell" w:eastAsia="Calibri" w:hAnsi="Rockwell"/>
                  <w:color w:val="0000FF"/>
                  <w:sz w:val="28"/>
                  <w:szCs w:val="28"/>
                </w:rPr>
                <w:t>www.sentinellebf.com</w:t>
              </w:r>
              <w:bookmarkEnd w:id="655"/>
            </w:hyperlink>
          </w:p>
        </w:tc>
      </w:tr>
      <w:tr w:rsidR="00733207" w14:paraId="70A5F1CC" w14:textId="77777777">
        <w:trPr>
          <w:trHeight w:val="567"/>
          <w:jc w:val="center"/>
        </w:trPr>
        <w:tc>
          <w:tcPr>
            <w:tcW w:w="988" w:type="dxa"/>
          </w:tcPr>
          <w:p w14:paraId="40878EF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41</w:t>
            </w:r>
          </w:p>
        </w:tc>
        <w:tc>
          <w:tcPr>
            <w:tcW w:w="3827" w:type="dxa"/>
            <w:vAlign w:val="center"/>
          </w:tcPr>
          <w:p w14:paraId="2B8451B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islam.bf</w:t>
            </w:r>
          </w:p>
        </w:tc>
        <w:tc>
          <w:tcPr>
            <w:tcW w:w="4835" w:type="dxa"/>
            <w:vAlign w:val="bottom"/>
          </w:tcPr>
          <w:p w14:paraId="0E3F342B" w14:textId="77777777" w:rsidR="00733207" w:rsidRPr="003F11D8" w:rsidRDefault="00E06378">
            <w:pPr>
              <w:tabs>
                <w:tab w:val="left" w:pos="3119"/>
              </w:tabs>
              <w:spacing w:after="0" w:line="240" w:lineRule="auto"/>
              <w:jc w:val="both"/>
              <w:outlineLvl w:val="0"/>
              <w:rPr>
                <w:rFonts w:ascii="Rockwell" w:eastAsia="Calibri" w:hAnsi="Rockwell"/>
                <w:sz w:val="28"/>
                <w:szCs w:val="28"/>
                <w:lang w:val="en-US"/>
              </w:rPr>
            </w:pPr>
            <w:hyperlink r:id="rId108" w:history="1">
              <w:bookmarkStart w:id="656" w:name="_Toc175128654"/>
              <w:r w:rsidR="00912BAE" w:rsidRPr="003F11D8">
                <w:rPr>
                  <w:rFonts w:ascii="Rockwell" w:eastAsia="Calibri" w:hAnsi="Rockwell"/>
                  <w:color w:val="0000FF"/>
                  <w:sz w:val="28"/>
                  <w:szCs w:val="28"/>
                  <w:lang w:val="en-US"/>
                </w:rPr>
                <w:t>www.islam.bf.com</w:t>
              </w:r>
              <w:bookmarkEnd w:id="656"/>
            </w:hyperlink>
            <w:r w:rsidR="00912BAE" w:rsidRPr="003F11D8">
              <w:rPr>
                <w:rFonts w:ascii="Rockwell" w:eastAsia="Calibri" w:hAnsi="Rockwell"/>
                <w:sz w:val="28"/>
                <w:szCs w:val="28"/>
                <w:lang w:val="en-US"/>
              </w:rPr>
              <w:t xml:space="preserve"> </w:t>
            </w:r>
          </w:p>
          <w:p w14:paraId="29C11DEE" w14:textId="77777777" w:rsidR="00733207" w:rsidRPr="003F11D8" w:rsidRDefault="00733207">
            <w:pPr>
              <w:tabs>
                <w:tab w:val="left" w:pos="3119"/>
              </w:tabs>
              <w:spacing w:after="0" w:line="240" w:lineRule="auto"/>
              <w:jc w:val="both"/>
              <w:outlineLvl w:val="0"/>
              <w:rPr>
                <w:rFonts w:ascii="Rockwell" w:eastAsia="Calibri" w:hAnsi="Rockwell"/>
                <w:sz w:val="28"/>
                <w:szCs w:val="28"/>
                <w:lang w:val="en-US"/>
              </w:rPr>
            </w:pPr>
          </w:p>
        </w:tc>
      </w:tr>
      <w:tr w:rsidR="00733207" w14:paraId="68E336D4" w14:textId="77777777">
        <w:trPr>
          <w:trHeight w:val="567"/>
          <w:jc w:val="center"/>
        </w:trPr>
        <w:tc>
          <w:tcPr>
            <w:tcW w:w="988" w:type="dxa"/>
          </w:tcPr>
          <w:p w14:paraId="293A241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42</w:t>
            </w:r>
          </w:p>
        </w:tc>
        <w:tc>
          <w:tcPr>
            <w:tcW w:w="3827" w:type="dxa"/>
            <w:vAlign w:val="center"/>
          </w:tcPr>
          <w:p w14:paraId="36880989"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Gulmuinfo</w:t>
            </w:r>
            <w:proofErr w:type="spellEnd"/>
          </w:p>
        </w:tc>
        <w:tc>
          <w:tcPr>
            <w:tcW w:w="4835" w:type="dxa"/>
            <w:vAlign w:val="bottom"/>
          </w:tcPr>
          <w:p w14:paraId="1BE28B9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09" w:history="1">
              <w:bookmarkStart w:id="657" w:name="_Toc175128655"/>
              <w:r w:rsidR="00912BAE" w:rsidRPr="003F11D8">
                <w:rPr>
                  <w:rFonts w:ascii="Rockwell" w:eastAsia="Calibri" w:hAnsi="Rockwell"/>
                  <w:color w:val="0000FF"/>
                  <w:sz w:val="28"/>
                  <w:szCs w:val="28"/>
                </w:rPr>
                <w:t>www.gulmuinfo</w:t>
              </w:r>
              <w:bookmarkEnd w:id="657"/>
            </w:hyperlink>
          </w:p>
          <w:p w14:paraId="5D10CF07"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266D69D" w14:textId="77777777">
        <w:trPr>
          <w:trHeight w:val="567"/>
          <w:jc w:val="center"/>
        </w:trPr>
        <w:tc>
          <w:tcPr>
            <w:tcW w:w="988" w:type="dxa"/>
          </w:tcPr>
          <w:p w14:paraId="6FBB437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43</w:t>
            </w:r>
          </w:p>
        </w:tc>
        <w:tc>
          <w:tcPr>
            <w:tcW w:w="3827" w:type="dxa"/>
            <w:vAlign w:val="center"/>
          </w:tcPr>
          <w:p w14:paraId="7E1763D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Géo-Canal-info</w:t>
            </w:r>
          </w:p>
        </w:tc>
        <w:tc>
          <w:tcPr>
            <w:tcW w:w="4835" w:type="dxa"/>
            <w:vAlign w:val="bottom"/>
          </w:tcPr>
          <w:p w14:paraId="625E6A59"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0" w:history="1">
              <w:bookmarkStart w:id="658" w:name="_Toc175128656"/>
              <w:r w:rsidR="00912BAE" w:rsidRPr="003F11D8">
                <w:rPr>
                  <w:rFonts w:ascii="Rockwell" w:eastAsia="Calibri" w:hAnsi="Rockwell"/>
                  <w:color w:val="0000FF"/>
                  <w:sz w:val="28"/>
                  <w:szCs w:val="28"/>
                </w:rPr>
                <w:t>www.geo-canal.info</w:t>
              </w:r>
              <w:bookmarkEnd w:id="658"/>
            </w:hyperlink>
          </w:p>
          <w:p w14:paraId="5B22D589"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9C69393" w14:textId="77777777">
        <w:trPr>
          <w:trHeight w:val="567"/>
          <w:jc w:val="center"/>
        </w:trPr>
        <w:tc>
          <w:tcPr>
            <w:tcW w:w="988" w:type="dxa"/>
          </w:tcPr>
          <w:p w14:paraId="1E4429D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lastRenderedPageBreak/>
              <w:t>44</w:t>
            </w:r>
          </w:p>
        </w:tc>
        <w:tc>
          <w:tcPr>
            <w:tcW w:w="3827" w:type="dxa"/>
            <w:vAlign w:val="center"/>
          </w:tcPr>
          <w:p w14:paraId="3804F62B"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Kulture</w:t>
            </w:r>
            <w:proofErr w:type="spellEnd"/>
            <w:r>
              <w:rPr>
                <w:rFonts w:ascii="Rockwell" w:eastAsia="Calibri" w:hAnsi="Rockwell"/>
                <w:sz w:val="28"/>
                <w:szCs w:val="28"/>
              </w:rPr>
              <w:t xml:space="preserve"> </w:t>
            </w:r>
            <w:proofErr w:type="spellStart"/>
            <w:r>
              <w:rPr>
                <w:rFonts w:ascii="Rockwell" w:eastAsia="Calibri" w:hAnsi="Rockwell"/>
                <w:sz w:val="28"/>
                <w:szCs w:val="28"/>
              </w:rPr>
              <w:t>kibare</w:t>
            </w:r>
            <w:proofErr w:type="spellEnd"/>
          </w:p>
        </w:tc>
        <w:tc>
          <w:tcPr>
            <w:tcW w:w="4835" w:type="dxa"/>
            <w:vAlign w:val="bottom"/>
          </w:tcPr>
          <w:p w14:paraId="31648EC9"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59" w:name="_Toc175128657"/>
            <w:r w:rsidRPr="003F11D8">
              <w:rPr>
                <w:rFonts w:ascii="Rockwell" w:eastAsia="Calibri" w:hAnsi="Rockwell"/>
                <w:sz w:val="28"/>
                <w:szCs w:val="28"/>
              </w:rPr>
              <w:t>www.kulturekibare.com</w:t>
            </w:r>
            <w:bookmarkEnd w:id="659"/>
          </w:p>
        </w:tc>
      </w:tr>
      <w:tr w:rsidR="00733207" w14:paraId="6844DE71" w14:textId="77777777">
        <w:trPr>
          <w:trHeight w:val="567"/>
          <w:jc w:val="center"/>
        </w:trPr>
        <w:tc>
          <w:tcPr>
            <w:tcW w:w="988" w:type="dxa"/>
          </w:tcPr>
          <w:p w14:paraId="5218777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45</w:t>
            </w:r>
          </w:p>
        </w:tc>
        <w:tc>
          <w:tcPr>
            <w:tcW w:w="3827" w:type="dxa"/>
            <w:vAlign w:val="center"/>
          </w:tcPr>
          <w:p w14:paraId="0FAB32C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 Le Monde Rural</w:t>
            </w:r>
          </w:p>
        </w:tc>
        <w:tc>
          <w:tcPr>
            <w:tcW w:w="4835" w:type="dxa"/>
            <w:vAlign w:val="bottom"/>
          </w:tcPr>
          <w:p w14:paraId="35C8828B"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60" w:name="_Toc175128658"/>
            <w:r w:rsidRPr="003F11D8">
              <w:rPr>
                <w:rFonts w:ascii="Rockwell" w:eastAsia="Calibri" w:hAnsi="Rockwell"/>
                <w:sz w:val="28"/>
                <w:szCs w:val="28"/>
              </w:rPr>
              <w:t>www.lemonderural.bf</w:t>
            </w:r>
            <w:bookmarkEnd w:id="660"/>
          </w:p>
        </w:tc>
      </w:tr>
      <w:tr w:rsidR="00733207" w14:paraId="54E18A33" w14:textId="77777777">
        <w:trPr>
          <w:trHeight w:val="567"/>
          <w:jc w:val="center"/>
        </w:trPr>
        <w:tc>
          <w:tcPr>
            <w:tcW w:w="988" w:type="dxa"/>
          </w:tcPr>
          <w:p w14:paraId="35168DF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46</w:t>
            </w:r>
          </w:p>
        </w:tc>
        <w:tc>
          <w:tcPr>
            <w:tcW w:w="3827" w:type="dxa"/>
            <w:vAlign w:val="center"/>
          </w:tcPr>
          <w:p w14:paraId="3D51DCD5"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Infoculturedufaso</w:t>
            </w:r>
            <w:proofErr w:type="spellEnd"/>
          </w:p>
        </w:tc>
        <w:tc>
          <w:tcPr>
            <w:tcW w:w="4835" w:type="dxa"/>
            <w:vAlign w:val="center"/>
          </w:tcPr>
          <w:p w14:paraId="08919A85"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61" w:name="_Toc175128659"/>
            <w:r w:rsidRPr="003F11D8">
              <w:rPr>
                <w:rFonts w:ascii="Rockwell" w:eastAsia="Calibri" w:hAnsi="Rockwell"/>
                <w:sz w:val="28"/>
                <w:szCs w:val="28"/>
              </w:rPr>
              <w:t>www.infoculturedufaso.net</w:t>
            </w:r>
            <w:bookmarkEnd w:id="661"/>
          </w:p>
        </w:tc>
      </w:tr>
      <w:tr w:rsidR="00733207" w14:paraId="456BD511" w14:textId="77777777">
        <w:trPr>
          <w:trHeight w:val="567"/>
          <w:jc w:val="center"/>
        </w:trPr>
        <w:tc>
          <w:tcPr>
            <w:tcW w:w="988" w:type="dxa"/>
          </w:tcPr>
          <w:p w14:paraId="6B7FB4F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47</w:t>
            </w:r>
          </w:p>
        </w:tc>
        <w:tc>
          <w:tcPr>
            <w:tcW w:w="3827" w:type="dxa"/>
            <w:vAlign w:val="center"/>
          </w:tcPr>
          <w:p w14:paraId="1D4E8442"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Afriktilgré</w:t>
            </w:r>
            <w:proofErr w:type="spellEnd"/>
          </w:p>
        </w:tc>
        <w:tc>
          <w:tcPr>
            <w:tcW w:w="4835" w:type="dxa"/>
            <w:vAlign w:val="center"/>
          </w:tcPr>
          <w:p w14:paraId="68349CAF"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62" w:name="_Toc175128660"/>
            <w:r w:rsidRPr="003F11D8">
              <w:rPr>
                <w:rFonts w:ascii="Rockwell" w:eastAsia="Calibri" w:hAnsi="Rockwell"/>
                <w:sz w:val="28"/>
                <w:szCs w:val="28"/>
              </w:rPr>
              <w:t>www.Afriktilgre.com</w:t>
            </w:r>
            <w:bookmarkEnd w:id="662"/>
          </w:p>
        </w:tc>
      </w:tr>
      <w:tr w:rsidR="00733207" w14:paraId="35225BE1" w14:textId="77777777">
        <w:trPr>
          <w:trHeight w:val="567"/>
          <w:jc w:val="center"/>
        </w:trPr>
        <w:tc>
          <w:tcPr>
            <w:tcW w:w="988" w:type="dxa"/>
          </w:tcPr>
          <w:p w14:paraId="54D9D1C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48</w:t>
            </w:r>
          </w:p>
        </w:tc>
        <w:tc>
          <w:tcPr>
            <w:tcW w:w="3827" w:type="dxa"/>
            <w:vAlign w:val="center"/>
          </w:tcPr>
          <w:p w14:paraId="4352A38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LA TRIBUNE DU FASO</w:t>
            </w:r>
          </w:p>
        </w:tc>
        <w:tc>
          <w:tcPr>
            <w:tcW w:w="4835" w:type="dxa"/>
            <w:vAlign w:val="center"/>
          </w:tcPr>
          <w:p w14:paraId="54575345"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63" w:name="_Toc175128661"/>
            <w:r w:rsidRPr="003F11D8">
              <w:rPr>
                <w:rFonts w:ascii="Rockwell" w:eastAsia="Calibri" w:hAnsi="Rockwell"/>
                <w:sz w:val="28"/>
                <w:szCs w:val="28"/>
              </w:rPr>
              <w:t>www.latribunedufaso.net</w:t>
            </w:r>
            <w:bookmarkEnd w:id="663"/>
          </w:p>
        </w:tc>
      </w:tr>
      <w:tr w:rsidR="00733207" w14:paraId="6F04091F" w14:textId="77777777">
        <w:trPr>
          <w:trHeight w:val="567"/>
          <w:jc w:val="center"/>
        </w:trPr>
        <w:tc>
          <w:tcPr>
            <w:tcW w:w="988" w:type="dxa"/>
          </w:tcPr>
          <w:p w14:paraId="022B8A1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49</w:t>
            </w:r>
          </w:p>
        </w:tc>
        <w:tc>
          <w:tcPr>
            <w:tcW w:w="3827" w:type="dxa"/>
            <w:vAlign w:val="center"/>
          </w:tcPr>
          <w:p w14:paraId="5B5DC63C"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Bizya</w:t>
            </w:r>
            <w:proofErr w:type="spellEnd"/>
            <w:r>
              <w:rPr>
                <w:rFonts w:ascii="Rockwell" w:eastAsia="Calibri" w:hAnsi="Rockwell"/>
                <w:sz w:val="28"/>
                <w:szCs w:val="28"/>
              </w:rPr>
              <w:t xml:space="preserve"> </w:t>
            </w:r>
            <w:proofErr w:type="spellStart"/>
            <w:r>
              <w:rPr>
                <w:rFonts w:ascii="Rockwell" w:eastAsia="Calibri" w:hAnsi="Rockwell"/>
                <w:sz w:val="28"/>
                <w:szCs w:val="28"/>
              </w:rPr>
              <w:t>Africa</w:t>
            </w:r>
            <w:proofErr w:type="spellEnd"/>
          </w:p>
        </w:tc>
        <w:tc>
          <w:tcPr>
            <w:tcW w:w="4835" w:type="dxa"/>
            <w:vAlign w:val="bottom"/>
          </w:tcPr>
          <w:p w14:paraId="378ACDE2"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1" w:history="1">
              <w:bookmarkStart w:id="664" w:name="_Toc175128662"/>
              <w:r w:rsidR="00912BAE" w:rsidRPr="003F11D8">
                <w:rPr>
                  <w:rFonts w:ascii="Rockwell" w:eastAsia="Calibri" w:hAnsi="Rockwell"/>
                  <w:color w:val="0000FF"/>
                  <w:sz w:val="28"/>
                  <w:szCs w:val="28"/>
                </w:rPr>
                <w:t>www.biznesskibaya.com</w:t>
              </w:r>
              <w:bookmarkEnd w:id="664"/>
            </w:hyperlink>
          </w:p>
          <w:p w14:paraId="630918A9"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05BABE05" w14:textId="77777777">
        <w:trPr>
          <w:trHeight w:val="567"/>
          <w:jc w:val="center"/>
        </w:trPr>
        <w:tc>
          <w:tcPr>
            <w:tcW w:w="988" w:type="dxa"/>
          </w:tcPr>
          <w:p w14:paraId="08DEE28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50</w:t>
            </w:r>
          </w:p>
        </w:tc>
        <w:tc>
          <w:tcPr>
            <w:tcW w:w="3827" w:type="dxa"/>
            <w:vAlign w:val="center"/>
          </w:tcPr>
          <w:p w14:paraId="69A4F6A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Ouest Info</w:t>
            </w:r>
          </w:p>
        </w:tc>
        <w:tc>
          <w:tcPr>
            <w:tcW w:w="4835" w:type="dxa"/>
            <w:vAlign w:val="bottom"/>
          </w:tcPr>
          <w:p w14:paraId="789886C4"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65" w:name="_Toc175128663"/>
            <w:r w:rsidRPr="003F11D8">
              <w:rPr>
                <w:rFonts w:ascii="Rockwell" w:eastAsia="Calibri" w:hAnsi="Rockwell"/>
                <w:color w:val="0000FF"/>
                <w:sz w:val="28"/>
                <w:szCs w:val="28"/>
              </w:rPr>
              <w:t>www.ouestinfo.bf</w:t>
            </w:r>
            <w:bookmarkEnd w:id="665"/>
            <w:r w:rsidRPr="003F11D8">
              <w:rPr>
                <w:rFonts w:ascii="Rockwell" w:eastAsia="Calibri" w:hAnsi="Rockwell"/>
                <w:sz w:val="28"/>
                <w:szCs w:val="28"/>
              </w:rPr>
              <w:t xml:space="preserve"> </w:t>
            </w:r>
          </w:p>
          <w:p w14:paraId="0E76FC5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14AF717" w14:textId="77777777">
        <w:trPr>
          <w:trHeight w:val="567"/>
          <w:jc w:val="center"/>
        </w:trPr>
        <w:tc>
          <w:tcPr>
            <w:tcW w:w="988" w:type="dxa"/>
          </w:tcPr>
          <w:p w14:paraId="68186C5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51</w:t>
            </w:r>
          </w:p>
        </w:tc>
        <w:tc>
          <w:tcPr>
            <w:tcW w:w="3827" w:type="dxa"/>
            <w:vAlign w:val="center"/>
          </w:tcPr>
          <w:p w14:paraId="0C00BA4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 POST</w:t>
            </w:r>
          </w:p>
        </w:tc>
        <w:tc>
          <w:tcPr>
            <w:tcW w:w="4835" w:type="dxa"/>
            <w:vAlign w:val="bottom"/>
          </w:tcPr>
          <w:p w14:paraId="12F798AE"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66" w:name="_Toc175128664"/>
            <w:r w:rsidRPr="003F11D8">
              <w:rPr>
                <w:rFonts w:ascii="Rockwell" w:eastAsia="Calibri" w:hAnsi="Rockwell"/>
                <w:sz w:val="28"/>
                <w:szCs w:val="28"/>
              </w:rPr>
              <w:t>www.fasopost.net</w:t>
            </w:r>
            <w:bookmarkEnd w:id="666"/>
          </w:p>
          <w:p w14:paraId="3FA8FEFD"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3005E80D" w14:textId="77777777">
        <w:trPr>
          <w:trHeight w:val="567"/>
          <w:jc w:val="center"/>
        </w:trPr>
        <w:tc>
          <w:tcPr>
            <w:tcW w:w="988" w:type="dxa"/>
          </w:tcPr>
          <w:p w14:paraId="43F61CA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52</w:t>
            </w:r>
          </w:p>
        </w:tc>
        <w:tc>
          <w:tcPr>
            <w:tcW w:w="3827" w:type="dxa"/>
            <w:vAlign w:val="center"/>
          </w:tcPr>
          <w:p w14:paraId="53B4F5D9" w14:textId="77777777" w:rsidR="00733207" w:rsidRDefault="00912BAE">
            <w:pPr>
              <w:spacing w:after="0" w:line="240" w:lineRule="auto"/>
              <w:jc w:val="both"/>
              <w:rPr>
                <w:rFonts w:ascii="Rockwell" w:eastAsia="Calibri" w:hAnsi="Rockwell"/>
                <w:sz w:val="28"/>
                <w:szCs w:val="28"/>
              </w:rPr>
            </w:pPr>
            <w:proofErr w:type="spellStart"/>
            <w:proofErr w:type="gramStart"/>
            <w:r>
              <w:rPr>
                <w:rFonts w:ascii="Rockwell" w:eastAsia="Calibri" w:hAnsi="Rockwell"/>
                <w:sz w:val="28"/>
                <w:szCs w:val="28"/>
              </w:rPr>
              <w:t>femininactu</w:t>
            </w:r>
            <w:proofErr w:type="spellEnd"/>
            <w:proofErr w:type="gramEnd"/>
          </w:p>
        </w:tc>
        <w:tc>
          <w:tcPr>
            <w:tcW w:w="4835" w:type="dxa"/>
            <w:vAlign w:val="bottom"/>
          </w:tcPr>
          <w:p w14:paraId="604869DC"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2" w:history="1">
              <w:bookmarkStart w:id="667" w:name="_Toc175128665"/>
              <w:r w:rsidR="00912BAE" w:rsidRPr="003F11D8">
                <w:rPr>
                  <w:rFonts w:ascii="Rockwell" w:eastAsia="Calibri" w:hAnsi="Rockwell"/>
                  <w:sz w:val="28"/>
                  <w:szCs w:val="28"/>
                </w:rPr>
                <w:t>www.feminin</w:t>
              </w:r>
            </w:hyperlink>
            <w:r w:rsidR="00912BAE" w:rsidRPr="003F11D8">
              <w:rPr>
                <w:rFonts w:ascii="Rockwell" w:eastAsia="Calibri" w:hAnsi="Rockwell"/>
                <w:sz w:val="28"/>
                <w:szCs w:val="28"/>
              </w:rPr>
              <w:t>actu.com</w:t>
            </w:r>
            <w:bookmarkEnd w:id="667"/>
          </w:p>
          <w:p w14:paraId="55120991"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460061F3" w14:textId="77777777">
        <w:trPr>
          <w:trHeight w:val="567"/>
          <w:jc w:val="center"/>
        </w:trPr>
        <w:tc>
          <w:tcPr>
            <w:tcW w:w="988" w:type="dxa"/>
          </w:tcPr>
          <w:p w14:paraId="6DA4158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53</w:t>
            </w:r>
          </w:p>
        </w:tc>
        <w:tc>
          <w:tcPr>
            <w:tcW w:w="3827" w:type="dxa"/>
            <w:vAlign w:val="center"/>
          </w:tcPr>
          <w:p w14:paraId="4ADB084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Ouaganews.net</w:t>
            </w:r>
          </w:p>
        </w:tc>
        <w:tc>
          <w:tcPr>
            <w:tcW w:w="4835" w:type="dxa"/>
            <w:vAlign w:val="bottom"/>
          </w:tcPr>
          <w:p w14:paraId="4FDA6297"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3" w:history="1">
              <w:bookmarkStart w:id="668" w:name="_Toc175128666"/>
              <w:r w:rsidR="00912BAE" w:rsidRPr="003F11D8">
                <w:rPr>
                  <w:rFonts w:ascii="Rockwell" w:eastAsia="Calibri" w:hAnsi="Rockwell"/>
                  <w:color w:val="0000FF"/>
                  <w:sz w:val="28"/>
                  <w:szCs w:val="28"/>
                </w:rPr>
                <w:t>www.ouaganews.net</w:t>
              </w:r>
              <w:bookmarkEnd w:id="668"/>
            </w:hyperlink>
          </w:p>
          <w:p w14:paraId="080514EC"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1EDAEE2B" w14:textId="77777777">
        <w:trPr>
          <w:trHeight w:val="567"/>
          <w:jc w:val="center"/>
        </w:trPr>
        <w:tc>
          <w:tcPr>
            <w:tcW w:w="988" w:type="dxa"/>
          </w:tcPr>
          <w:p w14:paraId="17BA744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54</w:t>
            </w:r>
          </w:p>
        </w:tc>
        <w:tc>
          <w:tcPr>
            <w:tcW w:w="3827" w:type="dxa"/>
            <w:vAlign w:val="center"/>
          </w:tcPr>
          <w:p w14:paraId="670CA3AF"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Nahourinews</w:t>
            </w:r>
            <w:proofErr w:type="spellEnd"/>
          </w:p>
        </w:tc>
        <w:tc>
          <w:tcPr>
            <w:tcW w:w="4835" w:type="dxa"/>
            <w:vAlign w:val="bottom"/>
          </w:tcPr>
          <w:p w14:paraId="6AF0581F"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4" w:history="1">
              <w:bookmarkStart w:id="669" w:name="_Toc175128667"/>
              <w:r w:rsidR="00912BAE" w:rsidRPr="003F11D8">
                <w:rPr>
                  <w:rFonts w:ascii="Rockwell" w:eastAsia="Calibri" w:hAnsi="Rockwell"/>
                  <w:color w:val="0000FF"/>
                  <w:sz w:val="28"/>
                  <w:szCs w:val="28"/>
                </w:rPr>
                <w:t>www.nahourinews.bf</w:t>
              </w:r>
              <w:bookmarkEnd w:id="669"/>
            </w:hyperlink>
          </w:p>
          <w:p w14:paraId="21719E84"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637DDEF" w14:textId="77777777">
        <w:trPr>
          <w:trHeight w:val="567"/>
          <w:jc w:val="center"/>
        </w:trPr>
        <w:tc>
          <w:tcPr>
            <w:tcW w:w="988" w:type="dxa"/>
          </w:tcPr>
          <w:p w14:paraId="4FEFB4A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55</w:t>
            </w:r>
          </w:p>
        </w:tc>
        <w:tc>
          <w:tcPr>
            <w:tcW w:w="3827" w:type="dxa"/>
            <w:vAlign w:val="center"/>
          </w:tcPr>
          <w:p w14:paraId="39F213A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Vox </w:t>
            </w:r>
            <w:proofErr w:type="spellStart"/>
            <w:r>
              <w:rPr>
                <w:rFonts w:ascii="Rockwell" w:eastAsia="Calibri" w:hAnsi="Rockwell"/>
                <w:sz w:val="28"/>
                <w:szCs w:val="28"/>
              </w:rPr>
              <w:t>Kultur</w:t>
            </w:r>
            <w:proofErr w:type="spellEnd"/>
          </w:p>
        </w:tc>
        <w:tc>
          <w:tcPr>
            <w:tcW w:w="4835" w:type="dxa"/>
            <w:vAlign w:val="bottom"/>
          </w:tcPr>
          <w:p w14:paraId="16E8D539"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5" w:history="1">
              <w:bookmarkStart w:id="670" w:name="_Toc175128668"/>
              <w:r w:rsidR="00912BAE" w:rsidRPr="003F11D8">
                <w:rPr>
                  <w:rFonts w:ascii="Rockwell" w:eastAsia="Calibri" w:hAnsi="Rockwell"/>
                  <w:color w:val="0000FF"/>
                  <w:sz w:val="28"/>
                  <w:szCs w:val="28"/>
                </w:rPr>
                <w:t>www.voxkultur.com</w:t>
              </w:r>
              <w:bookmarkEnd w:id="670"/>
            </w:hyperlink>
          </w:p>
          <w:p w14:paraId="7D48A03A"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4BCE45FF" w14:textId="77777777">
        <w:trPr>
          <w:trHeight w:val="567"/>
          <w:jc w:val="center"/>
        </w:trPr>
        <w:tc>
          <w:tcPr>
            <w:tcW w:w="988" w:type="dxa"/>
          </w:tcPr>
          <w:p w14:paraId="084A064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56</w:t>
            </w:r>
          </w:p>
        </w:tc>
        <w:tc>
          <w:tcPr>
            <w:tcW w:w="3827" w:type="dxa"/>
            <w:vAlign w:val="center"/>
          </w:tcPr>
          <w:p w14:paraId="1ADE725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CS Médias</w:t>
            </w:r>
          </w:p>
        </w:tc>
        <w:tc>
          <w:tcPr>
            <w:tcW w:w="4835" w:type="dxa"/>
            <w:vAlign w:val="bottom"/>
          </w:tcPr>
          <w:p w14:paraId="62D5F43C" w14:textId="77777777" w:rsidR="00733207" w:rsidRPr="003F11D8" w:rsidRDefault="00912BAE">
            <w:pPr>
              <w:tabs>
                <w:tab w:val="left" w:pos="3119"/>
              </w:tabs>
              <w:spacing w:after="0" w:line="240" w:lineRule="auto"/>
              <w:jc w:val="both"/>
              <w:outlineLvl w:val="0"/>
              <w:rPr>
                <w:rFonts w:ascii="Rockwell" w:eastAsia="Calibri" w:hAnsi="Rockwell"/>
                <w:sz w:val="28"/>
                <w:szCs w:val="28"/>
                <w:lang w:val="en-US"/>
              </w:rPr>
            </w:pPr>
            <w:bookmarkStart w:id="671" w:name="_Toc175128669"/>
            <w:r w:rsidRPr="003F11D8">
              <w:rPr>
                <w:rFonts w:ascii="Rockwell" w:eastAsia="Calibri" w:hAnsi="Rockwell"/>
                <w:sz w:val="28"/>
                <w:szCs w:val="28"/>
                <w:lang w:val="en-US"/>
              </w:rPr>
              <w:t>www.biznesskibaya.com</w:t>
            </w:r>
            <w:bookmarkEnd w:id="671"/>
          </w:p>
          <w:p w14:paraId="45078035" w14:textId="77777777" w:rsidR="00733207" w:rsidRPr="003F11D8" w:rsidRDefault="00733207">
            <w:pPr>
              <w:tabs>
                <w:tab w:val="left" w:pos="3119"/>
              </w:tabs>
              <w:spacing w:after="0" w:line="240" w:lineRule="auto"/>
              <w:jc w:val="both"/>
              <w:outlineLvl w:val="0"/>
              <w:rPr>
                <w:rFonts w:ascii="Rockwell" w:eastAsia="Calibri" w:hAnsi="Rockwell"/>
                <w:sz w:val="28"/>
                <w:szCs w:val="28"/>
                <w:lang w:val="en-US"/>
              </w:rPr>
            </w:pPr>
          </w:p>
        </w:tc>
      </w:tr>
      <w:tr w:rsidR="00733207" w14:paraId="703D1032" w14:textId="77777777">
        <w:trPr>
          <w:trHeight w:val="567"/>
          <w:jc w:val="center"/>
        </w:trPr>
        <w:tc>
          <w:tcPr>
            <w:tcW w:w="988" w:type="dxa"/>
          </w:tcPr>
          <w:p w14:paraId="4360322F" w14:textId="77777777" w:rsidR="00733207" w:rsidRDefault="00912BAE">
            <w:pPr>
              <w:spacing w:after="0" w:line="240" w:lineRule="auto"/>
              <w:jc w:val="both"/>
              <w:rPr>
                <w:rFonts w:ascii="Rockwell" w:eastAsia="Calibri" w:hAnsi="Rockwell"/>
                <w:sz w:val="28"/>
                <w:szCs w:val="28"/>
                <w:lang w:val="en-US"/>
              </w:rPr>
            </w:pPr>
            <w:r>
              <w:rPr>
                <w:rFonts w:ascii="Rockwell" w:eastAsia="Calibri" w:hAnsi="Rockwell"/>
                <w:sz w:val="28"/>
                <w:szCs w:val="28"/>
                <w:lang w:val="en-US"/>
              </w:rPr>
              <w:t>57</w:t>
            </w:r>
          </w:p>
        </w:tc>
        <w:tc>
          <w:tcPr>
            <w:tcW w:w="3827" w:type="dxa"/>
            <w:vAlign w:val="center"/>
          </w:tcPr>
          <w:p w14:paraId="5C721A27" w14:textId="77777777" w:rsidR="00733207" w:rsidRDefault="00912BAE">
            <w:pPr>
              <w:spacing w:after="0" w:line="240" w:lineRule="auto"/>
              <w:jc w:val="both"/>
              <w:rPr>
                <w:rFonts w:ascii="Rockwell" w:eastAsia="Calibri" w:hAnsi="Rockwell"/>
                <w:sz w:val="28"/>
                <w:szCs w:val="28"/>
              </w:rPr>
            </w:pPr>
            <w:proofErr w:type="spellStart"/>
            <w:proofErr w:type="gramStart"/>
            <w:r>
              <w:rPr>
                <w:rFonts w:ascii="Rockwell" w:eastAsia="Calibri" w:hAnsi="Rockwell"/>
                <w:sz w:val="28"/>
                <w:szCs w:val="28"/>
              </w:rPr>
              <w:t>filinfo</w:t>
            </w:r>
            <w:proofErr w:type="spellEnd"/>
            <w:proofErr w:type="gramEnd"/>
          </w:p>
        </w:tc>
        <w:tc>
          <w:tcPr>
            <w:tcW w:w="4835" w:type="dxa"/>
            <w:vAlign w:val="bottom"/>
          </w:tcPr>
          <w:p w14:paraId="2062254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6" w:history="1">
              <w:bookmarkStart w:id="672" w:name="_Toc175128670"/>
              <w:r w:rsidR="00912BAE" w:rsidRPr="003F11D8">
                <w:rPr>
                  <w:rFonts w:ascii="Rockwell" w:eastAsia="Calibri" w:hAnsi="Rockwell"/>
                  <w:color w:val="0000FF"/>
                  <w:sz w:val="28"/>
                  <w:szCs w:val="28"/>
                </w:rPr>
                <w:t>www.fiinfos.net</w:t>
              </w:r>
              <w:bookmarkEnd w:id="672"/>
            </w:hyperlink>
          </w:p>
        </w:tc>
      </w:tr>
      <w:tr w:rsidR="00733207" w14:paraId="115EE7EC" w14:textId="77777777">
        <w:trPr>
          <w:trHeight w:val="567"/>
          <w:jc w:val="center"/>
        </w:trPr>
        <w:tc>
          <w:tcPr>
            <w:tcW w:w="988" w:type="dxa"/>
          </w:tcPr>
          <w:p w14:paraId="71A3549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58</w:t>
            </w:r>
          </w:p>
        </w:tc>
        <w:tc>
          <w:tcPr>
            <w:tcW w:w="3827" w:type="dxa"/>
            <w:vAlign w:val="center"/>
          </w:tcPr>
          <w:p w14:paraId="21F0D33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Timbanews.net</w:t>
            </w:r>
          </w:p>
        </w:tc>
        <w:tc>
          <w:tcPr>
            <w:tcW w:w="4835" w:type="dxa"/>
            <w:vAlign w:val="center"/>
          </w:tcPr>
          <w:p w14:paraId="2EE48F6C"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7" w:history="1">
              <w:bookmarkStart w:id="673" w:name="_Toc175128671"/>
              <w:r w:rsidR="00912BAE" w:rsidRPr="003F11D8">
                <w:rPr>
                  <w:rFonts w:ascii="Rockwell" w:eastAsia="Calibri" w:hAnsi="Rockwell"/>
                  <w:color w:val="0000FF"/>
                  <w:sz w:val="28"/>
                  <w:szCs w:val="28"/>
                </w:rPr>
                <w:t>www.timbanews.net</w:t>
              </w:r>
              <w:bookmarkEnd w:id="673"/>
            </w:hyperlink>
            <w:r w:rsidR="00912BAE" w:rsidRPr="003F11D8">
              <w:rPr>
                <w:rFonts w:ascii="Rockwell" w:eastAsia="Calibri" w:hAnsi="Rockwell"/>
                <w:sz w:val="28"/>
                <w:szCs w:val="28"/>
              </w:rPr>
              <w:t xml:space="preserve"> </w:t>
            </w:r>
          </w:p>
        </w:tc>
      </w:tr>
      <w:tr w:rsidR="00733207" w14:paraId="499834E9" w14:textId="77777777">
        <w:trPr>
          <w:trHeight w:val="567"/>
          <w:jc w:val="center"/>
        </w:trPr>
        <w:tc>
          <w:tcPr>
            <w:tcW w:w="988" w:type="dxa"/>
          </w:tcPr>
          <w:p w14:paraId="00F3F95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59</w:t>
            </w:r>
          </w:p>
        </w:tc>
        <w:tc>
          <w:tcPr>
            <w:tcW w:w="3827" w:type="dxa"/>
            <w:vAlign w:val="center"/>
          </w:tcPr>
          <w:p w14:paraId="2AB23A34" w14:textId="77777777" w:rsidR="00733207" w:rsidRDefault="00912BAE">
            <w:pPr>
              <w:spacing w:after="0" w:line="240" w:lineRule="auto"/>
              <w:jc w:val="both"/>
              <w:rPr>
                <w:rFonts w:ascii="Rockwell" w:eastAsia="Calibri" w:hAnsi="Rockwell"/>
                <w:sz w:val="28"/>
                <w:szCs w:val="28"/>
                <w:lang w:val="en-US"/>
              </w:rPr>
            </w:pPr>
            <w:r>
              <w:rPr>
                <w:rFonts w:ascii="Rockwell" w:eastAsia="Calibri" w:hAnsi="Rockwell"/>
                <w:sz w:val="28"/>
                <w:szCs w:val="28"/>
                <w:lang w:val="en-US"/>
              </w:rPr>
              <w:t xml:space="preserve">Direct info </w:t>
            </w:r>
            <w:proofErr w:type="spellStart"/>
            <w:r>
              <w:rPr>
                <w:rFonts w:ascii="Rockwell" w:eastAsia="Calibri" w:hAnsi="Rockwell"/>
                <w:sz w:val="28"/>
                <w:szCs w:val="28"/>
                <w:lang w:val="en-US"/>
              </w:rPr>
              <w:t>burkina</w:t>
            </w:r>
            <w:proofErr w:type="spellEnd"/>
          </w:p>
        </w:tc>
        <w:tc>
          <w:tcPr>
            <w:tcW w:w="4835" w:type="dxa"/>
            <w:vAlign w:val="bottom"/>
          </w:tcPr>
          <w:p w14:paraId="126FB96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8" w:history="1">
              <w:bookmarkStart w:id="674" w:name="_Toc175128672"/>
              <w:r w:rsidR="00912BAE" w:rsidRPr="003F11D8">
                <w:rPr>
                  <w:rFonts w:ascii="Rockwell" w:eastAsia="Calibri" w:hAnsi="Rockwell"/>
                  <w:color w:val="0000FF"/>
                  <w:sz w:val="28"/>
                  <w:szCs w:val="28"/>
                </w:rPr>
                <w:t>www.directinfoburkina.net</w:t>
              </w:r>
              <w:bookmarkEnd w:id="674"/>
            </w:hyperlink>
          </w:p>
          <w:p w14:paraId="63297C7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3BA3E42" w14:textId="77777777">
        <w:trPr>
          <w:trHeight w:val="567"/>
          <w:jc w:val="center"/>
        </w:trPr>
        <w:tc>
          <w:tcPr>
            <w:tcW w:w="988" w:type="dxa"/>
          </w:tcPr>
          <w:p w14:paraId="6F32AAC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60</w:t>
            </w:r>
          </w:p>
        </w:tc>
        <w:tc>
          <w:tcPr>
            <w:tcW w:w="3827" w:type="dxa"/>
            <w:vAlign w:val="center"/>
          </w:tcPr>
          <w:p w14:paraId="05CF8AB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L’info H24</w:t>
            </w:r>
          </w:p>
        </w:tc>
        <w:tc>
          <w:tcPr>
            <w:tcW w:w="4835" w:type="dxa"/>
            <w:vAlign w:val="bottom"/>
          </w:tcPr>
          <w:p w14:paraId="060934EC"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19" w:history="1">
              <w:bookmarkStart w:id="675" w:name="_Toc175128673"/>
              <w:r w:rsidR="00912BAE" w:rsidRPr="003F11D8">
                <w:rPr>
                  <w:rFonts w:ascii="Rockwell" w:eastAsia="Calibri" w:hAnsi="Rockwell"/>
                  <w:color w:val="0000FF"/>
                  <w:sz w:val="28"/>
                  <w:szCs w:val="28"/>
                </w:rPr>
                <w:t>www.infoh24.info</w:t>
              </w:r>
              <w:bookmarkEnd w:id="675"/>
            </w:hyperlink>
          </w:p>
          <w:p w14:paraId="2A3FFC2E"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D840907" w14:textId="77777777">
        <w:trPr>
          <w:trHeight w:val="567"/>
          <w:jc w:val="center"/>
        </w:trPr>
        <w:tc>
          <w:tcPr>
            <w:tcW w:w="988" w:type="dxa"/>
          </w:tcPr>
          <w:p w14:paraId="4AF36A1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61</w:t>
            </w:r>
          </w:p>
        </w:tc>
        <w:tc>
          <w:tcPr>
            <w:tcW w:w="3827" w:type="dxa"/>
            <w:vAlign w:val="center"/>
          </w:tcPr>
          <w:p w14:paraId="773A58A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Wouninfo.net</w:t>
            </w:r>
          </w:p>
        </w:tc>
        <w:tc>
          <w:tcPr>
            <w:tcW w:w="4835" w:type="dxa"/>
            <w:vAlign w:val="bottom"/>
          </w:tcPr>
          <w:p w14:paraId="146836D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0" w:history="1">
              <w:bookmarkStart w:id="676" w:name="_Toc175128674"/>
              <w:r w:rsidR="00912BAE" w:rsidRPr="003F11D8">
                <w:rPr>
                  <w:rFonts w:ascii="Rockwell" w:eastAsia="Calibri" w:hAnsi="Rockwell"/>
                  <w:color w:val="0000FF"/>
                  <w:sz w:val="28"/>
                  <w:szCs w:val="28"/>
                </w:rPr>
                <w:t>www.wouninfo.net</w:t>
              </w:r>
              <w:bookmarkEnd w:id="676"/>
            </w:hyperlink>
          </w:p>
          <w:p w14:paraId="7D0CC239"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405A6566" w14:textId="77777777">
        <w:trPr>
          <w:trHeight w:val="567"/>
          <w:jc w:val="center"/>
        </w:trPr>
        <w:tc>
          <w:tcPr>
            <w:tcW w:w="988" w:type="dxa"/>
          </w:tcPr>
          <w:p w14:paraId="7D5B495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62</w:t>
            </w:r>
          </w:p>
        </w:tc>
        <w:tc>
          <w:tcPr>
            <w:tcW w:w="3827" w:type="dxa"/>
            <w:vAlign w:val="center"/>
          </w:tcPr>
          <w:p w14:paraId="3219EC9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EDUCMEDIAS</w:t>
            </w:r>
          </w:p>
        </w:tc>
        <w:tc>
          <w:tcPr>
            <w:tcW w:w="4835" w:type="dxa"/>
            <w:vAlign w:val="bottom"/>
          </w:tcPr>
          <w:p w14:paraId="27974B0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1" w:history="1">
              <w:bookmarkStart w:id="677" w:name="_Toc175128675"/>
              <w:r w:rsidR="00912BAE" w:rsidRPr="003F11D8">
                <w:rPr>
                  <w:rFonts w:ascii="Rockwell" w:eastAsia="Calibri" w:hAnsi="Rockwell"/>
                  <w:color w:val="0000FF"/>
                  <w:sz w:val="28"/>
                  <w:szCs w:val="28"/>
                </w:rPr>
                <w:t>www.educmedias.com</w:t>
              </w:r>
              <w:bookmarkEnd w:id="677"/>
            </w:hyperlink>
            <w:r w:rsidR="00912BAE" w:rsidRPr="003F11D8">
              <w:rPr>
                <w:rFonts w:ascii="Rockwell" w:eastAsia="Calibri" w:hAnsi="Rockwell"/>
                <w:sz w:val="28"/>
                <w:szCs w:val="28"/>
              </w:rPr>
              <w:t xml:space="preserve"> </w:t>
            </w:r>
          </w:p>
          <w:p w14:paraId="72263F61"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F979BC8" w14:textId="77777777">
        <w:trPr>
          <w:trHeight w:val="567"/>
          <w:jc w:val="center"/>
        </w:trPr>
        <w:tc>
          <w:tcPr>
            <w:tcW w:w="988" w:type="dxa"/>
          </w:tcPr>
          <w:p w14:paraId="66F0C8F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63</w:t>
            </w:r>
          </w:p>
        </w:tc>
        <w:tc>
          <w:tcPr>
            <w:tcW w:w="3827" w:type="dxa"/>
            <w:vAlign w:val="center"/>
          </w:tcPr>
          <w:p w14:paraId="3E5A1CB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Team2faso. </w:t>
            </w:r>
            <w:proofErr w:type="gramStart"/>
            <w:r>
              <w:rPr>
                <w:rFonts w:ascii="Rockwell" w:eastAsia="Calibri" w:hAnsi="Rockwell"/>
                <w:sz w:val="28"/>
                <w:szCs w:val="28"/>
              </w:rPr>
              <w:t>com</w:t>
            </w:r>
            <w:proofErr w:type="gramEnd"/>
          </w:p>
        </w:tc>
        <w:tc>
          <w:tcPr>
            <w:tcW w:w="4835" w:type="dxa"/>
            <w:vAlign w:val="bottom"/>
          </w:tcPr>
          <w:p w14:paraId="220D98A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2" w:history="1">
              <w:bookmarkStart w:id="678" w:name="_Toc175128676"/>
              <w:r w:rsidR="00912BAE" w:rsidRPr="003F11D8">
                <w:rPr>
                  <w:rFonts w:ascii="Rockwell" w:eastAsia="Calibri" w:hAnsi="Rockwell"/>
                  <w:sz w:val="28"/>
                  <w:szCs w:val="28"/>
                </w:rPr>
                <w:t>www.team2faso.com</w:t>
              </w:r>
              <w:bookmarkEnd w:id="678"/>
            </w:hyperlink>
          </w:p>
          <w:p w14:paraId="7EA58977"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0662FD75" w14:textId="77777777">
        <w:trPr>
          <w:trHeight w:val="747"/>
          <w:jc w:val="center"/>
        </w:trPr>
        <w:tc>
          <w:tcPr>
            <w:tcW w:w="988" w:type="dxa"/>
          </w:tcPr>
          <w:p w14:paraId="664023B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64</w:t>
            </w:r>
          </w:p>
        </w:tc>
        <w:tc>
          <w:tcPr>
            <w:tcW w:w="3827" w:type="dxa"/>
            <w:vAlign w:val="center"/>
          </w:tcPr>
          <w:p w14:paraId="45A812EE"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ActuBurkina</w:t>
            </w:r>
            <w:proofErr w:type="spellEnd"/>
          </w:p>
        </w:tc>
        <w:tc>
          <w:tcPr>
            <w:tcW w:w="4835" w:type="dxa"/>
            <w:vAlign w:val="bottom"/>
          </w:tcPr>
          <w:p w14:paraId="5BEB054F"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3" w:history="1">
              <w:bookmarkStart w:id="679" w:name="_Toc175128677"/>
              <w:r w:rsidR="00912BAE" w:rsidRPr="003F11D8">
                <w:rPr>
                  <w:rFonts w:ascii="Rockwell" w:eastAsia="Calibri" w:hAnsi="Rockwell"/>
                  <w:color w:val="0000FF"/>
                  <w:sz w:val="28"/>
                  <w:szCs w:val="28"/>
                </w:rPr>
                <w:t>www.actuburkina.net</w:t>
              </w:r>
              <w:bookmarkEnd w:id="679"/>
            </w:hyperlink>
          </w:p>
          <w:p w14:paraId="62378129"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39C90DF3" w14:textId="77777777">
        <w:trPr>
          <w:trHeight w:val="567"/>
          <w:jc w:val="center"/>
        </w:trPr>
        <w:tc>
          <w:tcPr>
            <w:tcW w:w="988" w:type="dxa"/>
          </w:tcPr>
          <w:p w14:paraId="1EA212C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lastRenderedPageBreak/>
              <w:t>65</w:t>
            </w:r>
          </w:p>
        </w:tc>
        <w:tc>
          <w:tcPr>
            <w:tcW w:w="3827" w:type="dxa"/>
            <w:vAlign w:val="center"/>
          </w:tcPr>
          <w:p w14:paraId="4AB70248"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Wouninfo</w:t>
            </w:r>
            <w:proofErr w:type="spellEnd"/>
          </w:p>
        </w:tc>
        <w:tc>
          <w:tcPr>
            <w:tcW w:w="4835" w:type="dxa"/>
            <w:vAlign w:val="bottom"/>
          </w:tcPr>
          <w:p w14:paraId="69DF618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4" w:history="1">
              <w:bookmarkStart w:id="680" w:name="_Toc175128678"/>
              <w:r w:rsidR="00912BAE" w:rsidRPr="003F11D8">
                <w:rPr>
                  <w:rFonts w:ascii="Rockwell" w:eastAsia="Calibri" w:hAnsi="Rockwell"/>
                  <w:color w:val="0000FF"/>
                  <w:sz w:val="28"/>
                  <w:szCs w:val="28"/>
                </w:rPr>
                <w:t>www.Woun-info.net</w:t>
              </w:r>
              <w:bookmarkEnd w:id="680"/>
            </w:hyperlink>
          </w:p>
          <w:p w14:paraId="39ACEB3B"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232277D" w14:textId="77777777">
        <w:trPr>
          <w:trHeight w:val="567"/>
          <w:jc w:val="center"/>
        </w:trPr>
        <w:tc>
          <w:tcPr>
            <w:tcW w:w="988" w:type="dxa"/>
          </w:tcPr>
          <w:p w14:paraId="7129031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66</w:t>
            </w:r>
          </w:p>
        </w:tc>
        <w:tc>
          <w:tcPr>
            <w:tcW w:w="3827" w:type="dxa"/>
            <w:vAlign w:val="center"/>
          </w:tcPr>
          <w:p w14:paraId="4D692F3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Lobspaalga.com</w:t>
            </w:r>
          </w:p>
        </w:tc>
        <w:tc>
          <w:tcPr>
            <w:tcW w:w="4835" w:type="dxa"/>
            <w:vAlign w:val="bottom"/>
          </w:tcPr>
          <w:p w14:paraId="574586D5"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5" w:history="1">
              <w:bookmarkStart w:id="681" w:name="_Toc175128679"/>
              <w:r w:rsidR="00912BAE" w:rsidRPr="003F11D8">
                <w:rPr>
                  <w:rFonts w:ascii="Rockwell" w:eastAsia="Calibri" w:hAnsi="Rockwell"/>
                  <w:color w:val="0000FF"/>
                  <w:sz w:val="28"/>
                  <w:szCs w:val="28"/>
                </w:rPr>
                <w:t>www.lobspaalga.com</w:t>
              </w:r>
              <w:bookmarkEnd w:id="681"/>
            </w:hyperlink>
            <w:r w:rsidR="00912BAE" w:rsidRPr="003F11D8">
              <w:rPr>
                <w:rFonts w:ascii="Rockwell" w:eastAsia="Calibri" w:hAnsi="Rockwell"/>
                <w:sz w:val="28"/>
                <w:szCs w:val="28"/>
              </w:rPr>
              <w:t xml:space="preserve"> </w:t>
            </w:r>
          </w:p>
          <w:p w14:paraId="21526D27"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50ABBF1" w14:textId="77777777">
        <w:trPr>
          <w:trHeight w:val="567"/>
          <w:jc w:val="center"/>
        </w:trPr>
        <w:tc>
          <w:tcPr>
            <w:tcW w:w="988" w:type="dxa"/>
          </w:tcPr>
          <w:p w14:paraId="0921DAB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67</w:t>
            </w:r>
          </w:p>
        </w:tc>
        <w:tc>
          <w:tcPr>
            <w:tcW w:w="3827" w:type="dxa"/>
            <w:vAlign w:val="center"/>
          </w:tcPr>
          <w:p w14:paraId="72CFDB4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Repère Magazine</w:t>
            </w:r>
          </w:p>
        </w:tc>
        <w:tc>
          <w:tcPr>
            <w:tcW w:w="4835" w:type="dxa"/>
            <w:vAlign w:val="bottom"/>
          </w:tcPr>
          <w:p w14:paraId="2B1BC28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6" w:history="1">
              <w:bookmarkStart w:id="682" w:name="_Toc175128680"/>
              <w:r w:rsidR="00912BAE" w:rsidRPr="003F11D8">
                <w:rPr>
                  <w:rFonts w:ascii="Rockwell" w:eastAsia="Calibri" w:hAnsi="Rockwell"/>
                  <w:color w:val="0000FF"/>
                  <w:sz w:val="28"/>
                  <w:szCs w:val="28"/>
                </w:rPr>
                <w:t>www.reperemagazine.com</w:t>
              </w:r>
              <w:bookmarkEnd w:id="682"/>
            </w:hyperlink>
            <w:r w:rsidR="00912BAE" w:rsidRPr="003F11D8">
              <w:rPr>
                <w:rFonts w:ascii="Rockwell" w:eastAsia="Calibri" w:hAnsi="Rockwell"/>
                <w:sz w:val="28"/>
                <w:szCs w:val="28"/>
              </w:rPr>
              <w:t xml:space="preserve"> </w:t>
            </w:r>
          </w:p>
          <w:p w14:paraId="6302949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4C09F855" w14:textId="77777777">
        <w:trPr>
          <w:trHeight w:val="567"/>
          <w:jc w:val="center"/>
        </w:trPr>
        <w:tc>
          <w:tcPr>
            <w:tcW w:w="988" w:type="dxa"/>
          </w:tcPr>
          <w:p w14:paraId="37D9060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68</w:t>
            </w:r>
          </w:p>
        </w:tc>
        <w:tc>
          <w:tcPr>
            <w:tcW w:w="3827" w:type="dxa"/>
            <w:vAlign w:val="center"/>
          </w:tcPr>
          <w:p w14:paraId="1BC8658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Afrikibaria.com</w:t>
            </w:r>
          </w:p>
        </w:tc>
        <w:tc>
          <w:tcPr>
            <w:tcW w:w="4835" w:type="dxa"/>
            <w:vAlign w:val="bottom"/>
          </w:tcPr>
          <w:p w14:paraId="71EAB31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7" w:history="1">
              <w:bookmarkStart w:id="683" w:name="_Toc175128681"/>
              <w:r w:rsidR="00912BAE" w:rsidRPr="003F11D8">
                <w:rPr>
                  <w:rFonts w:ascii="Rockwell" w:eastAsia="Calibri" w:hAnsi="Rockwell"/>
                  <w:color w:val="0000FF"/>
                  <w:sz w:val="28"/>
                  <w:szCs w:val="28"/>
                </w:rPr>
                <w:t>www.afrikibaria.com</w:t>
              </w:r>
              <w:bookmarkEnd w:id="683"/>
            </w:hyperlink>
            <w:r w:rsidR="00912BAE" w:rsidRPr="003F11D8">
              <w:rPr>
                <w:rFonts w:ascii="Rockwell" w:eastAsia="Calibri" w:hAnsi="Rockwell"/>
                <w:sz w:val="28"/>
                <w:szCs w:val="28"/>
              </w:rPr>
              <w:t xml:space="preserve"> </w:t>
            </w:r>
          </w:p>
          <w:p w14:paraId="53E67B0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E346CD5" w14:textId="77777777">
        <w:trPr>
          <w:trHeight w:val="567"/>
          <w:jc w:val="center"/>
        </w:trPr>
        <w:tc>
          <w:tcPr>
            <w:tcW w:w="988" w:type="dxa"/>
          </w:tcPr>
          <w:p w14:paraId="3588B15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69</w:t>
            </w:r>
          </w:p>
        </w:tc>
        <w:tc>
          <w:tcPr>
            <w:tcW w:w="3827" w:type="dxa"/>
            <w:vAlign w:val="center"/>
          </w:tcPr>
          <w:p w14:paraId="580835F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BURKINA NEWS</w:t>
            </w:r>
          </w:p>
        </w:tc>
        <w:tc>
          <w:tcPr>
            <w:tcW w:w="4835" w:type="dxa"/>
            <w:vAlign w:val="bottom"/>
          </w:tcPr>
          <w:p w14:paraId="4E0C0D8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8" w:history="1">
              <w:bookmarkStart w:id="684" w:name="_Toc175128682"/>
              <w:r w:rsidR="00912BAE" w:rsidRPr="003F11D8">
                <w:rPr>
                  <w:rFonts w:ascii="Rockwell" w:eastAsia="Calibri" w:hAnsi="Rockwell"/>
                  <w:color w:val="0000FF"/>
                  <w:sz w:val="28"/>
                  <w:szCs w:val="28"/>
                </w:rPr>
                <w:t>www.burkinanews.info</w:t>
              </w:r>
              <w:bookmarkEnd w:id="684"/>
            </w:hyperlink>
          </w:p>
          <w:p w14:paraId="3F6F5C4B"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48DD929" w14:textId="77777777">
        <w:trPr>
          <w:trHeight w:val="567"/>
          <w:jc w:val="center"/>
        </w:trPr>
        <w:tc>
          <w:tcPr>
            <w:tcW w:w="988" w:type="dxa"/>
          </w:tcPr>
          <w:p w14:paraId="2C3FFB1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70</w:t>
            </w:r>
          </w:p>
        </w:tc>
        <w:tc>
          <w:tcPr>
            <w:tcW w:w="3827" w:type="dxa"/>
            <w:vAlign w:val="center"/>
          </w:tcPr>
          <w:p w14:paraId="2D8FDD9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ECHOMAGAZINE</w:t>
            </w:r>
          </w:p>
        </w:tc>
        <w:tc>
          <w:tcPr>
            <w:tcW w:w="4835" w:type="dxa"/>
            <w:vAlign w:val="bottom"/>
          </w:tcPr>
          <w:p w14:paraId="0335EED0"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85" w:name="_Toc175128683"/>
            <w:r w:rsidRPr="003F11D8">
              <w:rPr>
                <w:rFonts w:ascii="Rockwell" w:eastAsia="Calibri" w:hAnsi="Rockwell"/>
                <w:sz w:val="28"/>
                <w:szCs w:val="28"/>
              </w:rPr>
              <w:t>www.echomagazinebf.com</w:t>
            </w:r>
            <w:bookmarkEnd w:id="685"/>
          </w:p>
          <w:p w14:paraId="47175111"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FFAF452" w14:textId="77777777">
        <w:trPr>
          <w:trHeight w:val="567"/>
          <w:jc w:val="center"/>
        </w:trPr>
        <w:tc>
          <w:tcPr>
            <w:tcW w:w="988" w:type="dxa"/>
          </w:tcPr>
          <w:p w14:paraId="30D0DE8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71</w:t>
            </w:r>
          </w:p>
        </w:tc>
        <w:tc>
          <w:tcPr>
            <w:tcW w:w="3827" w:type="dxa"/>
            <w:vAlign w:val="center"/>
          </w:tcPr>
          <w:p w14:paraId="57F5925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BURKINANEWS.Net</w:t>
            </w:r>
          </w:p>
        </w:tc>
        <w:tc>
          <w:tcPr>
            <w:tcW w:w="4835" w:type="dxa"/>
            <w:vAlign w:val="bottom"/>
          </w:tcPr>
          <w:p w14:paraId="02FC27BE"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686" w:name="_Toc175128684"/>
            <w:r w:rsidRPr="003F11D8">
              <w:rPr>
                <w:rFonts w:ascii="Rockwell" w:eastAsia="Calibri" w:hAnsi="Rockwell"/>
                <w:sz w:val="28"/>
                <w:szCs w:val="28"/>
              </w:rPr>
              <w:t>www.burkinanews.net</w:t>
            </w:r>
            <w:bookmarkEnd w:id="686"/>
          </w:p>
          <w:p w14:paraId="1E8D5B79"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266A236" w14:textId="77777777">
        <w:trPr>
          <w:trHeight w:val="567"/>
          <w:jc w:val="center"/>
        </w:trPr>
        <w:tc>
          <w:tcPr>
            <w:tcW w:w="988" w:type="dxa"/>
          </w:tcPr>
          <w:p w14:paraId="497BC39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72</w:t>
            </w:r>
          </w:p>
        </w:tc>
        <w:tc>
          <w:tcPr>
            <w:tcW w:w="3827" w:type="dxa"/>
            <w:vAlign w:val="center"/>
          </w:tcPr>
          <w:p w14:paraId="2C0B042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Ouest Actu</w:t>
            </w:r>
          </w:p>
        </w:tc>
        <w:tc>
          <w:tcPr>
            <w:tcW w:w="4835" w:type="dxa"/>
            <w:vAlign w:val="bottom"/>
          </w:tcPr>
          <w:p w14:paraId="3DAAD13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29" w:history="1">
              <w:bookmarkStart w:id="687" w:name="_Toc175128685"/>
              <w:r w:rsidR="00912BAE" w:rsidRPr="003F11D8">
                <w:rPr>
                  <w:rFonts w:ascii="Rockwell" w:eastAsia="Calibri" w:hAnsi="Rockwell"/>
                  <w:color w:val="0000FF"/>
                  <w:sz w:val="28"/>
                  <w:szCs w:val="28"/>
                </w:rPr>
                <w:t>www.ouestactu.info</w:t>
              </w:r>
              <w:bookmarkEnd w:id="687"/>
            </w:hyperlink>
          </w:p>
          <w:p w14:paraId="5D27FECB"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36A045C" w14:textId="77777777">
        <w:trPr>
          <w:trHeight w:val="567"/>
          <w:jc w:val="center"/>
        </w:trPr>
        <w:tc>
          <w:tcPr>
            <w:tcW w:w="988" w:type="dxa"/>
          </w:tcPr>
          <w:p w14:paraId="1669E41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73</w:t>
            </w:r>
          </w:p>
        </w:tc>
        <w:tc>
          <w:tcPr>
            <w:tcW w:w="3827" w:type="dxa"/>
            <w:vAlign w:val="center"/>
          </w:tcPr>
          <w:p w14:paraId="7760CEA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Eclair info</w:t>
            </w:r>
          </w:p>
        </w:tc>
        <w:tc>
          <w:tcPr>
            <w:tcW w:w="4835" w:type="dxa"/>
            <w:vAlign w:val="bottom"/>
          </w:tcPr>
          <w:p w14:paraId="57E3C2C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0" w:history="1">
              <w:bookmarkStart w:id="688" w:name="_Toc175128686"/>
              <w:r w:rsidR="00912BAE" w:rsidRPr="003F11D8">
                <w:rPr>
                  <w:rFonts w:ascii="Rockwell" w:eastAsia="Calibri" w:hAnsi="Rockwell"/>
                  <w:color w:val="0000FF"/>
                  <w:sz w:val="28"/>
                  <w:szCs w:val="28"/>
                </w:rPr>
                <w:t>www.eclairinfo.net</w:t>
              </w:r>
              <w:bookmarkEnd w:id="688"/>
            </w:hyperlink>
          </w:p>
          <w:p w14:paraId="57B3AFBF"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F014D65" w14:textId="77777777">
        <w:trPr>
          <w:trHeight w:val="567"/>
          <w:jc w:val="center"/>
        </w:trPr>
        <w:tc>
          <w:tcPr>
            <w:tcW w:w="988" w:type="dxa"/>
          </w:tcPr>
          <w:p w14:paraId="35360C5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74</w:t>
            </w:r>
          </w:p>
        </w:tc>
        <w:tc>
          <w:tcPr>
            <w:tcW w:w="3827" w:type="dxa"/>
            <w:vAlign w:val="center"/>
          </w:tcPr>
          <w:p w14:paraId="758389E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ACTUALITE.BF</w:t>
            </w:r>
          </w:p>
        </w:tc>
        <w:tc>
          <w:tcPr>
            <w:tcW w:w="4835" w:type="dxa"/>
            <w:vAlign w:val="bottom"/>
          </w:tcPr>
          <w:p w14:paraId="524DE371"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89" w:name="_Toc175128687"/>
            <w:r w:rsidRPr="003F11D8">
              <w:rPr>
                <w:rFonts w:ascii="Rockwell" w:eastAsia="Calibri" w:hAnsi="Rockwell"/>
                <w:sz w:val="28"/>
                <w:szCs w:val="28"/>
              </w:rPr>
              <w:t>WWW.ACTUALITE.BF</w:t>
            </w:r>
            <w:bookmarkEnd w:id="689"/>
          </w:p>
          <w:p w14:paraId="111B4A62"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C329B49" w14:textId="77777777">
        <w:trPr>
          <w:trHeight w:val="567"/>
          <w:jc w:val="center"/>
        </w:trPr>
        <w:tc>
          <w:tcPr>
            <w:tcW w:w="988" w:type="dxa"/>
          </w:tcPr>
          <w:p w14:paraId="5002F39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75</w:t>
            </w:r>
          </w:p>
        </w:tc>
        <w:tc>
          <w:tcPr>
            <w:tcW w:w="3827" w:type="dxa"/>
            <w:vAlign w:val="center"/>
          </w:tcPr>
          <w:p w14:paraId="1C477771"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Afrik</w:t>
            </w:r>
            <w:proofErr w:type="spellEnd"/>
            <w:r>
              <w:rPr>
                <w:rFonts w:ascii="Rockwell" w:eastAsia="Calibri" w:hAnsi="Rockwell"/>
                <w:sz w:val="28"/>
                <w:szCs w:val="28"/>
              </w:rPr>
              <w:t xml:space="preserve"> Presse</w:t>
            </w:r>
          </w:p>
        </w:tc>
        <w:tc>
          <w:tcPr>
            <w:tcW w:w="4835" w:type="dxa"/>
            <w:vAlign w:val="bottom"/>
          </w:tcPr>
          <w:p w14:paraId="7CBDFB7F"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131" w:history="1">
              <w:bookmarkStart w:id="690" w:name="_Toc175128688"/>
              <w:r w:rsidR="00912BAE" w:rsidRPr="003F11D8">
                <w:rPr>
                  <w:rFonts w:ascii="Rockwell" w:eastAsia="Calibri" w:hAnsi="Rockwell"/>
                  <w:color w:val="0000FF"/>
                  <w:sz w:val="28"/>
                  <w:szCs w:val="28"/>
                </w:rPr>
                <w:t>www.afrikpress.com</w:t>
              </w:r>
              <w:bookmarkEnd w:id="690"/>
            </w:hyperlink>
          </w:p>
          <w:p w14:paraId="1F6621FD"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8AAB988" w14:textId="77777777">
        <w:trPr>
          <w:trHeight w:val="567"/>
          <w:jc w:val="center"/>
        </w:trPr>
        <w:tc>
          <w:tcPr>
            <w:tcW w:w="988" w:type="dxa"/>
          </w:tcPr>
          <w:p w14:paraId="2C7C181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76</w:t>
            </w:r>
          </w:p>
        </w:tc>
        <w:tc>
          <w:tcPr>
            <w:tcW w:w="3827" w:type="dxa"/>
            <w:vAlign w:val="center"/>
          </w:tcPr>
          <w:p w14:paraId="2FB4D24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Live News </w:t>
            </w:r>
            <w:proofErr w:type="spellStart"/>
            <w:r>
              <w:rPr>
                <w:rFonts w:ascii="Rockwell" w:eastAsia="Calibri" w:hAnsi="Rockwell"/>
                <w:sz w:val="28"/>
                <w:szCs w:val="28"/>
              </w:rPr>
              <w:t>Africa</w:t>
            </w:r>
            <w:proofErr w:type="spellEnd"/>
          </w:p>
        </w:tc>
        <w:tc>
          <w:tcPr>
            <w:tcW w:w="4835" w:type="dxa"/>
            <w:vAlign w:val="bottom"/>
          </w:tcPr>
          <w:p w14:paraId="46F459F8"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91" w:name="_Toc175128689"/>
            <w:r w:rsidRPr="003F11D8">
              <w:rPr>
                <w:rFonts w:ascii="Rockwell" w:eastAsia="Calibri" w:hAnsi="Rockwell"/>
                <w:sz w:val="28"/>
                <w:szCs w:val="28"/>
              </w:rPr>
              <w:t>www.livenewsafrica.info</w:t>
            </w:r>
            <w:bookmarkEnd w:id="691"/>
          </w:p>
          <w:p w14:paraId="272C46F4"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1FD31C8B" w14:textId="77777777">
        <w:trPr>
          <w:trHeight w:val="567"/>
          <w:jc w:val="center"/>
        </w:trPr>
        <w:tc>
          <w:tcPr>
            <w:tcW w:w="988" w:type="dxa"/>
          </w:tcPr>
          <w:p w14:paraId="789C8DC4" w14:textId="77777777" w:rsidR="00733207" w:rsidRDefault="00733207">
            <w:pPr>
              <w:spacing w:after="0" w:line="240" w:lineRule="auto"/>
              <w:jc w:val="both"/>
              <w:rPr>
                <w:rFonts w:ascii="Rockwell" w:eastAsia="Calibri" w:hAnsi="Rockwell"/>
                <w:sz w:val="28"/>
                <w:szCs w:val="28"/>
              </w:rPr>
            </w:pPr>
          </w:p>
          <w:p w14:paraId="28F77F9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77</w:t>
            </w:r>
          </w:p>
        </w:tc>
        <w:tc>
          <w:tcPr>
            <w:tcW w:w="3827" w:type="dxa"/>
            <w:vAlign w:val="center"/>
          </w:tcPr>
          <w:p w14:paraId="39E72A43"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Noorinfos</w:t>
            </w:r>
            <w:proofErr w:type="spellEnd"/>
          </w:p>
        </w:tc>
        <w:tc>
          <w:tcPr>
            <w:tcW w:w="4835" w:type="dxa"/>
            <w:vAlign w:val="bottom"/>
          </w:tcPr>
          <w:p w14:paraId="744D14B8"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2" w:history="1">
              <w:bookmarkStart w:id="692" w:name="_Toc175128690"/>
              <w:r w:rsidR="00912BAE" w:rsidRPr="003F11D8">
                <w:rPr>
                  <w:rFonts w:ascii="Rockwell" w:eastAsia="Calibri" w:hAnsi="Rockwell"/>
                  <w:color w:val="0000FF"/>
                  <w:sz w:val="28"/>
                  <w:szCs w:val="28"/>
                </w:rPr>
                <w:t>www.noorinfos.com</w:t>
              </w:r>
              <w:bookmarkEnd w:id="692"/>
            </w:hyperlink>
          </w:p>
          <w:p w14:paraId="4C20C284"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088FEA2" w14:textId="77777777">
        <w:trPr>
          <w:trHeight w:val="567"/>
          <w:jc w:val="center"/>
        </w:trPr>
        <w:tc>
          <w:tcPr>
            <w:tcW w:w="988" w:type="dxa"/>
          </w:tcPr>
          <w:p w14:paraId="00FACB21" w14:textId="77777777" w:rsidR="00733207" w:rsidRDefault="00733207">
            <w:pPr>
              <w:spacing w:after="0" w:line="240" w:lineRule="auto"/>
              <w:jc w:val="both"/>
              <w:rPr>
                <w:rFonts w:ascii="Rockwell" w:eastAsia="Calibri" w:hAnsi="Rockwell"/>
                <w:sz w:val="28"/>
                <w:szCs w:val="28"/>
              </w:rPr>
            </w:pPr>
          </w:p>
          <w:p w14:paraId="304F612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78</w:t>
            </w:r>
          </w:p>
        </w:tc>
        <w:tc>
          <w:tcPr>
            <w:tcW w:w="3827" w:type="dxa"/>
            <w:vAlign w:val="center"/>
          </w:tcPr>
          <w:p w14:paraId="704F809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Bulletin Santé</w:t>
            </w:r>
          </w:p>
        </w:tc>
        <w:tc>
          <w:tcPr>
            <w:tcW w:w="4835" w:type="dxa"/>
            <w:vAlign w:val="bottom"/>
          </w:tcPr>
          <w:p w14:paraId="3505219F"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3" w:history="1">
              <w:bookmarkStart w:id="693" w:name="_Toc175128691"/>
              <w:r w:rsidR="00912BAE" w:rsidRPr="003F11D8">
                <w:rPr>
                  <w:rFonts w:ascii="Rockwell" w:eastAsia="Calibri" w:hAnsi="Rockwell"/>
                  <w:color w:val="0000FF"/>
                  <w:sz w:val="28"/>
                  <w:szCs w:val="28"/>
                </w:rPr>
                <w:t>www.bulletinsante.net</w:t>
              </w:r>
              <w:bookmarkEnd w:id="693"/>
            </w:hyperlink>
          </w:p>
          <w:p w14:paraId="20E79D44"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5F09CFF" w14:textId="77777777">
        <w:trPr>
          <w:trHeight w:val="567"/>
          <w:jc w:val="center"/>
        </w:trPr>
        <w:tc>
          <w:tcPr>
            <w:tcW w:w="988" w:type="dxa"/>
          </w:tcPr>
          <w:p w14:paraId="529D914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79</w:t>
            </w:r>
          </w:p>
        </w:tc>
        <w:tc>
          <w:tcPr>
            <w:tcW w:w="3827" w:type="dxa"/>
            <w:vAlign w:val="center"/>
          </w:tcPr>
          <w:p w14:paraId="01DA1C98"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Lessentiels</w:t>
            </w:r>
            <w:proofErr w:type="spellEnd"/>
          </w:p>
        </w:tc>
        <w:tc>
          <w:tcPr>
            <w:tcW w:w="4835" w:type="dxa"/>
            <w:vAlign w:val="bottom"/>
          </w:tcPr>
          <w:p w14:paraId="2787AC9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4" w:history="1">
              <w:bookmarkStart w:id="694" w:name="_Toc175128692"/>
              <w:r w:rsidR="00912BAE" w:rsidRPr="003F11D8">
                <w:rPr>
                  <w:rFonts w:ascii="Rockwell" w:eastAsia="Calibri" w:hAnsi="Rockwell"/>
                  <w:color w:val="0000FF"/>
                  <w:sz w:val="28"/>
                  <w:szCs w:val="28"/>
                </w:rPr>
                <w:t>www.lessentiels.net</w:t>
              </w:r>
              <w:bookmarkEnd w:id="694"/>
            </w:hyperlink>
          </w:p>
          <w:p w14:paraId="1AF5E220"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046821D" w14:textId="77777777">
        <w:trPr>
          <w:trHeight w:val="567"/>
          <w:jc w:val="center"/>
        </w:trPr>
        <w:tc>
          <w:tcPr>
            <w:tcW w:w="988" w:type="dxa"/>
          </w:tcPr>
          <w:p w14:paraId="5AC3C56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80</w:t>
            </w:r>
          </w:p>
        </w:tc>
        <w:tc>
          <w:tcPr>
            <w:tcW w:w="3827" w:type="dxa"/>
            <w:vAlign w:val="center"/>
          </w:tcPr>
          <w:p w14:paraId="2378769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VORTEX-INFOS</w:t>
            </w:r>
          </w:p>
        </w:tc>
        <w:tc>
          <w:tcPr>
            <w:tcW w:w="4835" w:type="dxa"/>
            <w:vAlign w:val="bottom"/>
          </w:tcPr>
          <w:p w14:paraId="5F6AD3A6"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695" w:name="_Toc175128693"/>
            <w:r w:rsidRPr="003F11D8">
              <w:rPr>
                <w:rFonts w:ascii="Rockwell" w:eastAsia="Calibri" w:hAnsi="Rockwell"/>
                <w:sz w:val="28"/>
                <w:szCs w:val="28"/>
              </w:rPr>
              <w:t>www.vortex-infos.net</w:t>
            </w:r>
            <w:bookmarkEnd w:id="695"/>
          </w:p>
        </w:tc>
      </w:tr>
      <w:tr w:rsidR="00733207" w14:paraId="49C40F2B" w14:textId="77777777">
        <w:trPr>
          <w:trHeight w:val="567"/>
          <w:jc w:val="center"/>
        </w:trPr>
        <w:tc>
          <w:tcPr>
            <w:tcW w:w="988" w:type="dxa"/>
          </w:tcPr>
          <w:p w14:paraId="4BFA613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81</w:t>
            </w:r>
          </w:p>
        </w:tc>
        <w:tc>
          <w:tcPr>
            <w:tcW w:w="3827" w:type="dxa"/>
            <w:vAlign w:val="center"/>
          </w:tcPr>
          <w:p w14:paraId="5F7023D1"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Globinfo</w:t>
            </w:r>
            <w:proofErr w:type="spellEnd"/>
          </w:p>
        </w:tc>
        <w:tc>
          <w:tcPr>
            <w:tcW w:w="4835" w:type="dxa"/>
            <w:vAlign w:val="bottom"/>
          </w:tcPr>
          <w:p w14:paraId="6C1AE28A"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5" w:history="1">
              <w:bookmarkStart w:id="696" w:name="_Toc175128694"/>
              <w:r w:rsidR="00912BAE" w:rsidRPr="003F11D8">
                <w:rPr>
                  <w:rFonts w:ascii="Rockwell" w:eastAsia="Calibri" w:hAnsi="Rockwell"/>
                  <w:color w:val="0000FF"/>
                  <w:sz w:val="28"/>
                  <w:szCs w:val="28"/>
                </w:rPr>
                <w:t>www.globinfos.com</w:t>
              </w:r>
              <w:bookmarkEnd w:id="696"/>
            </w:hyperlink>
          </w:p>
          <w:p w14:paraId="5E71AB4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330FBBCF" w14:textId="77777777">
        <w:trPr>
          <w:trHeight w:val="567"/>
          <w:jc w:val="center"/>
        </w:trPr>
        <w:tc>
          <w:tcPr>
            <w:tcW w:w="988" w:type="dxa"/>
          </w:tcPr>
          <w:p w14:paraId="0186B8B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82</w:t>
            </w:r>
          </w:p>
        </w:tc>
        <w:tc>
          <w:tcPr>
            <w:tcW w:w="3827" w:type="dxa"/>
            <w:vAlign w:val="center"/>
          </w:tcPr>
          <w:p w14:paraId="2868308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Faso7</w:t>
            </w:r>
          </w:p>
        </w:tc>
        <w:tc>
          <w:tcPr>
            <w:tcW w:w="4835" w:type="dxa"/>
            <w:vAlign w:val="bottom"/>
          </w:tcPr>
          <w:p w14:paraId="40195BF1" w14:textId="77777777" w:rsidR="00733207" w:rsidRPr="003F11D8" w:rsidRDefault="00E06378">
            <w:pPr>
              <w:tabs>
                <w:tab w:val="left" w:pos="3119"/>
              </w:tabs>
              <w:spacing w:after="0" w:line="240" w:lineRule="auto"/>
              <w:jc w:val="both"/>
              <w:outlineLvl w:val="0"/>
              <w:rPr>
                <w:rFonts w:ascii="Rockwell" w:eastAsia="Calibri" w:hAnsi="Rockwell"/>
                <w:sz w:val="28"/>
                <w:szCs w:val="28"/>
                <w:lang w:val="en-US"/>
              </w:rPr>
            </w:pPr>
            <w:hyperlink r:id="rId136" w:history="1">
              <w:bookmarkStart w:id="697" w:name="_Toc175128695"/>
              <w:r w:rsidR="00912BAE" w:rsidRPr="003F11D8">
                <w:rPr>
                  <w:rFonts w:ascii="Rockwell" w:eastAsia="Calibri" w:hAnsi="Rockwell"/>
                  <w:color w:val="0000FF"/>
                  <w:sz w:val="28"/>
                  <w:szCs w:val="28"/>
                  <w:lang w:val="en-US"/>
                </w:rPr>
                <w:t>www.faso7.com</w:t>
              </w:r>
              <w:bookmarkEnd w:id="697"/>
            </w:hyperlink>
          </w:p>
          <w:p w14:paraId="27E90FCC" w14:textId="77777777" w:rsidR="00733207" w:rsidRPr="003F11D8" w:rsidRDefault="00733207">
            <w:pPr>
              <w:tabs>
                <w:tab w:val="left" w:pos="3119"/>
              </w:tabs>
              <w:spacing w:after="0" w:line="240" w:lineRule="auto"/>
              <w:jc w:val="both"/>
              <w:outlineLvl w:val="0"/>
              <w:rPr>
                <w:rFonts w:ascii="Rockwell" w:eastAsia="Calibri" w:hAnsi="Rockwell"/>
                <w:sz w:val="28"/>
                <w:szCs w:val="28"/>
                <w:lang w:val="en-US"/>
              </w:rPr>
            </w:pPr>
          </w:p>
        </w:tc>
      </w:tr>
      <w:tr w:rsidR="00733207" w14:paraId="2E328807" w14:textId="77777777">
        <w:trPr>
          <w:trHeight w:val="567"/>
          <w:jc w:val="center"/>
        </w:trPr>
        <w:tc>
          <w:tcPr>
            <w:tcW w:w="988" w:type="dxa"/>
          </w:tcPr>
          <w:p w14:paraId="7DA4BE9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83</w:t>
            </w:r>
          </w:p>
        </w:tc>
        <w:tc>
          <w:tcPr>
            <w:tcW w:w="3827" w:type="dxa"/>
            <w:vAlign w:val="center"/>
          </w:tcPr>
          <w:p w14:paraId="343101F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BurkinaWeb.net</w:t>
            </w:r>
          </w:p>
        </w:tc>
        <w:tc>
          <w:tcPr>
            <w:tcW w:w="4835" w:type="dxa"/>
            <w:vAlign w:val="bottom"/>
          </w:tcPr>
          <w:p w14:paraId="57247F3F"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7" w:history="1">
              <w:bookmarkStart w:id="698" w:name="_Toc175128696"/>
              <w:r w:rsidR="00912BAE" w:rsidRPr="003F11D8">
                <w:rPr>
                  <w:rFonts w:ascii="Rockwell" w:eastAsia="Calibri" w:hAnsi="Rockwell"/>
                  <w:color w:val="0000FF"/>
                  <w:sz w:val="28"/>
                  <w:szCs w:val="28"/>
                </w:rPr>
                <w:t>www.burkinaweb.net</w:t>
              </w:r>
              <w:bookmarkEnd w:id="698"/>
            </w:hyperlink>
            <w:r w:rsidR="00912BAE" w:rsidRPr="003F11D8">
              <w:rPr>
                <w:rFonts w:ascii="Rockwell" w:eastAsia="Calibri" w:hAnsi="Rockwell"/>
                <w:sz w:val="28"/>
                <w:szCs w:val="28"/>
              </w:rPr>
              <w:t xml:space="preserve"> </w:t>
            </w:r>
          </w:p>
        </w:tc>
      </w:tr>
      <w:tr w:rsidR="00733207" w14:paraId="3C6D0411" w14:textId="77777777">
        <w:trPr>
          <w:trHeight w:val="567"/>
          <w:jc w:val="center"/>
        </w:trPr>
        <w:tc>
          <w:tcPr>
            <w:tcW w:w="988" w:type="dxa"/>
          </w:tcPr>
          <w:p w14:paraId="63993CD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84</w:t>
            </w:r>
          </w:p>
        </w:tc>
        <w:tc>
          <w:tcPr>
            <w:tcW w:w="3827" w:type="dxa"/>
            <w:vAlign w:val="center"/>
          </w:tcPr>
          <w:p w14:paraId="08C0358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Info Nature</w:t>
            </w:r>
          </w:p>
        </w:tc>
        <w:tc>
          <w:tcPr>
            <w:tcW w:w="4835" w:type="dxa"/>
            <w:vAlign w:val="bottom"/>
          </w:tcPr>
          <w:p w14:paraId="50D2A767"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38" w:history="1">
              <w:bookmarkStart w:id="699" w:name="_Toc175128697"/>
              <w:r w:rsidR="00912BAE" w:rsidRPr="003F11D8">
                <w:rPr>
                  <w:rFonts w:ascii="Rockwell" w:eastAsia="Calibri" w:hAnsi="Rockwell"/>
                  <w:color w:val="0000FF"/>
                  <w:sz w:val="28"/>
                  <w:szCs w:val="28"/>
                </w:rPr>
                <w:t>www.infonature.net</w:t>
              </w:r>
              <w:bookmarkEnd w:id="699"/>
            </w:hyperlink>
            <w:r w:rsidR="00912BAE" w:rsidRPr="003F11D8">
              <w:rPr>
                <w:rFonts w:ascii="Rockwell" w:eastAsia="Calibri" w:hAnsi="Rockwell"/>
                <w:sz w:val="28"/>
                <w:szCs w:val="28"/>
              </w:rPr>
              <w:t xml:space="preserve"> </w:t>
            </w:r>
          </w:p>
        </w:tc>
      </w:tr>
      <w:tr w:rsidR="00733207" w14:paraId="44BFB35D" w14:textId="77777777">
        <w:trPr>
          <w:trHeight w:val="567"/>
          <w:jc w:val="center"/>
        </w:trPr>
        <w:tc>
          <w:tcPr>
            <w:tcW w:w="988" w:type="dxa"/>
          </w:tcPr>
          <w:p w14:paraId="3D41DE5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85</w:t>
            </w:r>
          </w:p>
        </w:tc>
        <w:tc>
          <w:tcPr>
            <w:tcW w:w="3827" w:type="dxa"/>
            <w:vAlign w:val="center"/>
          </w:tcPr>
          <w:p w14:paraId="22FC55A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Groupe Média Plus Infos</w:t>
            </w:r>
          </w:p>
        </w:tc>
        <w:tc>
          <w:tcPr>
            <w:tcW w:w="4835" w:type="dxa"/>
            <w:vAlign w:val="bottom"/>
          </w:tcPr>
          <w:p w14:paraId="456DABAC"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139" w:history="1">
              <w:bookmarkStart w:id="700" w:name="_Toc175128698"/>
              <w:r w:rsidR="00912BAE" w:rsidRPr="003F11D8">
                <w:rPr>
                  <w:rFonts w:ascii="Rockwell" w:eastAsia="Calibri" w:hAnsi="Rockwell"/>
                  <w:color w:val="0000FF"/>
                  <w:sz w:val="28"/>
                  <w:szCs w:val="28"/>
                </w:rPr>
                <w:t>www.mediaplusinfo.com</w:t>
              </w:r>
              <w:bookmarkEnd w:id="700"/>
            </w:hyperlink>
          </w:p>
          <w:p w14:paraId="1B5FC971" w14:textId="77777777" w:rsidR="00733207" w:rsidRPr="003F11D8" w:rsidRDefault="00912BAE">
            <w:pPr>
              <w:tabs>
                <w:tab w:val="left" w:pos="3119"/>
              </w:tabs>
              <w:spacing w:after="0" w:line="240" w:lineRule="auto"/>
              <w:jc w:val="both"/>
              <w:outlineLvl w:val="0"/>
              <w:rPr>
                <w:rFonts w:ascii="Rockwell" w:eastAsia="Calibri" w:hAnsi="Rockwell"/>
                <w:sz w:val="28"/>
                <w:szCs w:val="28"/>
              </w:rPr>
            </w:pPr>
            <w:r w:rsidRPr="003F11D8">
              <w:rPr>
                <w:rFonts w:ascii="Rockwell" w:eastAsia="Calibri" w:hAnsi="Rockwell"/>
                <w:sz w:val="28"/>
                <w:szCs w:val="28"/>
              </w:rPr>
              <w:t xml:space="preserve"> </w:t>
            </w:r>
          </w:p>
        </w:tc>
      </w:tr>
      <w:tr w:rsidR="00733207" w14:paraId="15B63BF2" w14:textId="77777777">
        <w:trPr>
          <w:trHeight w:val="567"/>
          <w:jc w:val="center"/>
        </w:trPr>
        <w:tc>
          <w:tcPr>
            <w:tcW w:w="988" w:type="dxa"/>
          </w:tcPr>
          <w:p w14:paraId="0950E34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lastRenderedPageBreak/>
              <w:t>86</w:t>
            </w:r>
          </w:p>
        </w:tc>
        <w:tc>
          <w:tcPr>
            <w:tcW w:w="3827" w:type="dxa"/>
            <w:vAlign w:val="center"/>
          </w:tcPr>
          <w:p w14:paraId="7F2C1B9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Miroir de l’Info</w:t>
            </w:r>
          </w:p>
        </w:tc>
        <w:tc>
          <w:tcPr>
            <w:tcW w:w="4835" w:type="dxa"/>
            <w:vAlign w:val="bottom"/>
          </w:tcPr>
          <w:p w14:paraId="5A2B7946"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0" w:history="1">
              <w:bookmarkStart w:id="701" w:name="_Toc175128699"/>
              <w:r w:rsidR="00912BAE" w:rsidRPr="003F11D8">
                <w:rPr>
                  <w:rFonts w:ascii="Rockwell" w:eastAsia="Calibri" w:hAnsi="Rockwell"/>
                  <w:color w:val="0000FF"/>
                  <w:sz w:val="28"/>
                  <w:szCs w:val="28"/>
                </w:rPr>
                <w:t>www.lemiroirdelinfo.com</w:t>
              </w:r>
              <w:bookmarkEnd w:id="701"/>
            </w:hyperlink>
            <w:r w:rsidR="00912BAE" w:rsidRPr="003F11D8">
              <w:rPr>
                <w:rFonts w:ascii="Rockwell" w:eastAsia="Calibri" w:hAnsi="Rockwell"/>
                <w:sz w:val="28"/>
                <w:szCs w:val="28"/>
              </w:rPr>
              <w:t xml:space="preserve"> </w:t>
            </w:r>
          </w:p>
          <w:p w14:paraId="50D8515D"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1C46957D" w14:textId="77777777">
        <w:trPr>
          <w:trHeight w:val="567"/>
          <w:jc w:val="center"/>
        </w:trPr>
        <w:tc>
          <w:tcPr>
            <w:tcW w:w="988" w:type="dxa"/>
          </w:tcPr>
          <w:p w14:paraId="0B26809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87</w:t>
            </w:r>
          </w:p>
        </w:tc>
        <w:tc>
          <w:tcPr>
            <w:tcW w:w="3827" w:type="dxa"/>
            <w:vAlign w:val="center"/>
          </w:tcPr>
          <w:p w14:paraId="5F20EEB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Burkina7.com</w:t>
            </w:r>
          </w:p>
        </w:tc>
        <w:tc>
          <w:tcPr>
            <w:tcW w:w="4835" w:type="dxa"/>
            <w:vAlign w:val="bottom"/>
          </w:tcPr>
          <w:p w14:paraId="0D738B2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1" w:history="1">
              <w:bookmarkStart w:id="702" w:name="_Toc175128700"/>
              <w:r w:rsidR="00912BAE" w:rsidRPr="003F11D8">
                <w:rPr>
                  <w:rFonts w:ascii="Rockwell" w:eastAsia="Calibri" w:hAnsi="Rockwell"/>
                  <w:color w:val="0000FF"/>
                  <w:sz w:val="28"/>
                  <w:szCs w:val="28"/>
                </w:rPr>
                <w:t>www.Burkina7.com</w:t>
              </w:r>
              <w:bookmarkEnd w:id="702"/>
            </w:hyperlink>
            <w:r w:rsidR="00912BAE" w:rsidRPr="003F11D8">
              <w:rPr>
                <w:rFonts w:ascii="Rockwell" w:eastAsia="Calibri" w:hAnsi="Rockwell"/>
                <w:sz w:val="28"/>
                <w:szCs w:val="28"/>
              </w:rPr>
              <w:t xml:space="preserve"> </w:t>
            </w:r>
          </w:p>
          <w:p w14:paraId="24AD0286"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87741F8" w14:textId="77777777">
        <w:trPr>
          <w:trHeight w:val="567"/>
          <w:jc w:val="center"/>
        </w:trPr>
        <w:tc>
          <w:tcPr>
            <w:tcW w:w="988" w:type="dxa"/>
          </w:tcPr>
          <w:p w14:paraId="5AE1A8D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88</w:t>
            </w:r>
          </w:p>
        </w:tc>
        <w:tc>
          <w:tcPr>
            <w:tcW w:w="3827" w:type="dxa"/>
            <w:vAlign w:val="center"/>
          </w:tcPr>
          <w:p w14:paraId="1E16FE1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Nouvelles-infos</w:t>
            </w:r>
          </w:p>
        </w:tc>
        <w:tc>
          <w:tcPr>
            <w:tcW w:w="4835" w:type="dxa"/>
            <w:vAlign w:val="bottom"/>
          </w:tcPr>
          <w:p w14:paraId="731DDAB1"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2" w:history="1">
              <w:bookmarkStart w:id="703" w:name="_Toc175128701"/>
              <w:r w:rsidR="00912BAE" w:rsidRPr="003F11D8">
                <w:rPr>
                  <w:rFonts w:ascii="Rockwell" w:eastAsia="Calibri" w:hAnsi="Rockwell"/>
                  <w:color w:val="0000FF"/>
                  <w:sz w:val="28"/>
                  <w:szCs w:val="28"/>
                </w:rPr>
                <w:t>www.nouvelles-infos.bf</w:t>
              </w:r>
              <w:bookmarkEnd w:id="703"/>
            </w:hyperlink>
          </w:p>
          <w:p w14:paraId="5B5BB68E"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0D065B7B" w14:textId="77777777">
        <w:trPr>
          <w:trHeight w:val="567"/>
          <w:jc w:val="center"/>
        </w:trPr>
        <w:tc>
          <w:tcPr>
            <w:tcW w:w="988" w:type="dxa"/>
          </w:tcPr>
          <w:p w14:paraId="422AC5D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89</w:t>
            </w:r>
          </w:p>
        </w:tc>
        <w:tc>
          <w:tcPr>
            <w:tcW w:w="3827" w:type="dxa"/>
            <w:vAlign w:val="center"/>
          </w:tcPr>
          <w:p w14:paraId="7DF5E2BC" w14:textId="77777777" w:rsidR="00733207" w:rsidRDefault="00912BAE">
            <w:pPr>
              <w:spacing w:after="0" w:line="240" w:lineRule="auto"/>
              <w:jc w:val="both"/>
              <w:rPr>
                <w:rFonts w:ascii="Rockwell" w:eastAsia="Calibri" w:hAnsi="Rockwell"/>
                <w:sz w:val="28"/>
                <w:szCs w:val="28"/>
              </w:rPr>
            </w:pPr>
            <w:proofErr w:type="spellStart"/>
            <w:proofErr w:type="gramStart"/>
            <w:r>
              <w:rPr>
                <w:rFonts w:ascii="Rockwell" w:eastAsia="Calibri" w:hAnsi="Rockwell"/>
                <w:sz w:val="28"/>
                <w:szCs w:val="28"/>
              </w:rPr>
              <w:t>mediaplus</w:t>
            </w:r>
            <w:proofErr w:type="spellEnd"/>
            <w:proofErr w:type="gramEnd"/>
          </w:p>
        </w:tc>
        <w:tc>
          <w:tcPr>
            <w:tcW w:w="4835" w:type="dxa"/>
            <w:vAlign w:val="bottom"/>
          </w:tcPr>
          <w:p w14:paraId="5D08479F"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3" w:history="1">
              <w:bookmarkStart w:id="704" w:name="_Toc175128702"/>
              <w:r w:rsidR="00912BAE" w:rsidRPr="003F11D8">
                <w:rPr>
                  <w:rFonts w:ascii="Rockwell" w:eastAsia="Calibri" w:hAnsi="Rockwell"/>
                  <w:color w:val="0000FF"/>
                  <w:sz w:val="28"/>
                  <w:szCs w:val="28"/>
                </w:rPr>
                <w:t>www.mediaplusinfo.net</w:t>
              </w:r>
              <w:bookmarkEnd w:id="704"/>
            </w:hyperlink>
            <w:r w:rsidR="00912BAE" w:rsidRPr="003F11D8">
              <w:rPr>
                <w:rFonts w:ascii="Rockwell" w:eastAsia="Calibri" w:hAnsi="Rockwell"/>
                <w:sz w:val="28"/>
                <w:szCs w:val="28"/>
              </w:rPr>
              <w:t xml:space="preserve"> </w:t>
            </w:r>
          </w:p>
          <w:p w14:paraId="21B08C62"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5741810" w14:textId="77777777">
        <w:trPr>
          <w:trHeight w:val="567"/>
          <w:jc w:val="center"/>
        </w:trPr>
        <w:tc>
          <w:tcPr>
            <w:tcW w:w="988" w:type="dxa"/>
          </w:tcPr>
          <w:p w14:paraId="47F022E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90</w:t>
            </w:r>
          </w:p>
        </w:tc>
        <w:tc>
          <w:tcPr>
            <w:tcW w:w="3827" w:type="dxa"/>
            <w:vAlign w:val="center"/>
          </w:tcPr>
          <w:p w14:paraId="62789C23"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Mousso</w:t>
            </w:r>
            <w:proofErr w:type="spellEnd"/>
            <w:r>
              <w:rPr>
                <w:rFonts w:ascii="Rockwell" w:eastAsia="Calibri" w:hAnsi="Rockwell"/>
                <w:sz w:val="28"/>
                <w:szCs w:val="28"/>
              </w:rPr>
              <w:t xml:space="preserve"> News</w:t>
            </w:r>
          </w:p>
        </w:tc>
        <w:tc>
          <w:tcPr>
            <w:tcW w:w="4835" w:type="dxa"/>
            <w:vAlign w:val="bottom"/>
          </w:tcPr>
          <w:p w14:paraId="480AD3D7"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4" w:history="1">
              <w:bookmarkStart w:id="705" w:name="_Toc175128703"/>
              <w:r w:rsidR="00912BAE" w:rsidRPr="003F11D8">
                <w:rPr>
                  <w:rFonts w:ascii="Rockwell" w:eastAsia="Calibri" w:hAnsi="Rockwell"/>
                  <w:color w:val="0000FF"/>
                  <w:sz w:val="28"/>
                  <w:szCs w:val="28"/>
                </w:rPr>
                <w:t>www.moussonews.com</w:t>
              </w:r>
              <w:bookmarkEnd w:id="705"/>
            </w:hyperlink>
          </w:p>
          <w:p w14:paraId="626DB2E0"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593E5542" w14:textId="77777777">
        <w:trPr>
          <w:trHeight w:val="567"/>
          <w:jc w:val="center"/>
        </w:trPr>
        <w:tc>
          <w:tcPr>
            <w:tcW w:w="988" w:type="dxa"/>
          </w:tcPr>
          <w:p w14:paraId="71CBEBB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91</w:t>
            </w:r>
          </w:p>
        </w:tc>
        <w:tc>
          <w:tcPr>
            <w:tcW w:w="3827" w:type="dxa"/>
            <w:vAlign w:val="center"/>
          </w:tcPr>
          <w:p w14:paraId="371F87E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Digital Magazine Burkina Faso</w:t>
            </w:r>
          </w:p>
        </w:tc>
        <w:tc>
          <w:tcPr>
            <w:tcW w:w="4835" w:type="dxa"/>
            <w:vAlign w:val="bottom"/>
          </w:tcPr>
          <w:p w14:paraId="4FAD857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5" w:history="1">
              <w:bookmarkStart w:id="706" w:name="_Toc175128704"/>
              <w:r w:rsidR="00912BAE" w:rsidRPr="003F11D8">
                <w:rPr>
                  <w:rFonts w:ascii="Rockwell" w:eastAsia="Calibri" w:hAnsi="Rockwell"/>
                  <w:color w:val="0000FF"/>
                  <w:sz w:val="28"/>
                  <w:szCs w:val="28"/>
                </w:rPr>
                <w:t>www.digitalmagazine.bf</w:t>
              </w:r>
              <w:bookmarkEnd w:id="706"/>
            </w:hyperlink>
          </w:p>
          <w:p w14:paraId="4EE5997E"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FBA168D" w14:textId="77777777">
        <w:trPr>
          <w:trHeight w:val="567"/>
          <w:jc w:val="center"/>
        </w:trPr>
        <w:tc>
          <w:tcPr>
            <w:tcW w:w="988" w:type="dxa"/>
          </w:tcPr>
          <w:p w14:paraId="4759A0B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92</w:t>
            </w:r>
          </w:p>
        </w:tc>
        <w:tc>
          <w:tcPr>
            <w:tcW w:w="3827" w:type="dxa"/>
          </w:tcPr>
          <w:p w14:paraId="5476665D"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Burkinasoir</w:t>
            </w:r>
            <w:proofErr w:type="spellEnd"/>
          </w:p>
        </w:tc>
        <w:tc>
          <w:tcPr>
            <w:tcW w:w="4835" w:type="dxa"/>
          </w:tcPr>
          <w:p w14:paraId="5D41E33D"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146" w:history="1">
              <w:bookmarkStart w:id="707" w:name="_Toc175128705"/>
              <w:r w:rsidR="00912BAE" w:rsidRPr="003F11D8">
                <w:rPr>
                  <w:rFonts w:ascii="Rockwell" w:eastAsia="Calibri" w:hAnsi="Rockwell"/>
                  <w:color w:val="0000FF"/>
                  <w:sz w:val="28"/>
                  <w:szCs w:val="28"/>
                </w:rPr>
                <w:t>www.burkinasoir.net</w:t>
              </w:r>
              <w:bookmarkEnd w:id="707"/>
            </w:hyperlink>
          </w:p>
          <w:p w14:paraId="43B772C0"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37AB40D1" w14:textId="77777777">
        <w:trPr>
          <w:trHeight w:val="567"/>
          <w:jc w:val="center"/>
        </w:trPr>
        <w:tc>
          <w:tcPr>
            <w:tcW w:w="988" w:type="dxa"/>
          </w:tcPr>
          <w:p w14:paraId="5100012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93</w:t>
            </w:r>
          </w:p>
        </w:tc>
        <w:tc>
          <w:tcPr>
            <w:tcW w:w="3827" w:type="dxa"/>
          </w:tcPr>
          <w:p w14:paraId="08391E9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Infos Rapide</w:t>
            </w:r>
          </w:p>
        </w:tc>
        <w:tc>
          <w:tcPr>
            <w:tcW w:w="4835" w:type="dxa"/>
          </w:tcPr>
          <w:p w14:paraId="12577680"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7" w:history="1">
              <w:bookmarkStart w:id="708" w:name="_Toc175128706"/>
              <w:r w:rsidR="00912BAE" w:rsidRPr="003F11D8">
                <w:rPr>
                  <w:rFonts w:ascii="Rockwell" w:eastAsia="Calibri" w:hAnsi="Rockwell"/>
                  <w:color w:val="0000FF"/>
                  <w:sz w:val="28"/>
                  <w:szCs w:val="28"/>
                </w:rPr>
                <w:t>www.inforapide.net</w:t>
              </w:r>
              <w:bookmarkEnd w:id="708"/>
            </w:hyperlink>
          </w:p>
          <w:p w14:paraId="4069D8B4"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7FC39AA0" w14:textId="77777777">
        <w:trPr>
          <w:trHeight w:val="567"/>
          <w:jc w:val="center"/>
        </w:trPr>
        <w:tc>
          <w:tcPr>
            <w:tcW w:w="988" w:type="dxa"/>
          </w:tcPr>
          <w:p w14:paraId="3FE25A1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94</w:t>
            </w:r>
          </w:p>
        </w:tc>
        <w:tc>
          <w:tcPr>
            <w:tcW w:w="3827" w:type="dxa"/>
          </w:tcPr>
          <w:p w14:paraId="69A6AE6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emergenceislam.net</w:t>
            </w:r>
          </w:p>
        </w:tc>
        <w:tc>
          <w:tcPr>
            <w:tcW w:w="4835" w:type="dxa"/>
          </w:tcPr>
          <w:p w14:paraId="3A7D3F92"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48" w:history="1">
              <w:bookmarkStart w:id="709" w:name="_Toc175128707"/>
              <w:r w:rsidR="00912BAE" w:rsidRPr="003F11D8">
                <w:rPr>
                  <w:rFonts w:ascii="Rockwell" w:eastAsia="Calibri" w:hAnsi="Rockwell"/>
                  <w:color w:val="0000FF"/>
                  <w:sz w:val="28"/>
                  <w:szCs w:val="28"/>
                </w:rPr>
                <w:t>www.emergenceislam.net</w:t>
              </w:r>
              <w:bookmarkEnd w:id="709"/>
            </w:hyperlink>
          </w:p>
          <w:p w14:paraId="71FC8693"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6361FAD4" w14:textId="77777777">
        <w:trPr>
          <w:trHeight w:val="567"/>
          <w:jc w:val="center"/>
        </w:trPr>
        <w:tc>
          <w:tcPr>
            <w:tcW w:w="988" w:type="dxa"/>
          </w:tcPr>
          <w:p w14:paraId="0E0FFB9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95</w:t>
            </w:r>
          </w:p>
        </w:tc>
        <w:tc>
          <w:tcPr>
            <w:tcW w:w="3827" w:type="dxa"/>
          </w:tcPr>
          <w:p w14:paraId="163489E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noocultures.info</w:t>
            </w:r>
          </w:p>
        </w:tc>
        <w:tc>
          <w:tcPr>
            <w:tcW w:w="4835" w:type="dxa"/>
          </w:tcPr>
          <w:p w14:paraId="789A6064" w14:textId="77777777" w:rsidR="00733207" w:rsidRPr="003F11D8" w:rsidRDefault="00E06378">
            <w:pPr>
              <w:tabs>
                <w:tab w:val="left" w:pos="3119"/>
              </w:tabs>
              <w:spacing w:after="0" w:line="240" w:lineRule="auto"/>
              <w:jc w:val="both"/>
              <w:outlineLvl w:val="0"/>
              <w:rPr>
                <w:rFonts w:ascii="Rockwell" w:eastAsia="Calibri" w:hAnsi="Rockwell"/>
                <w:color w:val="0000FF"/>
                <w:sz w:val="28"/>
                <w:szCs w:val="28"/>
              </w:rPr>
            </w:pPr>
            <w:hyperlink r:id="rId149" w:history="1">
              <w:bookmarkStart w:id="710" w:name="_Toc175128708"/>
              <w:r w:rsidR="00912BAE" w:rsidRPr="003F11D8">
                <w:rPr>
                  <w:rFonts w:ascii="Rockwell" w:eastAsia="Calibri" w:hAnsi="Rockwell"/>
                  <w:color w:val="0000FF"/>
                  <w:sz w:val="28"/>
                  <w:szCs w:val="28"/>
                </w:rPr>
                <w:t>www.noocultures.info</w:t>
              </w:r>
              <w:bookmarkEnd w:id="710"/>
            </w:hyperlink>
          </w:p>
          <w:p w14:paraId="5570CC7F"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0EC27320" w14:textId="77777777">
        <w:trPr>
          <w:trHeight w:val="567"/>
          <w:jc w:val="center"/>
        </w:trPr>
        <w:tc>
          <w:tcPr>
            <w:tcW w:w="988" w:type="dxa"/>
          </w:tcPr>
          <w:p w14:paraId="40E076E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96</w:t>
            </w:r>
          </w:p>
        </w:tc>
        <w:tc>
          <w:tcPr>
            <w:tcW w:w="3827" w:type="dxa"/>
          </w:tcPr>
          <w:p w14:paraId="7E3F28C0"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Culturosport</w:t>
            </w:r>
            <w:proofErr w:type="spellEnd"/>
            <w:r>
              <w:rPr>
                <w:rFonts w:ascii="Rockwell" w:eastAsia="Calibri" w:hAnsi="Rockwell"/>
                <w:sz w:val="28"/>
                <w:szCs w:val="28"/>
              </w:rPr>
              <w:t xml:space="preserve"> infos</w:t>
            </w:r>
          </w:p>
        </w:tc>
        <w:tc>
          <w:tcPr>
            <w:tcW w:w="4835" w:type="dxa"/>
          </w:tcPr>
          <w:p w14:paraId="580B58F7"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50" w:history="1">
              <w:bookmarkStart w:id="711" w:name="_Toc175128709"/>
              <w:r w:rsidR="00912BAE" w:rsidRPr="003F11D8">
                <w:rPr>
                  <w:rFonts w:ascii="Rockwell" w:eastAsia="Calibri" w:hAnsi="Rockwell"/>
                  <w:color w:val="0000FF"/>
                  <w:sz w:val="28"/>
                  <w:szCs w:val="28"/>
                </w:rPr>
                <w:t>www.culturosportinfo.net</w:t>
              </w:r>
              <w:bookmarkEnd w:id="711"/>
            </w:hyperlink>
          </w:p>
          <w:p w14:paraId="4660E874" w14:textId="77777777" w:rsidR="00733207" w:rsidRPr="003F11D8" w:rsidRDefault="00733207">
            <w:pPr>
              <w:tabs>
                <w:tab w:val="left" w:pos="3119"/>
              </w:tabs>
              <w:spacing w:after="0" w:line="240" w:lineRule="auto"/>
              <w:jc w:val="both"/>
              <w:outlineLvl w:val="0"/>
              <w:rPr>
                <w:rFonts w:ascii="Rockwell" w:eastAsia="Calibri" w:hAnsi="Rockwell"/>
                <w:sz w:val="28"/>
                <w:szCs w:val="28"/>
              </w:rPr>
            </w:pPr>
          </w:p>
        </w:tc>
      </w:tr>
      <w:tr w:rsidR="00733207" w14:paraId="21BEC1AB" w14:textId="77777777">
        <w:trPr>
          <w:trHeight w:val="567"/>
          <w:jc w:val="center"/>
        </w:trPr>
        <w:tc>
          <w:tcPr>
            <w:tcW w:w="988" w:type="dxa"/>
          </w:tcPr>
          <w:p w14:paraId="54C742F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97</w:t>
            </w:r>
          </w:p>
        </w:tc>
        <w:tc>
          <w:tcPr>
            <w:tcW w:w="3827" w:type="dxa"/>
          </w:tcPr>
          <w:p w14:paraId="7B606A8C"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Yirimédia</w:t>
            </w:r>
            <w:proofErr w:type="spellEnd"/>
          </w:p>
        </w:tc>
        <w:tc>
          <w:tcPr>
            <w:tcW w:w="4835" w:type="dxa"/>
          </w:tcPr>
          <w:p w14:paraId="3CE469E1"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2" w:name="_Toc175128710"/>
            <w:r w:rsidRPr="003F11D8">
              <w:rPr>
                <w:rFonts w:ascii="Rockwell" w:eastAsia="Calibri" w:hAnsi="Rockwell"/>
                <w:sz w:val="28"/>
                <w:szCs w:val="28"/>
              </w:rPr>
              <w:t>www.yirimedia.com</w:t>
            </w:r>
            <w:bookmarkEnd w:id="712"/>
          </w:p>
        </w:tc>
      </w:tr>
      <w:tr w:rsidR="00733207" w14:paraId="39F96C23" w14:textId="77777777">
        <w:trPr>
          <w:trHeight w:val="567"/>
          <w:jc w:val="center"/>
        </w:trPr>
        <w:tc>
          <w:tcPr>
            <w:tcW w:w="988" w:type="dxa"/>
          </w:tcPr>
          <w:p w14:paraId="2E188A4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98</w:t>
            </w:r>
          </w:p>
        </w:tc>
        <w:tc>
          <w:tcPr>
            <w:tcW w:w="3827" w:type="dxa"/>
          </w:tcPr>
          <w:p w14:paraId="7E7E62E4"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Agrorésilience</w:t>
            </w:r>
            <w:proofErr w:type="spellEnd"/>
          </w:p>
        </w:tc>
        <w:tc>
          <w:tcPr>
            <w:tcW w:w="4835" w:type="dxa"/>
          </w:tcPr>
          <w:p w14:paraId="51A4CA80"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3" w:name="_Toc175128711"/>
            <w:r w:rsidRPr="003F11D8">
              <w:rPr>
                <w:rFonts w:ascii="Rockwell" w:eastAsia="Calibri" w:hAnsi="Rockwell"/>
                <w:sz w:val="28"/>
                <w:szCs w:val="28"/>
              </w:rPr>
              <w:t>www.agrorésilience.com</w:t>
            </w:r>
            <w:bookmarkEnd w:id="713"/>
          </w:p>
        </w:tc>
      </w:tr>
      <w:tr w:rsidR="00733207" w14:paraId="0C315196" w14:textId="77777777">
        <w:trPr>
          <w:trHeight w:val="567"/>
          <w:jc w:val="center"/>
        </w:trPr>
        <w:tc>
          <w:tcPr>
            <w:tcW w:w="988" w:type="dxa"/>
            <w:tcBorders>
              <w:bottom w:val="single" w:sz="4" w:space="0" w:color="auto"/>
            </w:tcBorders>
          </w:tcPr>
          <w:p w14:paraId="30B65A2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99</w:t>
            </w:r>
          </w:p>
        </w:tc>
        <w:tc>
          <w:tcPr>
            <w:tcW w:w="3827" w:type="dxa"/>
            <w:vAlign w:val="center"/>
          </w:tcPr>
          <w:p w14:paraId="5EAE338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Mines Actu Burkina</w:t>
            </w:r>
          </w:p>
        </w:tc>
        <w:tc>
          <w:tcPr>
            <w:tcW w:w="4835" w:type="dxa"/>
            <w:vAlign w:val="bottom"/>
          </w:tcPr>
          <w:p w14:paraId="5BFCCC2A"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4" w:name="_Toc175128712"/>
            <w:r w:rsidRPr="003F11D8">
              <w:rPr>
                <w:rFonts w:ascii="Rockwell" w:eastAsia="Calibri" w:hAnsi="Rockwell"/>
                <w:sz w:val="28"/>
                <w:szCs w:val="28"/>
              </w:rPr>
              <w:t>www.mines-actu.net</w:t>
            </w:r>
            <w:bookmarkEnd w:id="714"/>
          </w:p>
        </w:tc>
      </w:tr>
      <w:tr w:rsidR="00733207" w14:paraId="1F94984A" w14:textId="77777777">
        <w:trPr>
          <w:trHeight w:val="567"/>
          <w:jc w:val="center"/>
        </w:trPr>
        <w:tc>
          <w:tcPr>
            <w:tcW w:w="988" w:type="dxa"/>
          </w:tcPr>
          <w:p w14:paraId="5B13914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100</w:t>
            </w:r>
          </w:p>
        </w:tc>
        <w:tc>
          <w:tcPr>
            <w:tcW w:w="3827" w:type="dxa"/>
            <w:vAlign w:val="center"/>
          </w:tcPr>
          <w:p w14:paraId="18BA1E7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Intelligence Média</w:t>
            </w:r>
          </w:p>
        </w:tc>
        <w:tc>
          <w:tcPr>
            <w:tcW w:w="4835" w:type="dxa"/>
            <w:vAlign w:val="bottom"/>
          </w:tcPr>
          <w:p w14:paraId="372EF5B3"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5" w:name="_Toc175128713"/>
            <w:r w:rsidRPr="003F11D8">
              <w:rPr>
                <w:rFonts w:ascii="Rockwell" w:eastAsia="Calibri" w:hAnsi="Rockwell"/>
                <w:sz w:val="28"/>
                <w:szCs w:val="28"/>
              </w:rPr>
              <w:t>www.intelligencemedia.net</w:t>
            </w:r>
            <w:bookmarkEnd w:id="715"/>
          </w:p>
        </w:tc>
      </w:tr>
      <w:tr w:rsidR="00733207" w14:paraId="407848AB" w14:textId="77777777">
        <w:trPr>
          <w:trHeight w:val="567"/>
          <w:jc w:val="center"/>
        </w:trPr>
        <w:tc>
          <w:tcPr>
            <w:tcW w:w="988" w:type="dxa"/>
          </w:tcPr>
          <w:p w14:paraId="22A3149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101</w:t>
            </w:r>
          </w:p>
        </w:tc>
        <w:tc>
          <w:tcPr>
            <w:tcW w:w="3827" w:type="dxa"/>
            <w:vAlign w:val="center"/>
          </w:tcPr>
          <w:p w14:paraId="6558D5A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24heures.bf</w:t>
            </w:r>
          </w:p>
        </w:tc>
        <w:tc>
          <w:tcPr>
            <w:tcW w:w="4835" w:type="dxa"/>
            <w:vAlign w:val="bottom"/>
          </w:tcPr>
          <w:p w14:paraId="1C09D68B"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6" w:name="_Toc175128714"/>
            <w:r w:rsidRPr="003F11D8">
              <w:rPr>
                <w:rFonts w:ascii="Rockwell" w:eastAsia="Calibri" w:hAnsi="Rockwell"/>
                <w:sz w:val="28"/>
                <w:szCs w:val="28"/>
              </w:rPr>
              <w:t>www.24heures.bf</w:t>
            </w:r>
            <w:bookmarkEnd w:id="716"/>
          </w:p>
        </w:tc>
      </w:tr>
      <w:tr w:rsidR="00733207" w14:paraId="28EAE745" w14:textId="77777777">
        <w:trPr>
          <w:trHeight w:val="567"/>
          <w:jc w:val="center"/>
        </w:trPr>
        <w:tc>
          <w:tcPr>
            <w:tcW w:w="988" w:type="dxa"/>
          </w:tcPr>
          <w:p w14:paraId="6188AE7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102</w:t>
            </w:r>
          </w:p>
        </w:tc>
        <w:tc>
          <w:tcPr>
            <w:tcW w:w="3827" w:type="dxa"/>
            <w:vAlign w:val="center"/>
          </w:tcPr>
          <w:p w14:paraId="539A367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Lastinfo.bf</w:t>
            </w:r>
          </w:p>
        </w:tc>
        <w:tc>
          <w:tcPr>
            <w:tcW w:w="4835" w:type="dxa"/>
            <w:vAlign w:val="bottom"/>
          </w:tcPr>
          <w:p w14:paraId="5E2768C3"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7" w:name="_Toc175128715"/>
            <w:r w:rsidRPr="003F11D8">
              <w:rPr>
                <w:rFonts w:ascii="Rockwell" w:eastAsia="Calibri" w:hAnsi="Rockwell"/>
                <w:sz w:val="28"/>
                <w:szCs w:val="28"/>
              </w:rPr>
              <w:t>www.lastinfo.bf</w:t>
            </w:r>
            <w:bookmarkEnd w:id="717"/>
          </w:p>
        </w:tc>
      </w:tr>
      <w:tr w:rsidR="00733207" w14:paraId="5C5A2EBE" w14:textId="77777777">
        <w:trPr>
          <w:trHeight w:val="567"/>
          <w:jc w:val="center"/>
        </w:trPr>
        <w:tc>
          <w:tcPr>
            <w:tcW w:w="988" w:type="dxa"/>
          </w:tcPr>
          <w:p w14:paraId="56B7012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103</w:t>
            </w:r>
          </w:p>
        </w:tc>
        <w:tc>
          <w:tcPr>
            <w:tcW w:w="3827" w:type="dxa"/>
            <w:vAlign w:val="center"/>
          </w:tcPr>
          <w:p w14:paraId="45B4331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Burkina </w:t>
            </w:r>
            <w:proofErr w:type="spellStart"/>
            <w:r>
              <w:rPr>
                <w:rFonts w:ascii="Rockwell" w:eastAsia="Calibri" w:hAnsi="Rockwell"/>
                <w:sz w:val="28"/>
                <w:szCs w:val="28"/>
              </w:rPr>
              <w:t>Labaali</w:t>
            </w:r>
            <w:proofErr w:type="spellEnd"/>
          </w:p>
        </w:tc>
        <w:tc>
          <w:tcPr>
            <w:tcW w:w="4835" w:type="dxa"/>
            <w:vAlign w:val="bottom"/>
          </w:tcPr>
          <w:p w14:paraId="2D1A1311"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8" w:name="_Toc175128716"/>
            <w:r w:rsidRPr="003F11D8">
              <w:rPr>
                <w:rFonts w:ascii="Rockwell" w:eastAsia="Calibri" w:hAnsi="Rockwell"/>
                <w:sz w:val="28"/>
                <w:szCs w:val="28"/>
              </w:rPr>
              <w:t>www.burkinalabaali.com</w:t>
            </w:r>
            <w:bookmarkEnd w:id="718"/>
          </w:p>
        </w:tc>
      </w:tr>
      <w:tr w:rsidR="00733207" w14:paraId="67B5E9E3" w14:textId="77777777">
        <w:trPr>
          <w:trHeight w:val="567"/>
          <w:jc w:val="center"/>
        </w:trPr>
        <w:tc>
          <w:tcPr>
            <w:tcW w:w="988" w:type="dxa"/>
          </w:tcPr>
          <w:p w14:paraId="0AC0186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104</w:t>
            </w:r>
          </w:p>
        </w:tc>
        <w:tc>
          <w:tcPr>
            <w:tcW w:w="3827" w:type="dxa"/>
            <w:vAlign w:val="center"/>
          </w:tcPr>
          <w:p w14:paraId="0673DD3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L’Afrique qui ose </w:t>
            </w:r>
          </w:p>
        </w:tc>
        <w:tc>
          <w:tcPr>
            <w:tcW w:w="4835" w:type="dxa"/>
            <w:vAlign w:val="bottom"/>
          </w:tcPr>
          <w:p w14:paraId="25F94AC3"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19" w:name="_Toc175128717"/>
            <w:r w:rsidRPr="003F11D8">
              <w:rPr>
                <w:rFonts w:ascii="Rockwell" w:eastAsia="Calibri" w:hAnsi="Rockwell"/>
                <w:sz w:val="28"/>
                <w:szCs w:val="28"/>
              </w:rPr>
              <w:t>www.afiquequiose.net</w:t>
            </w:r>
            <w:bookmarkEnd w:id="719"/>
          </w:p>
        </w:tc>
      </w:tr>
      <w:tr w:rsidR="00733207" w14:paraId="0399ED9F" w14:textId="77777777">
        <w:trPr>
          <w:trHeight w:val="567"/>
          <w:jc w:val="center"/>
        </w:trPr>
        <w:tc>
          <w:tcPr>
            <w:tcW w:w="988" w:type="dxa"/>
          </w:tcPr>
          <w:p w14:paraId="48DA9B8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105</w:t>
            </w:r>
          </w:p>
        </w:tc>
        <w:tc>
          <w:tcPr>
            <w:tcW w:w="3827" w:type="dxa"/>
            <w:vAlign w:val="center"/>
          </w:tcPr>
          <w:p w14:paraId="058C8F3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 24heures/24heures », </w:t>
            </w:r>
            <w:proofErr w:type="spellStart"/>
            <w:r>
              <w:rPr>
                <w:rFonts w:ascii="Rockwell" w:eastAsia="Calibri" w:hAnsi="Rockwell"/>
                <w:sz w:val="28"/>
                <w:szCs w:val="28"/>
              </w:rPr>
              <w:t>Positiv</w:t>
            </w:r>
            <w:proofErr w:type="spellEnd"/>
            <w:r>
              <w:rPr>
                <w:rFonts w:ascii="Rockwell" w:eastAsia="Calibri" w:hAnsi="Rockwell"/>
                <w:sz w:val="28"/>
                <w:szCs w:val="28"/>
              </w:rPr>
              <w:t>’ »</w:t>
            </w:r>
          </w:p>
        </w:tc>
        <w:tc>
          <w:tcPr>
            <w:tcW w:w="4835" w:type="dxa"/>
            <w:vAlign w:val="bottom"/>
          </w:tcPr>
          <w:p w14:paraId="7C5FD5CC"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0" w:name="_Toc175128718"/>
            <w:r w:rsidRPr="003F11D8">
              <w:rPr>
                <w:rFonts w:ascii="Rockwell" w:eastAsia="Calibri" w:hAnsi="Rockwell"/>
                <w:sz w:val="28"/>
                <w:szCs w:val="28"/>
              </w:rPr>
              <w:t>www.positivmedia.tv</w:t>
            </w:r>
            <w:bookmarkEnd w:id="720"/>
          </w:p>
        </w:tc>
      </w:tr>
      <w:tr w:rsidR="00733207" w14:paraId="1F75832C" w14:textId="77777777">
        <w:trPr>
          <w:trHeight w:val="567"/>
          <w:jc w:val="center"/>
        </w:trPr>
        <w:tc>
          <w:tcPr>
            <w:tcW w:w="988" w:type="dxa"/>
          </w:tcPr>
          <w:p w14:paraId="433D9FA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106</w:t>
            </w:r>
          </w:p>
        </w:tc>
        <w:tc>
          <w:tcPr>
            <w:tcW w:w="3827" w:type="dxa"/>
            <w:vAlign w:val="center"/>
          </w:tcPr>
          <w:p w14:paraId="2E2216D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Reelinfos.com</w:t>
            </w:r>
          </w:p>
        </w:tc>
        <w:tc>
          <w:tcPr>
            <w:tcW w:w="4835" w:type="dxa"/>
            <w:vAlign w:val="bottom"/>
          </w:tcPr>
          <w:p w14:paraId="6CD416A4"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1" w:name="_Toc175128719"/>
            <w:r w:rsidRPr="003F11D8">
              <w:rPr>
                <w:rFonts w:ascii="Rockwell" w:eastAsia="Calibri" w:hAnsi="Rockwell"/>
                <w:sz w:val="28"/>
                <w:szCs w:val="28"/>
              </w:rPr>
              <w:t>www.reelinfos.com</w:t>
            </w:r>
            <w:bookmarkEnd w:id="721"/>
          </w:p>
        </w:tc>
      </w:tr>
      <w:tr w:rsidR="00733207" w14:paraId="6D797DC4" w14:textId="77777777">
        <w:trPr>
          <w:trHeight w:val="567"/>
          <w:jc w:val="center"/>
        </w:trPr>
        <w:tc>
          <w:tcPr>
            <w:tcW w:w="988" w:type="dxa"/>
          </w:tcPr>
          <w:p w14:paraId="7A35F08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107</w:t>
            </w:r>
          </w:p>
        </w:tc>
        <w:tc>
          <w:tcPr>
            <w:tcW w:w="3827" w:type="dxa"/>
            <w:vAlign w:val="center"/>
          </w:tcPr>
          <w:p w14:paraId="025A023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LA PLUME</w:t>
            </w:r>
          </w:p>
        </w:tc>
        <w:tc>
          <w:tcPr>
            <w:tcW w:w="4835" w:type="dxa"/>
            <w:vAlign w:val="bottom"/>
          </w:tcPr>
          <w:p w14:paraId="52143D1E"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2" w:name="_Toc175128720"/>
            <w:r w:rsidRPr="003F11D8">
              <w:rPr>
                <w:rFonts w:ascii="Rockwell" w:eastAsia="Calibri" w:hAnsi="Rockwell"/>
                <w:sz w:val="28"/>
                <w:szCs w:val="28"/>
              </w:rPr>
              <w:t>www.laplume.bf</w:t>
            </w:r>
            <w:bookmarkEnd w:id="722"/>
          </w:p>
        </w:tc>
      </w:tr>
      <w:tr w:rsidR="00733207" w14:paraId="4711DCB1" w14:textId="77777777">
        <w:trPr>
          <w:trHeight w:val="567"/>
          <w:jc w:val="center"/>
        </w:trPr>
        <w:tc>
          <w:tcPr>
            <w:tcW w:w="988" w:type="dxa"/>
          </w:tcPr>
          <w:p w14:paraId="68DABF3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lastRenderedPageBreak/>
              <w:t>108</w:t>
            </w:r>
          </w:p>
        </w:tc>
        <w:tc>
          <w:tcPr>
            <w:tcW w:w="3827" w:type="dxa"/>
            <w:vAlign w:val="center"/>
          </w:tcPr>
          <w:p w14:paraId="2AE57F5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agri-infos-burkina.net</w:t>
            </w:r>
          </w:p>
        </w:tc>
        <w:tc>
          <w:tcPr>
            <w:tcW w:w="4835" w:type="dxa"/>
            <w:vAlign w:val="bottom"/>
          </w:tcPr>
          <w:p w14:paraId="4153CDFB"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3" w:name="_Toc175128721"/>
            <w:r w:rsidRPr="003F11D8">
              <w:rPr>
                <w:rFonts w:ascii="Rockwell" w:eastAsia="Calibri" w:hAnsi="Rockwell"/>
                <w:sz w:val="28"/>
                <w:szCs w:val="28"/>
              </w:rPr>
              <w:t>www.agri-infos-burkina.net</w:t>
            </w:r>
            <w:bookmarkEnd w:id="723"/>
          </w:p>
        </w:tc>
      </w:tr>
      <w:tr w:rsidR="00733207" w14:paraId="4332A08C" w14:textId="77777777">
        <w:trPr>
          <w:trHeight w:val="567"/>
          <w:jc w:val="center"/>
        </w:trPr>
        <w:tc>
          <w:tcPr>
            <w:tcW w:w="988" w:type="dxa"/>
          </w:tcPr>
          <w:p w14:paraId="134C493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109</w:t>
            </w:r>
          </w:p>
        </w:tc>
        <w:tc>
          <w:tcPr>
            <w:tcW w:w="3827" w:type="dxa"/>
            <w:vAlign w:val="center"/>
          </w:tcPr>
          <w:p w14:paraId="70A1B7C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Santé Pour Tous</w:t>
            </w:r>
          </w:p>
        </w:tc>
        <w:tc>
          <w:tcPr>
            <w:tcW w:w="4835" w:type="dxa"/>
            <w:vAlign w:val="bottom"/>
          </w:tcPr>
          <w:p w14:paraId="0714C768"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4" w:name="_Toc175128722"/>
            <w:r w:rsidRPr="003F11D8">
              <w:rPr>
                <w:rFonts w:ascii="Rockwell" w:eastAsia="Calibri" w:hAnsi="Rockwell"/>
                <w:sz w:val="28"/>
                <w:szCs w:val="28"/>
              </w:rPr>
              <w:t>www.sante-pourtous.net</w:t>
            </w:r>
            <w:bookmarkEnd w:id="724"/>
          </w:p>
        </w:tc>
      </w:tr>
      <w:tr w:rsidR="00733207" w14:paraId="6E8FDF18" w14:textId="77777777">
        <w:trPr>
          <w:trHeight w:val="567"/>
          <w:jc w:val="center"/>
        </w:trPr>
        <w:tc>
          <w:tcPr>
            <w:tcW w:w="988" w:type="dxa"/>
          </w:tcPr>
          <w:p w14:paraId="0845E47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110</w:t>
            </w:r>
          </w:p>
        </w:tc>
        <w:tc>
          <w:tcPr>
            <w:tcW w:w="3827" w:type="dxa"/>
            <w:vAlign w:val="center"/>
          </w:tcPr>
          <w:p w14:paraId="7C5984C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 TIMES</w:t>
            </w:r>
          </w:p>
        </w:tc>
        <w:tc>
          <w:tcPr>
            <w:tcW w:w="4835" w:type="dxa"/>
            <w:vAlign w:val="bottom"/>
          </w:tcPr>
          <w:p w14:paraId="11471225"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5" w:name="_Toc175128723"/>
            <w:r w:rsidRPr="003F11D8">
              <w:rPr>
                <w:rFonts w:ascii="Rockwell" w:eastAsia="Calibri" w:hAnsi="Rockwell"/>
                <w:sz w:val="28"/>
                <w:szCs w:val="28"/>
              </w:rPr>
              <w:t>www.fasotimes.net</w:t>
            </w:r>
            <w:bookmarkEnd w:id="725"/>
          </w:p>
        </w:tc>
      </w:tr>
      <w:tr w:rsidR="00733207" w14:paraId="5EF3BC8E" w14:textId="77777777">
        <w:trPr>
          <w:trHeight w:val="567"/>
          <w:jc w:val="center"/>
        </w:trPr>
        <w:tc>
          <w:tcPr>
            <w:tcW w:w="988" w:type="dxa"/>
          </w:tcPr>
          <w:p w14:paraId="206E8AC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111</w:t>
            </w:r>
          </w:p>
        </w:tc>
        <w:tc>
          <w:tcPr>
            <w:tcW w:w="3827" w:type="dxa"/>
            <w:vAlign w:val="center"/>
          </w:tcPr>
          <w:p w14:paraId="4BCE3C2C"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Libertebf.com</w:t>
            </w:r>
          </w:p>
        </w:tc>
        <w:tc>
          <w:tcPr>
            <w:tcW w:w="4835" w:type="dxa"/>
            <w:vAlign w:val="bottom"/>
          </w:tcPr>
          <w:p w14:paraId="41E73BF3"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6" w:name="_Toc175128724"/>
            <w:r w:rsidRPr="003F11D8">
              <w:rPr>
                <w:rFonts w:ascii="Rockwell" w:eastAsia="Calibri" w:hAnsi="Rockwell"/>
                <w:sz w:val="28"/>
                <w:szCs w:val="28"/>
              </w:rPr>
              <w:t>www.Libertebf.com</w:t>
            </w:r>
            <w:bookmarkEnd w:id="726"/>
          </w:p>
        </w:tc>
      </w:tr>
      <w:tr w:rsidR="00733207" w14:paraId="38449CAF" w14:textId="77777777">
        <w:trPr>
          <w:trHeight w:val="567"/>
          <w:jc w:val="center"/>
        </w:trPr>
        <w:tc>
          <w:tcPr>
            <w:tcW w:w="988" w:type="dxa"/>
          </w:tcPr>
          <w:p w14:paraId="4795874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112</w:t>
            </w:r>
          </w:p>
        </w:tc>
        <w:tc>
          <w:tcPr>
            <w:tcW w:w="3827" w:type="dxa"/>
            <w:vAlign w:val="center"/>
          </w:tcPr>
          <w:p w14:paraId="4E7373A7"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ZAGLA</w:t>
            </w:r>
          </w:p>
        </w:tc>
        <w:tc>
          <w:tcPr>
            <w:tcW w:w="4835" w:type="dxa"/>
            <w:vAlign w:val="bottom"/>
          </w:tcPr>
          <w:p w14:paraId="3E28A4BC"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51" w:history="1">
              <w:bookmarkStart w:id="727" w:name="_Toc175128725"/>
              <w:r w:rsidR="00912BAE" w:rsidRPr="003F11D8">
                <w:rPr>
                  <w:rFonts w:ascii="Rockwell" w:eastAsia="Calibri" w:hAnsi="Rockwell"/>
                  <w:color w:val="0000FF"/>
                  <w:sz w:val="28"/>
                  <w:szCs w:val="28"/>
                </w:rPr>
                <w:t>www.zagla.io</w:t>
              </w:r>
              <w:bookmarkEnd w:id="727"/>
            </w:hyperlink>
            <w:r w:rsidR="00912BAE" w:rsidRPr="003F11D8">
              <w:rPr>
                <w:rFonts w:ascii="Rockwell" w:eastAsia="Calibri" w:hAnsi="Rockwell"/>
                <w:sz w:val="28"/>
                <w:szCs w:val="28"/>
              </w:rPr>
              <w:t xml:space="preserve"> </w:t>
            </w:r>
          </w:p>
        </w:tc>
      </w:tr>
      <w:tr w:rsidR="00733207" w14:paraId="2996D4F8" w14:textId="77777777">
        <w:trPr>
          <w:trHeight w:val="567"/>
          <w:jc w:val="center"/>
        </w:trPr>
        <w:tc>
          <w:tcPr>
            <w:tcW w:w="988" w:type="dxa"/>
          </w:tcPr>
          <w:p w14:paraId="3B3BBDF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113</w:t>
            </w:r>
          </w:p>
        </w:tc>
        <w:tc>
          <w:tcPr>
            <w:tcW w:w="3827" w:type="dxa"/>
            <w:vAlign w:val="center"/>
          </w:tcPr>
          <w:p w14:paraId="7DF479A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Le télégramme </w:t>
            </w:r>
          </w:p>
        </w:tc>
        <w:tc>
          <w:tcPr>
            <w:tcW w:w="4835" w:type="dxa"/>
            <w:vAlign w:val="bottom"/>
          </w:tcPr>
          <w:p w14:paraId="26EB3D2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52" w:history="1">
              <w:bookmarkStart w:id="728" w:name="_Toc175128726"/>
              <w:r w:rsidR="00912BAE" w:rsidRPr="003F11D8">
                <w:rPr>
                  <w:rFonts w:ascii="Rockwell" w:eastAsia="Calibri" w:hAnsi="Rockwell"/>
                  <w:color w:val="0000FF"/>
                  <w:sz w:val="28"/>
                  <w:szCs w:val="28"/>
                </w:rPr>
                <w:t>www.letelegramme.bf</w:t>
              </w:r>
              <w:bookmarkEnd w:id="728"/>
            </w:hyperlink>
            <w:r w:rsidR="00912BAE" w:rsidRPr="003F11D8">
              <w:rPr>
                <w:rFonts w:ascii="Rockwell" w:eastAsia="Calibri" w:hAnsi="Rockwell"/>
                <w:sz w:val="28"/>
                <w:szCs w:val="28"/>
              </w:rPr>
              <w:t xml:space="preserve"> </w:t>
            </w:r>
          </w:p>
        </w:tc>
      </w:tr>
      <w:tr w:rsidR="00733207" w14:paraId="5000704D" w14:textId="77777777">
        <w:trPr>
          <w:trHeight w:val="567"/>
          <w:jc w:val="center"/>
        </w:trPr>
        <w:tc>
          <w:tcPr>
            <w:tcW w:w="988" w:type="dxa"/>
          </w:tcPr>
          <w:p w14:paraId="1A74FDF8"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114</w:t>
            </w:r>
          </w:p>
        </w:tc>
        <w:tc>
          <w:tcPr>
            <w:tcW w:w="3827" w:type="dxa"/>
            <w:vAlign w:val="center"/>
          </w:tcPr>
          <w:p w14:paraId="153FDEB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Fasobangre.net</w:t>
            </w:r>
          </w:p>
        </w:tc>
        <w:tc>
          <w:tcPr>
            <w:tcW w:w="4835" w:type="dxa"/>
            <w:vAlign w:val="bottom"/>
          </w:tcPr>
          <w:p w14:paraId="4E4F3711"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29" w:name="_Toc175128727"/>
            <w:r w:rsidRPr="003F11D8">
              <w:rPr>
                <w:rFonts w:ascii="Rockwell" w:eastAsia="Calibri" w:hAnsi="Rockwell"/>
                <w:sz w:val="28"/>
                <w:szCs w:val="28"/>
              </w:rPr>
              <w:t>www.fasobangre.net</w:t>
            </w:r>
            <w:bookmarkEnd w:id="729"/>
          </w:p>
        </w:tc>
      </w:tr>
      <w:tr w:rsidR="00733207" w14:paraId="6257BE3D" w14:textId="77777777">
        <w:trPr>
          <w:trHeight w:val="567"/>
          <w:jc w:val="center"/>
        </w:trPr>
        <w:tc>
          <w:tcPr>
            <w:tcW w:w="988" w:type="dxa"/>
          </w:tcPr>
          <w:p w14:paraId="3BE10DB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115</w:t>
            </w:r>
          </w:p>
        </w:tc>
        <w:tc>
          <w:tcPr>
            <w:tcW w:w="3827" w:type="dxa"/>
            <w:vAlign w:val="center"/>
          </w:tcPr>
          <w:p w14:paraId="43D90EB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Educateur du Faso</w:t>
            </w:r>
          </w:p>
        </w:tc>
        <w:tc>
          <w:tcPr>
            <w:tcW w:w="4835" w:type="dxa"/>
            <w:vAlign w:val="bottom"/>
          </w:tcPr>
          <w:p w14:paraId="79162A0A"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30" w:name="_Toc175128728"/>
            <w:r w:rsidRPr="003F11D8">
              <w:rPr>
                <w:rFonts w:ascii="Rockwell" w:eastAsia="Calibri" w:hAnsi="Rockwell"/>
                <w:sz w:val="28"/>
                <w:szCs w:val="28"/>
              </w:rPr>
              <w:t>www.educateurdufaso.com</w:t>
            </w:r>
            <w:bookmarkEnd w:id="730"/>
          </w:p>
        </w:tc>
      </w:tr>
      <w:tr w:rsidR="00733207" w14:paraId="33DA96FA" w14:textId="77777777">
        <w:trPr>
          <w:trHeight w:val="567"/>
          <w:jc w:val="center"/>
        </w:trPr>
        <w:tc>
          <w:tcPr>
            <w:tcW w:w="988" w:type="dxa"/>
          </w:tcPr>
          <w:p w14:paraId="5B2A06B2"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116</w:t>
            </w:r>
          </w:p>
        </w:tc>
        <w:tc>
          <w:tcPr>
            <w:tcW w:w="3827" w:type="dxa"/>
            <w:vAlign w:val="center"/>
          </w:tcPr>
          <w:p w14:paraId="764FC103"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Letendardinfos</w:t>
            </w:r>
            <w:proofErr w:type="spellEnd"/>
          </w:p>
        </w:tc>
        <w:tc>
          <w:tcPr>
            <w:tcW w:w="4835" w:type="dxa"/>
            <w:vAlign w:val="bottom"/>
          </w:tcPr>
          <w:p w14:paraId="6CAC94EF"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53" w:history="1">
              <w:bookmarkStart w:id="731" w:name="_Toc175128729"/>
              <w:r w:rsidR="00912BAE" w:rsidRPr="003F11D8">
                <w:rPr>
                  <w:rFonts w:ascii="Rockwell" w:eastAsia="Calibri" w:hAnsi="Rockwell"/>
                  <w:color w:val="0000FF"/>
                  <w:sz w:val="28"/>
                  <w:szCs w:val="28"/>
                </w:rPr>
                <w:t>www.letendardinfos.net</w:t>
              </w:r>
            </w:hyperlink>
            <w:hyperlink r:id="rId154" w:history="1">
              <w:r w:rsidR="00912BAE" w:rsidRPr="003F11D8">
                <w:rPr>
                  <w:rFonts w:ascii="Rockwell" w:eastAsia="Calibri" w:hAnsi="Rockwell"/>
                  <w:color w:val="0000FF"/>
                  <w:sz w:val="28"/>
                  <w:szCs w:val="28"/>
                </w:rPr>
                <w:t>www.letendardinfos.com</w:t>
              </w:r>
              <w:bookmarkEnd w:id="731"/>
            </w:hyperlink>
            <w:r w:rsidR="00912BAE" w:rsidRPr="003F11D8">
              <w:rPr>
                <w:rFonts w:ascii="Rockwell" w:eastAsia="Calibri" w:hAnsi="Rockwell"/>
                <w:sz w:val="28"/>
                <w:szCs w:val="28"/>
              </w:rPr>
              <w:t xml:space="preserve"> </w:t>
            </w:r>
          </w:p>
        </w:tc>
      </w:tr>
      <w:tr w:rsidR="00733207" w14:paraId="63BFFA48" w14:textId="77777777">
        <w:trPr>
          <w:trHeight w:val="567"/>
          <w:jc w:val="center"/>
        </w:trPr>
        <w:tc>
          <w:tcPr>
            <w:tcW w:w="988" w:type="dxa"/>
          </w:tcPr>
          <w:p w14:paraId="63DEBBE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117</w:t>
            </w:r>
          </w:p>
        </w:tc>
        <w:tc>
          <w:tcPr>
            <w:tcW w:w="3827" w:type="dxa"/>
            <w:vAlign w:val="center"/>
          </w:tcPr>
          <w:p w14:paraId="72DC5B6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Courier confidentiel</w:t>
            </w:r>
          </w:p>
        </w:tc>
        <w:tc>
          <w:tcPr>
            <w:tcW w:w="4835" w:type="dxa"/>
            <w:vAlign w:val="bottom"/>
          </w:tcPr>
          <w:p w14:paraId="0AAB2BE7"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32" w:name="_Toc175128730"/>
            <w:r w:rsidRPr="003F11D8">
              <w:rPr>
                <w:rFonts w:ascii="Rockwell" w:eastAsia="Calibri" w:hAnsi="Rockwell"/>
                <w:sz w:val="28"/>
                <w:szCs w:val="28"/>
              </w:rPr>
              <w:t>www.courierconfidentiel.net</w:t>
            </w:r>
            <w:bookmarkEnd w:id="732"/>
          </w:p>
        </w:tc>
      </w:tr>
      <w:tr w:rsidR="00733207" w14:paraId="6BCF40DC" w14:textId="77777777">
        <w:trPr>
          <w:trHeight w:val="567"/>
          <w:jc w:val="center"/>
        </w:trPr>
        <w:tc>
          <w:tcPr>
            <w:tcW w:w="988" w:type="dxa"/>
          </w:tcPr>
          <w:p w14:paraId="56F1934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118</w:t>
            </w:r>
          </w:p>
        </w:tc>
        <w:tc>
          <w:tcPr>
            <w:tcW w:w="3827" w:type="dxa"/>
            <w:vAlign w:val="center"/>
          </w:tcPr>
          <w:p w14:paraId="0CAC76BF"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Vénégré</w:t>
            </w:r>
            <w:proofErr w:type="spellEnd"/>
            <w:r>
              <w:rPr>
                <w:rFonts w:ascii="Rockwell" w:eastAsia="Calibri" w:hAnsi="Rockwell"/>
                <w:sz w:val="28"/>
                <w:szCs w:val="28"/>
              </w:rPr>
              <w:t xml:space="preserve"> TV.net</w:t>
            </w:r>
          </w:p>
        </w:tc>
        <w:tc>
          <w:tcPr>
            <w:tcW w:w="4835" w:type="dxa"/>
            <w:vAlign w:val="bottom"/>
          </w:tcPr>
          <w:p w14:paraId="4F543056"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33" w:name="_Toc175128731"/>
            <w:r w:rsidRPr="003F11D8">
              <w:rPr>
                <w:rFonts w:ascii="Rockwell" w:eastAsia="Calibri" w:hAnsi="Rockwell"/>
                <w:sz w:val="28"/>
                <w:szCs w:val="28"/>
              </w:rPr>
              <w:t>www.Tapsoba@vénégrétv.net</w:t>
            </w:r>
            <w:bookmarkEnd w:id="733"/>
          </w:p>
        </w:tc>
      </w:tr>
      <w:tr w:rsidR="00733207" w14:paraId="57267D0A" w14:textId="77777777">
        <w:trPr>
          <w:trHeight w:val="567"/>
          <w:jc w:val="center"/>
        </w:trPr>
        <w:tc>
          <w:tcPr>
            <w:tcW w:w="988" w:type="dxa"/>
          </w:tcPr>
          <w:p w14:paraId="08F82E2A"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119</w:t>
            </w:r>
          </w:p>
        </w:tc>
        <w:tc>
          <w:tcPr>
            <w:tcW w:w="3827" w:type="dxa"/>
            <w:vAlign w:val="center"/>
          </w:tcPr>
          <w:p w14:paraId="340FA6A6" w14:textId="77777777" w:rsidR="00733207" w:rsidRDefault="00912BAE">
            <w:pPr>
              <w:spacing w:after="0" w:line="240" w:lineRule="auto"/>
              <w:jc w:val="both"/>
              <w:rPr>
                <w:rFonts w:ascii="Rockwell" w:eastAsia="Calibri" w:hAnsi="Rockwell"/>
                <w:sz w:val="28"/>
                <w:szCs w:val="28"/>
              </w:rPr>
            </w:pPr>
            <w:proofErr w:type="spellStart"/>
            <w:r>
              <w:rPr>
                <w:rFonts w:ascii="Rockwell" w:eastAsia="Calibri" w:hAnsi="Rockwell"/>
                <w:sz w:val="28"/>
                <w:szCs w:val="28"/>
              </w:rPr>
              <w:t>Journalapaix</w:t>
            </w:r>
            <w:proofErr w:type="spellEnd"/>
          </w:p>
        </w:tc>
        <w:tc>
          <w:tcPr>
            <w:tcW w:w="4835" w:type="dxa"/>
            <w:vAlign w:val="bottom"/>
          </w:tcPr>
          <w:p w14:paraId="5778FA48"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34" w:name="_Toc175128732"/>
            <w:r w:rsidRPr="003F11D8">
              <w:rPr>
                <w:rFonts w:ascii="Rockwell" w:eastAsia="Calibri" w:hAnsi="Rockwell"/>
                <w:sz w:val="28"/>
                <w:szCs w:val="28"/>
              </w:rPr>
              <w:t>www.journalapaix.net</w:t>
            </w:r>
            <w:bookmarkEnd w:id="734"/>
          </w:p>
        </w:tc>
      </w:tr>
      <w:tr w:rsidR="00733207" w14:paraId="56A63170" w14:textId="77777777">
        <w:trPr>
          <w:trHeight w:val="567"/>
          <w:jc w:val="center"/>
        </w:trPr>
        <w:tc>
          <w:tcPr>
            <w:tcW w:w="988" w:type="dxa"/>
          </w:tcPr>
          <w:p w14:paraId="7A97BD2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120</w:t>
            </w:r>
          </w:p>
        </w:tc>
        <w:tc>
          <w:tcPr>
            <w:tcW w:w="3827" w:type="dxa"/>
            <w:vAlign w:val="center"/>
          </w:tcPr>
          <w:p w14:paraId="2A4056D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VALO AFRICA</w:t>
            </w:r>
          </w:p>
        </w:tc>
        <w:tc>
          <w:tcPr>
            <w:tcW w:w="4835" w:type="dxa"/>
            <w:vAlign w:val="bottom"/>
          </w:tcPr>
          <w:p w14:paraId="014F34B8"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35" w:name="_Toc175128733"/>
            <w:r w:rsidRPr="003F11D8">
              <w:rPr>
                <w:rFonts w:ascii="Rockwell" w:eastAsia="Calibri" w:hAnsi="Rockwell"/>
                <w:sz w:val="28"/>
                <w:szCs w:val="28"/>
              </w:rPr>
              <w:t>www.valoafrica.com</w:t>
            </w:r>
            <w:bookmarkEnd w:id="735"/>
          </w:p>
        </w:tc>
      </w:tr>
      <w:tr w:rsidR="00733207" w14:paraId="3A090EF8" w14:textId="77777777">
        <w:trPr>
          <w:trHeight w:val="567"/>
          <w:jc w:val="center"/>
        </w:trPr>
        <w:tc>
          <w:tcPr>
            <w:tcW w:w="988" w:type="dxa"/>
          </w:tcPr>
          <w:p w14:paraId="40C3712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121</w:t>
            </w:r>
          </w:p>
        </w:tc>
        <w:tc>
          <w:tcPr>
            <w:tcW w:w="3827" w:type="dxa"/>
            <w:vAlign w:val="center"/>
          </w:tcPr>
          <w:p w14:paraId="24D9A856"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ZANDOMA TV MEDIA</w:t>
            </w:r>
          </w:p>
        </w:tc>
        <w:tc>
          <w:tcPr>
            <w:tcW w:w="4835" w:type="dxa"/>
            <w:vAlign w:val="bottom"/>
          </w:tcPr>
          <w:p w14:paraId="4D1BAEAD" w14:textId="77777777" w:rsidR="00733207" w:rsidRPr="003F11D8" w:rsidRDefault="00912BAE">
            <w:pPr>
              <w:tabs>
                <w:tab w:val="left" w:pos="3119"/>
              </w:tabs>
              <w:spacing w:after="0" w:line="240" w:lineRule="auto"/>
              <w:jc w:val="both"/>
              <w:outlineLvl w:val="0"/>
              <w:rPr>
                <w:rFonts w:ascii="Rockwell" w:eastAsia="Calibri" w:hAnsi="Rockwell"/>
                <w:sz w:val="28"/>
                <w:szCs w:val="28"/>
                <w:lang w:val="en-US"/>
              </w:rPr>
            </w:pPr>
            <w:bookmarkStart w:id="736" w:name="_Toc175128734"/>
            <w:r w:rsidRPr="003F11D8">
              <w:rPr>
                <w:rFonts w:ascii="Rockwell" w:eastAsia="Calibri" w:hAnsi="Rockwell"/>
                <w:sz w:val="28"/>
                <w:szCs w:val="28"/>
                <w:lang w:val="en-US"/>
              </w:rPr>
              <w:t>Zondoma_tv_media.Jimdosite.com</w:t>
            </w:r>
            <w:bookmarkEnd w:id="736"/>
            <w:r w:rsidRPr="003F11D8">
              <w:rPr>
                <w:rFonts w:ascii="Rockwell" w:eastAsia="Calibri" w:hAnsi="Rockwell"/>
                <w:sz w:val="28"/>
                <w:szCs w:val="28"/>
                <w:lang w:val="en-US"/>
              </w:rPr>
              <w:t xml:space="preserve"> </w:t>
            </w:r>
          </w:p>
        </w:tc>
      </w:tr>
      <w:tr w:rsidR="00733207" w14:paraId="5EA2B06B" w14:textId="77777777">
        <w:trPr>
          <w:trHeight w:val="567"/>
          <w:jc w:val="center"/>
        </w:trPr>
        <w:tc>
          <w:tcPr>
            <w:tcW w:w="988" w:type="dxa"/>
          </w:tcPr>
          <w:p w14:paraId="08901E0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122</w:t>
            </w:r>
          </w:p>
        </w:tc>
        <w:tc>
          <w:tcPr>
            <w:tcW w:w="3827" w:type="dxa"/>
            <w:tcBorders>
              <w:bottom w:val="single" w:sz="4" w:space="0" w:color="auto"/>
            </w:tcBorders>
            <w:vAlign w:val="center"/>
          </w:tcPr>
          <w:p w14:paraId="1BDDD06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 xml:space="preserve">Info Mobile du </w:t>
            </w:r>
            <w:proofErr w:type="spellStart"/>
            <w:r>
              <w:rPr>
                <w:rFonts w:ascii="Rockwell" w:eastAsia="Calibri" w:hAnsi="Rockwell"/>
                <w:sz w:val="28"/>
                <w:szCs w:val="28"/>
              </w:rPr>
              <w:t>zandoma</w:t>
            </w:r>
            <w:proofErr w:type="spellEnd"/>
          </w:p>
        </w:tc>
        <w:tc>
          <w:tcPr>
            <w:tcW w:w="4835" w:type="dxa"/>
            <w:tcBorders>
              <w:bottom w:val="single" w:sz="4" w:space="0" w:color="auto"/>
            </w:tcBorders>
            <w:vAlign w:val="bottom"/>
          </w:tcPr>
          <w:p w14:paraId="27901C84"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37" w:name="_Toc175128735"/>
            <w:r w:rsidRPr="003F11D8">
              <w:rPr>
                <w:rFonts w:ascii="Rockwell" w:eastAsia="Calibri" w:hAnsi="Rockwell"/>
                <w:sz w:val="28"/>
                <w:szCs w:val="28"/>
              </w:rPr>
              <w:t>www.infomobileduzandoma.net</w:t>
            </w:r>
            <w:bookmarkEnd w:id="737"/>
          </w:p>
        </w:tc>
      </w:tr>
      <w:tr w:rsidR="00733207" w14:paraId="64A135C8" w14:textId="77777777">
        <w:trPr>
          <w:trHeight w:val="567"/>
          <w:jc w:val="center"/>
        </w:trPr>
        <w:tc>
          <w:tcPr>
            <w:tcW w:w="988" w:type="dxa"/>
          </w:tcPr>
          <w:p w14:paraId="2256E91E"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123</w:t>
            </w:r>
          </w:p>
        </w:tc>
        <w:tc>
          <w:tcPr>
            <w:tcW w:w="3827" w:type="dxa"/>
            <w:vAlign w:val="center"/>
          </w:tcPr>
          <w:p w14:paraId="7B39DB1E" w14:textId="77777777" w:rsidR="00733207" w:rsidRDefault="00E06378">
            <w:pPr>
              <w:spacing w:after="0" w:line="240" w:lineRule="auto"/>
              <w:jc w:val="both"/>
              <w:rPr>
                <w:rFonts w:ascii="Rockwell" w:eastAsia="Calibri" w:hAnsi="Rockwell"/>
                <w:sz w:val="28"/>
                <w:szCs w:val="28"/>
              </w:rPr>
            </w:pPr>
            <w:hyperlink r:id="rId155" w:history="1">
              <w:r w:rsidR="00912BAE">
                <w:rPr>
                  <w:rFonts w:ascii="Rockwell" w:eastAsia="Calibri" w:hAnsi="Rockwell"/>
                  <w:color w:val="0000FF"/>
                  <w:sz w:val="28"/>
                  <w:szCs w:val="28"/>
                  <w:u w:val="single"/>
                </w:rPr>
                <w:t>www.Cercle</w:t>
              </w:r>
            </w:hyperlink>
            <w:r w:rsidR="00912BAE">
              <w:rPr>
                <w:rFonts w:ascii="Rockwell" w:eastAsia="Calibri" w:hAnsi="Rockwell"/>
                <w:sz w:val="28"/>
                <w:szCs w:val="28"/>
              </w:rPr>
              <w:t xml:space="preserve"> Info.Net</w:t>
            </w:r>
          </w:p>
        </w:tc>
        <w:tc>
          <w:tcPr>
            <w:tcW w:w="4835" w:type="dxa"/>
            <w:vAlign w:val="bottom"/>
          </w:tcPr>
          <w:p w14:paraId="75980914"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56" w:history="1">
              <w:bookmarkStart w:id="738" w:name="_Toc175128736"/>
              <w:r w:rsidR="00912BAE" w:rsidRPr="003F11D8">
                <w:rPr>
                  <w:rFonts w:ascii="Rockwell" w:eastAsia="Calibri" w:hAnsi="Rockwell"/>
                  <w:color w:val="0000FF"/>
                  <w:sz w:val="28"/>
                  <w:szCs w:val="28"/>
                </w:rPr>
                <w:t>www.Cercle</w:t>
              </w:r>
            </w:hyperlink>
            <w:r w:rsidR="00912BAE" w:rsidRPr="003F11D8">
              <w:rPr>
                <w:rFonts w:ascii="Rockwell" w:eastAsia="Calibri" w:hAnsi="Rockwell"/>
                <w:sz w:val="28"/>
                <w:szCs w:val="28"/>
              </w:rPr>
              <w:t xml:space="preserve"> Info.Net</w:t>
            </w:r>
            <w:bookmarkEnd w:id="738"/>
          </w:p>
        </w:tc>
      </w:tr>
      <w:tr w:rsidR="00733207" w14:paraId="25B0E88C" w14:textId="77777777">
        <w:trPr>
          <w:trHeight w:val="567"/>
          <w:jc w:val="center"/>
        </w:trPr>
        <w:tc>
          <w:tcPr>
            <w:tcW w:w="988" w:type="dxa"/>
          </w:tcPr>
          <w:p w14:paraId="17991AB1"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124</w:t>
            </w:r>
          </w:p>
        </w:tc>
        <w:tc>
          <w:tcPr>
            <w:tcW w:w="3827" w:type="dxa"/>
            <w:vAlign w:val="center"/>
          </w:tcPr>
          <w:p w14:paraId="67A1B464" w14:textId="77777777" w:rsidR="00733207" w:rsidRDefault="00912BAE">
            <w:pPr>
              <w:spacing w:after="0" w:line="240" w:lineRule="auto"/>
              <w:jc w:val="both"/>
              <w:rPr>
                <w:rFonts w:ascii="Rockwell" w:eastAsia="Calibri" w:hAnsi="Rockwell"/>
                <w:color w:val="0000FF"/>
                <w:sz w:val="28"/>
                <w:szCs w:val="28"/>
                <w:u w:val="single"/>
              </w:rPr>
            </w:pPr>
            <w:r>
              <w:rPr>
                <w:rFonts w:ascii="Rockwell" w:eastAsia="Calibri" w:hAnsi="Rockwell"/>
                <w:color w:val="0000FF"/>
                <w:sz w:val="28"/>
                <w:szCs w:val="28"/>
                <w:u w:val="single"/>
              </w:rPr>
              <w:t xml:space="preserve">La </w:t>
            </w:r>
            <w:proofErr w:type="spellStart"/>
            <w:r>
              <w:rPr>
                <w:rFonts w:ascii="Rockwell" w:eastAsia="Calibri" w:hAnsi="Rockwell"/>
                <w:color w:val="0000FF"/>
                <w:sz w:val="28"/>
                <w:szCs w:val="28"/>
                <w:u w:val="single"/>
              </w:rPr>
              <w:t>Dika</w:t>
            </w:r>
            <w:proofErr w:type="spellEnd"/>
            <w:r>
              <w:rPr>
                <w:rFonts w:ascii="Rockwell" w:eastAsia="Calibri" w:hAnsi="Rockwell"/>
                <w:color w:val="0000FF"/>
                <w:sz w:val="28"/>
                <w:szCs w:val="28"/>
                <w:u w:val="single"/>
              </w:rPr>
              <w:t xml:space="preserve"> le média du livre </w:t>
            </w:r>
          </w:p>
        </w:tc>
        <w:tc>
          <w:tcPr>
            <w:tcW w:w="4835" w:type="dxa"/>
            <w:vAlign w:val="bottom"/>
          </w:tcPr>
          <w:p w14:paraId="41925418"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39" w:name="_Toc175128737"/>
            <w:r w:rsidRPr="003F11D8">
              <w:rPr>
                <w:rFonts w:ascii="Rockwell" w:eastAsia="Calibri" w:hAnsi="Rockwell"/>
                <w:color w:val="0000FF"/>
                <w:sz w:val="28"/>
                <w:szCs w:val="28"/>
              </w:rPr>
              <w:t>www.ladika.info</w:t>
            </w:r>
            <w:bookmarkEnd w:id="739"/>
          </w:p>
        </w:tc>
      </w:tr>
      <w:tr w:rsidR="00733207" w14:paraId="42E3D071" w14:textId="77777777">
        <w:trPr>
          <w:trHeight w:val="567"/>
          <w:jc w:val="center"/>
        </w:trPr>
        <w:tc>
          <w:tcPr>
            <w:tcW w:w="988" w:type="dxa"/>
          </w:tcPr>
          <w:p w14:paraId="0ED615C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125</w:t>
            </w:r>
          </w:p>
        </w:tc>
        <w:tc>
          <w:tcPr>
            <w:tcW w:w="3827" w:type="dxa"/>
            <w:vAlign w:val="center"/>
          </w:tcPr>
          <w:p w14:paraId="460F5C99" w14:textId="77777777" w:rsidR="00733207" w:rsidRDefault="00912BAE">
            <w:pPr>
              <w:spacing w:after="0" w:line="240" w:lineRule="auto"/>
              <w:jc w:val="both"/>
              <w:rPr>
                <w:rFonts w:ascii="Rockwell" w:eastAsia="Calibri" w:hAnsi="Rockwell"/>
                <w:color w:val="0000FF"/>
                <w:sz w:val="28"/>
                <w:szCs w:val="28"/>
                <w:u w:val="single"/>
              </w:rPr>
            </w:pPr>
            <w:r>
              <w:rPr>
                <w:rFonts w:ascii="Rockwell" w:eastAsia="Calibri" w:hAnsi="Rockwell"/>
                <w:color w:val="0000FF"/>
                <w:sz w:val="28"/>
                <w:szCs w:val="28"/>
                <w:u w:val="single"/>
              </w:rPr>
              <w:t>Sira info</w:t>
            </w:r>
          </w:p>
        </w:tc>
        <w:tc>
          <w:tcPr>
            <w:tcW w:w="4835" w:type="dxa"/>
            <w:vAlign w:val="bottom"/>
          </w:tcPr>
          <w:p w14:paraId="56602E7A"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0" w:name="_Toc175128738"/>
            <w:r w:rsidRPr="003F11D8">
              <w:rPr>
                <w:rFonts w:ascii="Rockwell" w:eastAsia="Calibri" w:hAnsi="Rockwell"/>
                <w:color w:val="0000FF"/>
                <w:sz w:val="28"/>
                <w:szCs w:val="28"/>
              </w:rPr>
              <w:t>www.sirainfo.com</w:t>
            </w:r>
            <w:bookmarkEnd w:id="740"/>
          </w:p>
        </w:tc>
      </w:tr>
      <w:tr w:rsidR="00733207" w14:paraId="2F39A02A" w14:textId="77777777">
        <w:trPr>
          <w:trHeight w:val="567"/>
          <w:jc w:val="center"/>
        </w:trPr>
        <w:tc>
          <w:tcPr>
            <w:tcW w:w="988" w:type="dxa"/>
          </w:tcPr>
          <w:p w14:paraId="38C05BE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126</w:t>
            </w:r>
          </w:p>
        </w:tc>
        <w:tc>
          <w:tcPr>
            <w:tcW w:w="3827" w:type="dxa"/>
            <w:vAlign w:val="center"/>
          </w:tcPr>
          <w:p w14:paraId="4691EF54" w14:textId="77777777" w:rsidR="00733207" w:rsidRDefault="00912BAE">
            <w:pPr>
              <w:spacing w:after="0" w:line="240" w:lineRule="auto"/>
              <w:jc w:val="both"/>
              <w:rPr>
                <w:rFonts w:ascii="Rockwell" w:eastAsia="Calibri" w:hAnsi="Rockwell"/>
                <w:color w:val="0000FF"/>
                <w:sz w:val="28"/>
                <w:szCs w:val="28"/>
                <w:u w:val="single"/>
              </w:rPr>
            </w:pPr>
            <w:r>
              <w:rPr>
                <w:rFonts w:ascii="Rockwell" w:eastAsia="Calibri" w:hAnsi="Rockwell"/>
                <w:color w:val="0000FF"/>
                <w:sz w:val="28"/>
                <w:szCs w:val="28"/>
                <w:u w:val="single"/>
              </w:rPr>
              <w:t>BURKIFOOT</w:t>
            </w:r>
          </w:p>
        </w:tc>
        <w:tc>
          <w:tcPr>
            <w:tcW w:w="4835" w:type="dxa"/>
            <w:vAlign w:val="bottom"/>
          </w:tcPr>
          <w:p w14:paraId="67973784"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41" w:name="_Toc175128739"/>
            <w:r w:rsidRPr="003F11D8">
              <w:rPr>
                <w:rFonts w:ascii="Rockwell" w:eastAsia="Calibri" w:hAnsi="Rockwell"/>
                <w:sz w:val="28"/>
                <w:szCs w:val="28"/>
              </w:rPr>
              <w:t>www.burkifoot.com</w:t>
            </w:r>
            <w:bookmarkEnd w:id="741"/>
          </w:p>
        </w:tc>
      </w:tr>
      <w:tr w:rsidR="00733207" w14:paraId="0D98D909" w14:textId="77777777">
        <w:trPr>
          <w:trHeight w:val="567"/>
          <w:jc w:val="center"/>
        </w:trPr>
        <w:tc>
          <w:tcPr>
            <w:tcW w:w="988" w:type="dxa"/>
          </w:tcPr>
          <w:p w14:paraId="50C2439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127</w:t>
            </w:r>
          </w:p>
        </w:tc>
        <w:tc>
          <w:tcPr>
            <w:tcW w:w="3827" w:type="dxa"/>
            <w:vAlign w:val="center"/>
          </w:tcPr>
          <w:p w14:paraId="47A82457" w14:textId="77777777" w:rsidR="00733207" w:rsidRDefault="00912BAE">
            <w:pPr>
              <w:spacing w:after="0" w:line="240" w:lineRule="auto"/>
              <w:jc w:val="both"/>
              <w:rPr>
                <w:rFonts w:ascii="Rockwell" w:eastAsia="Calibri" w:hAnsi="Rockwell"/>
                <w:color w:val="0000FF"/>
                <w:sz w:val="28"/>
                <w:szCs w:val="28"/>
                <w:u w:val="single"/>
              </w:rPr>
            </w:pPr>
            <w:r>
              <w:rPr>
                <w:rFonts w:ascii="Rockwell" w:eastAsia="Calibri" w:hAnsi="Rockwell"/>
                <w:color w:val="0000FF"/>
                <w:sz w:val="28"/>
                <w:szCs w:val="28"/>
                <w:u w:val="single"/>
              </w:rPr>
              <w:t>Boulgou Infoplus.com</w:t>
            </w:r>
          </w:p>
        </w:tc>
        <w:tc>
          <w:tcPr>
            <w:tcW w:w="4835" w:type="dxa"/>
            <w:vAlign w:val="bottom"/>
          </w:tcPr>
          <w:p w14:paraId="1886FCB1"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2" w:name="_Toc175128740"/>
            <w:r w:rsidRPr="003F11D8">
              <w:rPr>
                <w:rFonts w:ascii="Rockwell" w:eastAsia="Calibri" w:hAnsi="Rockwell"/>
                <w:color w:val="0000FF"/>
                <w:sz w:val="28"/>
                <w:szCs w:val="28"/>
              </w:rPr>
              <w:t>www.boulgou-infosplus.com</w:t>
            </w:r>
            <w:bookmarkEnd w:id="742"/>
          </w:p>
        </w:tc>
      </w:tr>
      <w:tr w:rsidR="00733207" w14:paraId="1D790D12" w14:textId="77777777">
        <w:trPr>
          <w:trHeight w:val="567"/>
          <w:jc w:val="center"/>
        </w:trPr>
        <w:tc>
          <w:tcPr>
            <w:tcW w:w="988" w:type="dxa"/>
          </w:tcPr>
          <w:p w14:paraId="3BCAF3B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128</w:t>
            </w:r>
          </w:p>
        </w:tc>
        <w:tc>
          <w:tcPr>
            <w:tcW w:w="3827" w:type="dxa"/>
            <w:vAlign w:val="center"/>
          </w:tcPr>
          <w:p w14:paraId="73F50F04" w14:textId="77777777" w:rsidR="00733207" w:rsidRDefault="00912BAE">
            <w:pPr>
              <w:spacing w:after="0" w:line="240" w:lineRule="auto"/>
              <w:jc w:val="both"/>
              <w:rPr>
                <w:rFonts w:ascii="Rockwell" w:eastAsia="Calibri" w:hAnsi="Rockwell"/>
                <w:color w:val="0000FF"/>
                <w:sz w:val="28"/>
                <w:szCs w:val="28"/>
                <w:u w:val="single"/>
              </w:rPr>
            </w:pPr>
            <w:r>
              <w:rPr>
                <w:rFonts w:ascii="Rockwell" w:eastAsia="Calibri" w:hAnsi="Rockwell"/>
                <w:color w:val="0000FF"/>
                <w:sz w:val="28"/>
                <w:szCs w:val="28"/>
                <w:u w:val="single"/>
              </w:rPr>
              <w:t>Bamyinga.com</w:t>
            </w:r>
          </w:p>
        </w:tc>
        <w:tc>
          <w:tcPr>
            <w:tcW w:w="4835" w:type="dxa"/>
            <w:vAlign w:val="bottom"/>
          </w:tcPr>
          <w:p w14:paraId="1B4E149A"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3" w:name="_Toc175128741"/>
            <w:r w:rsidRPr="003F11D8">
              <w:rPr>
                <w:rFonts w:ascii="Rockwell" w:eastAsia="Calibri" w:hAnsi="Rockwell"/>
                <w:color w:val="0000FF"/>
                <w:sz w:val="28"/>
                <w:szCs w:val="28"/>
              </w:rPr>
              <w:t>www.bamyinga.com</w:t>
            </w:r>
            <w:bookmarkEnd w:id="743"/>
          </w:p>
        </w:tc>
      </w:tr>
      <w:tr w:rsidR="00733207" w14:paraId="39119823" w14:textId="77777777">
        <w:trPr>
          <w:trHeight w:val="567"/>
          <w:jc w:val="center"/>
        </w:trPr>
        <w:tc>
          <w:tcPr>
            <w:tcW w:w="988" w:type="dxa"/>
            <w:tcBorders>
              <w:bottom w:val="single" w:sz="4" w:space="0" w:color="auto"/>
            </w:tcBorders>
          </w:tcPr>
          <w:p w14:paraId="47F73D10"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129</w:t>
            </w:r>
          </w:p>
        </w:tc>
        <w:tc>
          <w:tcPr>
            <w:tcW w:w="3827" w:type="dxa"/>
            <w:vAlign w:val="center"/>
          </w:tcPr>
          <w:p w14:paraId="72EE5A43" w14:textId="77777777" w:rsidR="00733207" w:rsidRDefault="00912BAE">
            <w:pPr>
              <w:spacing w:after="0" w:line="240" w:lineRule="auto"/>
              <w:jc w:val="both"/>
              <w:rPr>
                <w:rFonts w:ascii="Rockwell" w:eastAsia="Calibri" w:hAnsi="Rockwell"/>
                <w:color w:val="0000FF"/>
                <w:sz w:val="28"/>
                <w:szCs w:val="28"/>
                <w:u w:val="single"/>
              </w:rPr>
            </w:pPr>
            <w:r>
              <w:rPr>
                <w:rFonts w:ascii="Rockwell" w:eastAsia="Calibri" w:hAnsi="Rockwell"/>
                <w:color w:val="0000FF"/>
                <w:sz w:val="28"/>
                <w:szCs w:val="28"/>
                <w:u w:val="single"/>
              </w:rPr>
              <w:t>Envirinfos.net</w:t>
            </w:r>
          </w:p>
        </w:tc>
        <w:tc>
          <w:tcPr>
            <w:tcW w:w="4835" w:type="dxa"/>
            <w:vAlign w:val="bottom"/>
          </w:tcPr>
          <w:p w14:paraId="3D09B92C"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4" w:name="_Toc175128742"/>
            <w:r w:rsidRPr="003F11D8">
              <w:rPr>
                <w:rFonts w:ascii="Rockwell" w:eastAsia="Calibri" w:hAnsi="Rockwell"/>
                <w:color w:val="0000FF"/>
                <w:sz w:val="28"/>
                <w:szCs w:val="28"/>
              </w:rPr>
              <w:t>www.envirinfos.net</w:t>
            </w:r>
            <w:bookmarkEnd w:id="744"/>
          </w:p>
        </w:tc>
      </w:tr>
      <w:tr w:rsidR="00733207" w14:paraId="4A9A6182" w14:textId="77777777">
        <w:trPr>
          <w:trHeight w:val="567"/>
          <w:jc w:val="center"/>
        </w:trPr>
        <w:tc>
          <w:tcPr>
            <w:tcW w:w="988" w:type="dxa"/>
          </w:tcPr>
          <w:p w14:paraId="730657A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130</w:t>
            </w:r>
          </w:p>
        </w:tc>
        <w:tc>
          <w:tcPr>
            <w:tcW w:w="3827" w:type="dxa"/>
            <w:vAlign w:val="center"/>
          </w:tcPr>
          <w:p w14:paraId="555E3CF9" w14:textId="77777777" w:rsidR="00733207" w:rsidRDefault="00912BAE">
            <w:pPr>
              <w:spacing w:after="0" w:line="240" w:lineRule="auto"/>
              <w:jc w:val="both"/>
              <w:rPr>
                <w:rFonts w:ascii="Rockwell" w:eastAsia="Calibri" w:hAnsi="Rockwell"/>
                <w:color w:val="0000FF"/>
                <w:sz w:val="28"/>
                <w:szCs w:val="28"/>
              </w:rPr>
            </w:pPr>
            <w:r>
              <w:rPr>
                <w:rFonts w:ascii="Rockwell" w:eastAsia="Calibri" w:hAnsi="Rockwell"/>
                <w:color w:val="0000FF"/>
                <w:sz w:val="28"/>
                <w:szCs w:val="28"/>
              </w:rPr>
              <w:t>Jeune reporter</w:t>
            </w:r>
          </w:p>
        </w:tc>
        <w:tc>
          <w:tcPr>
            <w:tcW w:w="4835" w:type="dxa"/>
            <w:vAlign w:val="bottom"/>
          </w:tcPr>
          <w:p w14:paraId="1B55EE0E" w14:textId="77777777" w:rsidR="00733207" w:rsidRPr="003F11D8" w:rsidRDefault="00E06378">
            <w:pPr>
              <w:tabs>
                <w:tab w:val="left" w:pos="3119"/>
              </w:tabs>
              <w:spacing w:after="0" w:line="240" w:lineRule="auto"/>
              <w:jc w:val="both"/>
              <w:outlineLvl w:val="0"/>
              <w:rPr>
                <w:rFonts w:ascii="Rockwell" w:eastAsia="Calibri" w:hAnsi="Rockwell"/>
                <w:sz w:val="28"/>
                <w:szCs w:val="28"/>
              </w:rPr>
            </w:pPr>
            <w:hyperlink r:id="rId157" w:history="1">
              <w:bookmarkStart w:id="745" w:name="_Toc175128743"/>
              <w:r w:rsidR="00912BAE" w:rsidRPr="003F11D8">
                <w:rPr>
                  <w:rFonts w:ascii="Rockwell" w:eastAsia="Calibri" w:hAnsi="Rockwell"/>
                  <w:color w:val="0000FF"/>
                  <w:sz w:val="28"/>
                  <w:szCs w:val="28"/>
                </w:rPr>
                <w:t>www.jeunereporter.net</w:t>
              </w:r>
              <w:bookmarkEnd w:id="745"/>
            </w:hyperlink>
            <w:r w:rsidR="00912BAE" w:rsidRPr="003F11D8">
              <w:rPr>
                <w:rFonts w:ascii="Rockwell" w:eastAsia="Calibri" w:hAnsi="Rockwell"/>
                <w:sz w:val="28"/>
                <w:szCs w:val="28"/>
              </w:rPr>
              <w:t xml:space="preserve"> </w:t>
            </w:r>
          </w:p>
        </w:tc>
      </w:tr>
      <w:tr w:rsidR="00733207" w14:paraId="648809A7" w14:textId="77777777">
        <w:trPr>
          <w:trHeight w:val="567"/>
          <w:jc w:val="center"/>
        </w:trPr>
        <w:tc>
          <w:tcPr>
            <w:tcW w:w="988" w:type="dxa"/>
          </w:tcPr>
          <w:p w14:paraId="1F9B8A93"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131</w:t>
            </w:r>
          </w:p>
        </w:tc>
        <w:tc>
          <w:tcPr>
            <w:tcW w:w="3827" w:type="dxa"/>
            <w:vAlign w:val="center"/>
          </w:tcPr>
          <w:p w14:paraId="2D1FF4C8" w14:textId="77777777" w:rsidR="00733207" w:rsidRDefault="00912BAE">
            <w:pPr>
              <w:spacing w:after="0" w:line="240" w:lineRule="auto"/>
              <w:jc w:val="both"/>
              <w:rPr>
                <w:rFonts w:ascii="Rockwell" w:eastAsia="Calibri" w:hAnsi="Rockwell"/>
                <w:color w:val="0000FF"/>
                <w:sz w:val="28"/>
                <w:szCs w:val="28"/>
              </w:rPr>
            </w:pPr>
            <w:r>
              <w:rPr>
                <w:rFonts w:ascii="Rockwell" w:eastAsia="Calibri" w:hAnsi="Rockwell"/>
                <w:color w:val="0000FF"/>
                <w:sz w:val="28"/>
                <w:szCs w:val="28"/>
              </w:rPr>
              <w:t>FASO DETOX</w:t>
            </w:r>
          </w:p>
        </w:tc>
        <w:tc>
          <w:tcPr>
            <w:tcW w:w="4835" w:type="dxa"/>
            <w:vAlign w:val="bottom"/>
          </w:tcPr>
          <w:p w14:paraId="3DFE6C28"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6" w:name="_Toc175128744"/>
            <w:r w:rsidRPr="003F11D8">
              <w:rPr>
                <w:rFonts w:ascii="Rockwell" w:eastAsia="Calibri" w:hAnsi="Rockwell"/>
                <w:color w:val="0000FF"/>
                <w:sz w:val="28"/>
                <w:szCs w:val="28"/>
              </w:rPr>
              <w:t>www.fasodetox.info</w:t>
            </w:r>
            <w:bookmarkEnd w:id="746"/>
          </w:p>
        </w:tc>
      </w:tr>
      <w:tr w:rsidR="00733207" w14:paraId="6326DB7D" w14:textId="77777777">
        <w:trPr>
          <w:trHeight w:val="567"/>
          <w:jc w:val="center"/>
        </w:trPr>
        <w:tc>
          <w:tcPr>
            <w:tcW w:w="988" w:type="dxa"/>
          </w:tcPr>
          <w:p w14:paraId="51E744AD"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lastRenderedPageBreak/>
              <w:t>132</w:t>
            </w:r>
          </w:p>
        </w:tc>
        <w:tc>
          <w:tcPr>
            <w:tcW w:w="3827" w:type="dxa"/>
            <w:vAlign w:val="center"/>
          </w:tcPr>
          <w:p w14:paraId="3042881A" w14:textId="77777777" w:rsidR="00733207" w:rsidRDefault="00912BAE">
            <w:pPr>
              <w:spacing w:after="0" w:line="240" w:lineRule="auto"/>
              <w:jc w:val="both"/>
              <w:rPr>
                <w:rFonts w:ascii="Rockwell" w:eastAsia="Calibri" w:hAnsi="Rockwell"/>
                <w:color w:val="0000FF"/>
                <w:sz w:val="28"/>
                <w:szCs w:val="28"/>
              </w:rPr>
            </w:pPr>
            <w:r>
              <w:rPr>
                <w:rFonts w:ascii="Rockwell" w:eastAsia="Calibri" w:hAnsi="Rockwell"/>
                <w:color w:val="0000FF"/>
                <w:sz w:val="28"/>
                <w:szCs w:val="28"/>
              </w:rPr>
              <w:t>IWILICOMMUNICATION.NET</w:t>
            </w:r>
          </w:p>
        </w:tc>
        <w:tc>
          <w:tcPr>
            <w:tcW w:w="4835" w:type="dxa"/>
            <w:vAlign w:val="bottom"/>
          </w:tcPr>
          <w:p w14:paraId="036C0C77"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7" w:name="_Toc175128745"/>
            <w:r w:rsidRPr="003F11D8">
              <w:rPr>
                <w:rFonts w:ascii="Rockwell" w:eastAsia="Calibri" w:hAnsi="Rockwell"/>
                <w:color w:val="0000FF"/>
                <w:sz w:val="28"/>
                <w:szCs w:val="28"/>
              </w:rPr>
              <w:t>www.iwilicommunication.net</w:t>
            </w:r>
            <w:bookmarkEnd w:id="747"/>
          </w:p>
        </w:tc>
      </w:tr>
      <w:tr w:rsidR="00733207" w14:paraId="72F25F14" w14:textId="77777777">
        <w:trPr>
          <w:trHeight w:val="567"/>
          <w:jc w:val="center"/>
        </w:trPr>
        <w:tc>
          <w:tcPr>
            <w:tcW w:w="988" w:type="dxa"/>
          </w:tcPr>
          <w:p w14:paraId="64BF3555"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133</w:t>
            </w:r>
          </w:p>
        </w:tc>
        <w:tc>
          <w:tcPr>
            <w:tcW w:w="3827" w:type="dxa"/>
            <w:vAlign w:val="center"/>
          </w:tcPr>
          <w:p w14:paraId="166DDF70" w14:textId="77777777" w:rsidR="00733207" w:rsidRDefault="00912BAE">
            <w:pPr>
              <w:spacing w:after="0" w:line="240" w:lineRule="auto"/>
              <w:jc w:val="both"/>
              <w:rPr>
                <w:rFonts w:ascii="Rockwell" w:eastAsia="Calibri" w:hAnsi="Rockwell"/>
                <w:color w:val="0000FF"/>
                <w:sz w:val="28"/>
                <w:szCs w:val="28"/>
              </w:rPr>
            </w:pPr>
            <w:r>
              <w:rPr>
                <w:rFonts w:ascii="Rockwell" w:eastAsia="Calibri" w:hAnsi="Rockwell"/>
                <w:color w:val="0000FF"/>
                <w:sz w:val="28"/>
                <w:szCs w:val="28"/>
              </w:rPr>
              <w:t>Actualités au Faso</w:t>
            </w:r>
          </w:p>
        </w:tc>
        <w:tc>
          <w:tcPr>
            <w:tcW w:w="4835" w:type="dxa"/>
            <w:vAlign w:val="bottom"/>
          </w:tcPr>
          <w:p w14:paraId="10219233"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8" w:name="_Toc175128746"/>
            <w:r w:rsidRPr="003F11D8">
              <w:rPr>
                <w:rFonts w:ascii="Rockwell" w:eastAsia="Calibri" w:hAnsi="Rockwell"/>
                <w:color w:val="0000FF"/>
                <w:sz w:val="28"/>
                <w:szCs w:val="28"/>
              </w:rPr>
              <w:t>www.actualitésauFaso.net</w:t>
            </w:r>
            <w:bookmarkEnd w:id="748"/>
          </w:p>
        </w:tc>
      </w:tr>
      <w:tr w:rsidR="00733207" w14:paraId="420A5304" w14:textId="77777777">
        <w:trPr>
          <w:trHeight w:val="567"/>
          <w:jc w:val="center"/>
        </w:trPr>
        <w:tc>
          <w:tcPr>
            <w:tcW w:w="988" w:type="dxa"/>
          </w:tcPr>
          <w:p w14:paraId="57367714"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134</w:t>
            </w:r>
          </w:p>
        </w:tc>
        <w:tc>
          <w:tcPr>
            <w:tcW w:w="3827" w:type="dxa"/>
            <w:vAlign w:val="center"/>
          </w:tcPr>
          <w:p w14:paraId="5F831AFF" w14:textId="77777777" w:rsidR="00733207" w:rsidRDefault="00912BAE">
            <w:pPr>
              <w:spacing w:after="0" w:line="240" w:lineRule="auto"/>
              <w:jc w:val="both"/>
              <w:rPr>
                <w:rFonts w:ascii="Rockwell" w:eastAsia="Calibri" w:hAnsi="Rockwell"/>
                <w:color w:val="0000FF"/>
                <w:sz w:val="28"/>
                <w:szCs w:val="28"/>
              </w:rPr>
            </w:pPr>
            <w:r>
              <w:rPr>
                <w:rFonts w:ascii="Rockwell" w:eastAsia="Calibri" w:hAnsi="Rockwell"/>
                <w:color w:val="0000FF"/>
                <w:sz w:val="28"/>
                <w:szCs w:val="28"/>
              </w:rPr>
              <w:t>Colombe Média</w:t>
            </w:r>
          </w:p>
        </w:tc>
        <w:tc>
          <w:tcPr>
            <w:tcW w:w="4835" w:type="dxa"/>
            <w:vAlign w:val="bottom"/>
          </w:tcPr>
          <w:p w14:paraId="43AF9595"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49" w:name="_Toc175128747"/>
            <w:r w:rsidRPr="003F11D8">
              <w:rPr>
                <w:rFonts w:ascii="Rockwell" w:eastAsia="Calibri" w:hAnsi="Rockwell"/>
                <w:color w:val="0000FF"/>
                <w:sz w:val="28"/>
                <w:szCs w:val="28"/>
              </w:rPr>
              <w:t>www.colombemedia.net</w:t>
            </w:r>
            <w:bookmarkEnd w:id="749"/>
          </w:p>
        </w:tc>
      </w:tr>
      <w:tr w:rsidR="00733207" w14:paraId="3171FD18" w14:textId="77777777">
        <w:trPr>
          <w:trHeight w:val="567"/>
          <w:jc w:val="center"/>
        </w:trPr>
        <w:tc>
          <w:tcPr>
            <w:tcW w:w="988" w:type="dxa"/>
          </w:tcPr>
          <w:p w14:paraId="211F8AC9"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135</w:t>
            </w:r>
          </w:p>
        </w:tc>
        <w:tc>
          <w:tcPr>
            <w:tcW w:w="3827" w:type="dxa"/>
            <w:vAlign w:val="center"/>
          </w:tcPr>
          <w:p w14:paraId="521BFBB0" w14:textId="77777777" w:rsidR="00733207" w:rsidRDefault="00912BAE">
            <w:pPr>
              <w:spacing w:after="0" w:line="240" w:lineRule="auto"/>
              <w:jc w:val="both"/>
              <w:rPr>
                <w:rFonts w:ascii="Rockwell" w:eastAsia="Calibri" w:hAnsi="Rockwell"/>
                <w:color w:val="0000FF"/>
                <w:sz w:val="28"/>
                <w:szCs w:val="28"/>
              </w:rPr>
            </w:pPr>
            <w:r>
              <w:rPr>
                <w:rFonts w:ascii="Rockwell" w:eastAsia="Calibri" w:hAnsi="Rockwell"/>
                <w:color w:val="0000FF"/>
                <w:sz w:val="28"/>
                <w:szCs w:val="28"/>
              </w:rPr>
              <w:t>Refletinfo.net</w:t>
            </w:r>
          </w:p>
        </w:tc>
        <w:tc>
          <w:tcPr>
            <w:tcW w:w="4835" w:type="dxa"/>
            <w:vAlign w:val="bottom"/>
          </w:tcPr>
          <w:p w14:paraId="16937165" w14:textId="77777777" w:rsidR="00733207" w:rsidRPr="003F11D8" w:rsidRDefault="00912BAE">
            <w:pPr>
              <w:tabs>
                <w:tab w:val="left" w:pos="3119"/>
              </w:tabs>
              <w:spacing w:after="0" w:line="240" w:lineRule="auto"/>
              <w:jc w:val="both"/>
              <w:outlineLvl w:val="0"/>
              <w:rPr>
                <w:rFonts w:ascii="Rockwell" w:eastAsia="Calibri" w:hAnsi="Rockwell"/>
                <w:color w:val="0000FF"/>
                <w:sz w:val="28"/>
                <w:szCs w:val="28"/>
              </w:rPr>
            </w:pPr>
            <w:bookmarkStart w:id="750" w:name="_Toc175128748"/>
            <w:r w:rsidRPr="003F11D8">
              <w:rPr>
                <w:rFonts w:ascii="Rockwell" w:eastAsia="Calibri" w:hAnsi="Rockwell"/>
                <w:color w:val="0000FF"/>
                <w:sz w:val="28"/>
                <w:szCs w:val="28"/>
              </w:rPr>
              <w:t>www.refletinfo.net</w:t>
            </w:r>
            <w:bookmarkEnd w:id="750"/>
          </w:p>
        </w:tc>
      </w:tr>
      <w:tr w:rsidR="00733207" w14:paraId="48FB0759" w14:textId="77777777">
        <w:trPr>
          <w:trHeight w:val="567"/>
          <w:jc w:val="center"/>
        </w:trPr>
        <w:tc>
          <w:tcPr>
            <w:tcW w:w="988" w:type="dxa"/>
          </w:tcPr>
          <w:p w14:paraId="7D074D8B"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136</w:t>
            </w:r>
          </w:p>
        </w:tc>
        <w:tc>
          <w:tcPr>
            <w:tcW w:w="3827" w:type="dxa"/>
            <w:tcBorders>
              <w:top w:val="single" w:sz="4" w:space="0" w:color="auto"/>
              <w:bottom w:val="single" w:sz="4" w:space="0" w:color="auto"/>
            </w:tcBorders>
            <w:shd w:val="clear" w:color="auto" w:fill="FFFFFF"/>
          </w:tcPr>
          <w:p w14:paraId="1C36C6CF" w14:textId="77777777" w:rsidR="00733207" w:rsidRDefault="00912BAE">
            <w:pPr>
              <w:spacing w:after="0" w:line="240" w:lineRule="auto"/>
              <w:jc w:val="both"/>
              <w:rPr>
                <w:rFonts w:ascii="Rockwell" w:eastAsia="Calibri" w:hAnsi="Rockwell"/>
                <w:sz w:val="28"/>
                <w:szCs w:val="28"/>
              </w:rPr>
            </w:pPr>
            <w:r>
              <w:rPr>
                <w:rFonts w:ascii="Rockwell" w:eastAsia="Calibri" w:hAnsi="Rockwell"/>
                <w:sz w:val="28"/>
                <w:szCs w:val="28"/>
              </w:rPr>
              <w:t>MOND’ ART</w:t>
            </w:r>
          </w:p>
        </w:tc>
        <w:tc>
          <w:tcPr>
            <w:tcW w:w="4835" w:type="dxa"/>
          </w:tcPr>
          <w:p w14:paraId="7C75A9AB" w14:textId="77777777" w:rsidR="00733207" w:rsidRPr="003F11D8" w:rsidRDefault="00912BAE">
            <w:pPr>
              <w:tabs>
                <w:tab w:val="left" w:pos="3119"/>
              </w:tabs>
              <w:spacing w:after="0" w:line="240" w:lineRule="auto"/>
              <w:jc w:val="both"/>
              <w:outlineLvl w:val="0"/>
              <w:rPr>
                <w:rFonts w:ascii="Rockwell" w:eastAsia="Calibri" w:hAnsi="Rockwell"/>
                <w:sz w:val="28"/>
                <w:szCs w:val="28"/>
              </w:rPr>
            </w:pPr>
            <w:bookmarkStart w:id="751" w:name="_Toc175128749"/>
            <w:r w:rsidRPr="003F11D8">
              <w:rPr>
                <w:rFonts w:ascii="Rockwell" w:eastAsia="Calibri" w:hAnsi="Rockwell"/>
                <w:sz w:val="28"/>
                <w:szCs w:val="28"/>
              </w:rPr>
              <w:t>www.mondArts.com</w:t>
            </w:r>
            <w:bookmarkEnd w:id="751"/>
          </w:p>
        </w:tc>
      </w:tr>
    </w:tbl>
    <w:p w14:paraId="6155AF7B" w14:textId="77777777" w:rsidR="00733207" w:rsidRDefault="00733207">
      <w:pPr>
        <w:jc w:val="both"/>
        <w:rPr>
          <w:rFonts w:ascii="Rockwell" w:hAnsi="Rockwell"/>
          <w:kern w:val="2"/>
          <w14:ligatures w14:val="standardContextual"/>
        </w:rPr>
      </w:pPr>
    </w:p>
    <w:p w14:paraId="2613C816" w14:textId="77777777" w:rsidR="00733207" w:rsidRDefault="00733207">
      <w:pPr>
        <w:jc w:val="both"/>
        <w:rPr>
          <w:rFonts w:ascii="Rockwell" w:hAnsi="Rockwell"/>
          <w:kern w:val="2"/>
          <w14:ligatures w14:val="standardContextual"/>
        </w:rPr>
        <w:sectPr w:rsidR="00733207">
          <w:pgSz w:w="11906" w:h="16838"/>
          <w:pgMar w:top="1417" w:right="1417" w:bottom="1417" w:left="1417" w:header="708" w:footer="708" w:gutter="0"/>
          <w:cols w:space="708"/>
          <w:docGrid w:linePitch="360"/>
        </w:sectPr>
      </w:pPr>
    </w:p>
    <w:p w14:paraId="5C3F777A" w14:textId="77777777" w:rsidR="00733207" w:rsidRPr="00272656" w:rsidRDefault="00912BAE">
      <w:pPr>
        <w:keepNext/>
        <w:keepLines/>
        <w:spacing w:before="240" w:after="240" w:line="288" w:lineRule="auto"/>
        <w:ind w:left="227"/>
        <w:jc w:val="both"/>
        <w:outlineLvl w:val="1"/>
        <w:rPr>
          <w:rFonts w:ascii="Rockwell" w:eastAsia="Times New Roman" w:hAnsi="Rockwell" w:cs="Times New Roman"/>
          <w:b/>
          <w:color w:val="2F5496"/>
          <w:sz w:val="32"/>
          <w:szCs w:val="32"/>
        </w:rPr>
      </w:pPr>
      <w:bookmarkStart w:id="752" w:name="_Toc175128750"/>
      <w:r w:rsidRPr="00272656">
        <w:rPr>
          <w:rFonts w:ascii="Rockwell" w:eastAsia="Times New Roman" w:hAnsi="Rockwell" w:cs="Times New Roman"/>
          <w:b/>
          <w:sz w:val="32"/>
          <w:szCs w:val="32"/>
        </w:rPr>
        <w:lastRenderedPageBreak/>
        <w:t>Répertoire Web médias</w:t>
      </w:r>
      <w:bookmarkEnd w:id="752"/>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1"/>
        <w:gridCol w:w="4371"/>
        <w:gridCol w:w="4819"/>
      </w:tblGrid>
      <w:tr w:rsidR="00733207" w14:paraId="227CF773" w14:textId="77777777">
        <w:trPr>
          <w:trHeight w:val="695"/>
          <w:jc w:val="center"/>
        </w:trPr>
        <w:tc>
          <w:tcPr>
            <w:tcW w:w="1011" w:type="dxa"/>
            <w:shd w:val="clear" w:color="auto" w:fill="D9D9D9"/>
          </w:tcPr>
          <w:p w14:paraId="09D763D5" w14:textId="77777777" w:rsidR="00733207" w:rsidRDefault="00912BAE">
            <w:pPr>
              <w:spacing w:after="0" w:line="240" w:lineRule="auto"/>
              <w:jc w:val="center"/>
              <w:rPr>
                <w:rFonts w:ascii="Rockwell" w:eastAsia="Calibri" w:hAnsi="Rockwell" w:cs="Times New Roman"/>
                <w:b/>
                <w:sz w:val="28"/>
                <w:szCs w:val="28"/>
              </w:rPr>
            </w:pPr>
            <w:r>
              <w:rPr>
                <w:rFonts w:ascii="Rockwell" w:eastAsia="Calibri" w:hAnsi="Rockwell" w:cs="Times New Roman"/>
                <w:b/>
                <w:sz w:val="28"/>
                <w:szCs w:val="28"/>
              </w:rPr>
              <w:t>N°</w:t>
            </w:r>
          </w:p>
        </w:tc>
        <w:tc>
          <w:tcPr>
            <w:tcW w:w="4371" w:type="dxa"/>
            <w:shd w:val="clear" w:color="auto" w:fill="D9D9D9"/>
          </w:tcPr>
          <w:p w14:paraId="271D940F" w14:textId="77777777" w:rsidR="00733207" w:rsidRDefault="00912BAE">
            <w:pPr>
              <w:spacing w:after="0" w:line="240" w:lineRule="auto"/>
              <w:jc w:val="center"/>
              <w:rPr>
                <w:rFonts w:ascii="Rockwell" w:eastAsia="Calibri" w:hAnsi="Rockwell" w:cs="Times New Roman"/>
                <w:b/>
                <w:sz w:val="28"/>
                <w:szCs w:val="28"/>
              </w:rPr>
            </w:pPr>
            <w:r>
              <w:rPr>
                <w:rFonts w:ascii="Rockwell" w:eastAsia="Calibri" w:hAnsi="Rockwell" w:cs="Times New Roman"/>
                <w:b/>
                <w:sz w:val="28"/>
                <w:szCs w:val="28"/>
              </w:rPr>
              <w:t>Dénomination</w:t>
            </w:r>
          </w:p>
        </w:tc>
        <w:tc>
          <w:tcPr>
            <w:tcW w:w="4819" w:type="dxa"/>
            <w:shd w:val="clear" w:color="auto" w:fill="D9D9D9"/>
          </w:tcPr>
          <w:p w14:paraId="34C5C756" w14:textId="77777777" w:rsidR="00733207" w:rsidRDefault="00912BAE">
            <w:pPr>
              <w:spacing w:after="0" w:line="240" w:lineRule="auto"/>
              <w:jc w:val="center"/>
              <w:rPr>
                <w:rFonts w:ascii="Rockwell" w:eastAsia="Calibri" w:hAnsi="Rockwell" w:cs="Times New Roman"/>
                <w:b/>
                <w:sz w:val="28"/>
                <w:szCs w:val="28"/>
              </w:rPr>
            </w:pPr>
            <w:r>
              <w:rPr>
                <w:rFonts w:ascii="Rockwell" w:eastAsia="Calibri" w:hAnsi="Rockwell" w:cs="Times New Roman"/>
                <w:b/>
                <w:sz w:val="28"/>
                <w:szCs w:val="28"/>
              </w:rPr>
              <w:t>Adresse</w:t>
            </w:r>
          </w:p>
        </w:tc>
      </w:tr>
      <w:tr w:rsidR="00733207" w14:paraId="5C4D96ED" w14:textId="77777777">
        <w:trPr>
          <w:trHeight w:val="621"/>
          <w:jc w:val="center"/>
        </w:trPr>
        <w:tc>
          <w:tcPr>
            <w:tcW w:w="1011" w:type="dxa"/>
          </w:tcPr>
          <w:p w14:paraId="2F2DBC03"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w:t>
            </w:r>
          </w:p>
        </w:tc>
        <w:tc>
          <w:tcPr>
            <w:tcW w:w="4371" w:type="dxa"/>
            <w:shd w:val="clear" w:color="auto" w:fill="auto"/>
          </w:tcPr>
          <w:p w14:paraId="089292A3" w14:textId="77777777" w:rsidR="00733207" w:rsidRDefault="00912BAE">
            <w:pPr>
              <w:spacing w:after="0" w:line="240" w:lineRule="auto"/>
              <w:jc w:val="both"/>
              <w:rPr>
                <w:rFonts w:ascii="Rockwell" w:eastAsia="Calibri" w:hAnsi="Rockwell" w:cs="Times New Roman"/>
                <w:sz w:val="28"/>
                <w:szCs w:val="28"/>
              </w:rPr>
            </w:pPr>
            <w:proofErr w:type="spellStart"/>
            <w:r>
              <w:rPr>
                <w:rFonts w:ascii="Rockwell" w:eastAsia="Calibri" w:hAnsi="Rockwell" w:cs="Times New Roman"/>
                <w:sz w:val="28"/>
                <w:szCs w:val="28"/>
              </w:rPr>
              <w:t>Culturdev</w:t>
            </w:r>
            <w:proofErr w:type="spellEnd"/>
            <w:r>
              <w:rPr>
                <w:rFonts w:ascii="Rockwell" w:eastAsia="Calibri" w:hAnsi="Rockwell" w:cs="Times New Roman"/>
                <w:sz w:val="28"/>
                <w:szCs w:val="28"/>
              </w:rPr>
              <w:t xml:space="preserve"> tv</w:t>
            </w:r>
          </w:p>
        </w:tc>
        <w:tc>
          <w:tcPr>
            <w:tcW w:w="4819" w:type="dxa"/>
            <w:shd w:val="clear" w:color="auto" w:fill="auto"/>
          </w:tcPr>
          <w:p w14:paraId="7A103EFE" w14:textId="77777777" w:rsidR="00733207" w:rsidRPr="00272656" w:rsidRDefault="00912BAE">
            <w:pPr>
              <w:spacing w:after="0" w:line="240" w:lineRule="auto"/>
              <w:jc w:val="both"/>
              <w:rPr>
                <w:rFonts w:ascii="Rockwell" w:eastAsia="Calibri" w:hAnsi="Rockwell" w:cs="Times New Roman"/>
                <w:sz w:val="28"/>
                <w:szCs w:val="28"/>
              </w:rPr>
            </w:pPr>
            <w:r w:rsidRPr="00272656">
              <w:rPr>
                <w:rFonts w:ascii="Rockwell" w:eastAsia="Calibri" w:hAnsi="Rockwell" w:cs="Times New Roman"/>
                <w:sz w:val="28"/>
                <w:szCs w:val="28"/>
              </w:rPr>
              <w:t>www.culturedev.tv</w:t>
            </w:r>
          </w:p>
        </w:tc>
      </w:tr>
      <w:tr w:rsidR="00733207" w14:paraId="5A889AB7" w14:textId="77777777">
        <w:trPr>
          <w:trHeight w:val="621"/>
          <w:jc w:val="center"/>
        </w:trPr>
        <w:tc>
          <w:tcPr>
            <w:tcW w:w="1011" w:type="dxa"/>
          </w:tcPr>
          <w:p w14:paraId="27A3D74B"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2</w:t>
            </w:r>
          </w:p>
        </w:tc>
        <w:tc>
          <w:tcPr>
            <w:tcW w:w="4371" w:type="dxa"/>
          </w:tcPr>
          <w:p w14:paraId="53871FE0"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Droit libre Tv</w:t>
            </w:r>
          </w:p>
        </w:tc>
        <w:tc>
          <w:tcPr>
            <w:tcW w:w="4819" w:type="dxa"/>
          </w:tcPr>
          <w:p w14:paraId="01DEC718" w14:textId="77777777" w:rsidR="00733207" w:rsidRPr="00272656" w:rsidRDefault="00E06378">
            <w:pPr>
              <w:spacing w:after="0" w:line="240" w:lineRule="auto"/>
              <w:jc w:val="both"/>
              <w:rPr>
                <w:rFonts w:ascii="Rockwell" w:eastAsia="Calibri" w:hAnsi="Rockwell" w:cs="Times New Roman"/>
                <w:sz w:val="28"/>
                <w:szCs w:val="28"/>
              </w:rPr>
            </w:pPr>
            <w:hyperlink r:id="rId158" w:history="1">
              <w:r w:rsidR="00912BAE" w:rsidRPr="00272656">
                <w:rPr>
                  <w:rFonts w:ascii="Rockwell" w:eastAsia="Calibri" w:hAnsi="Rockwell" w:cs="Times New Roman"/>
                  <w:color w:val="0000FF"/>
                  <w:sz w:val="28"/>
                  <w:szCs w:val="28"/>
                </w:rPr>
                <w:t>www.droitlibre.tv</w:t>
              </w:r>
            </w:hyperlink>
          </w:p>
        </w:tc>
      </w:tr>
      <w:tr w:rsidR="00733207" w14:paraId="23E5634C" w14:textId="77777777">
        <w:trPr>
          <w:trHeight w:val="621"/>
          <w:jc w:val="center"/>
        </w:trPr>
        <w:tc>
          <w:tcPr>
            <w:tcW w:w="1011" w:type="dxa"/>
          </w:tcPr>
          <w:p w14:paraId="45A444C3"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3</w:t>
            </w:r>
          </w:p>
        </w:tc>
        <w:tc>
          <w:tcPr>
            <w:tcW w:w="4371" w:type="dxa"/>
          </w:tcPr>
          <w:p w14:paraId="49EEB4FF"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Agro-business TV</w:t>
            </w:r>
          </w:p>
        </w:tc>
        <w:tc>
          <w:tcPr>
            <w:tcW w:w="4819" w:type="dxa"/>
          </w:tcPr>
          <w:p w14:paraId="65A27167" w14:textId="77777777" w:rsidR="00733207" w:rsidRPr="00272656" w:rsidRDefault="00912BAE">
            <w:pPr>
              <w:spacing w:after="0" w:line="240" w:lineRule="auto"/>
              <w:jc w:val="both"/>
              <w:rPr>
                <w:rFonts w:ascii="Rockwell" w:eastAsia="Calibri" w:hAnsi="Rockwell" w:cs="Times New Roman"/>
                <w:sz w:val="28"/>
                <w:szCs w:val="28"/>
              </w:rPr>
            </w:pPr>
            <w:r w:rsidRPr="00272656">
              <w:rPr>
                <w:rFonts w:ascii="Rockwell" w:eastAsia="Calibri" w:hAnsi="Rockwell" w:cs="Times New Roman"/>
                <w:sz w:val="28"/>
                <w:szCs w:val="28"/>
              </w:rPr>
              <w:t>www.agribusinesstv.info</w:t>
            </w:r>
          </w:p>
        </w:tc>
      </w:tr>
      <w:tr w:rsidR="00733207" w14:paraId="4ED6AAEF" w14:textId="77777777">
        <w:trPr>
          <w:trHeight w:val="621"/>
          <w:jc w:val="center"/>
        </w:trPr>
        <w:tc>
          <w:tcPr>
            <w:tcW w:w="1011" w:type="dxa"/>
          </w:tcPr>
          <w:p w14:paraId="321F1D26"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4</w:t>
            </w:r>
          </w:p>
        </w:tc>
        <w:tc>
          <w:tcPr>
            <w:tcW w:w="4371" w:type="dxa"/>
          </w:tcPr>
          <w:p w14:paraId="6EADF9AB"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 xml:space="preserve">Radio </w:t>
            </w:r>
            <w:proofErr w:type="spellStart"/>
            <w:r>
              <w:rPr>
                <w:rFonts w:ascii="Rockwell" w:eastAsia="Calibri" w:hAnsi="Rockwell" w:cs="Times New Roman"/>
                <w:sz w:val="28"/>
                <w:szCs w:val="28"/>
              </w:rPr>
              <w:t>miirya</w:t>
            </w:r>
            <w:proofErr w:type="spellEnd"/>
            <w:r>
              <w:rPr>
                <w:rFonts w:ascii="Rockwell" w:eastAsia="Calibri" w:hAnsi="Rockwell" w:cs="Times New Roman"/>
                <w:sz w:val="28"/>
                <w:szCs w:val="28"/>
              </w:rPr>
              <w:t xml:space="preserve"> (radio en ligne)</w:t>
            </w:r>
          </w:p>
        </w:tc>
        <w:tc>
          <w:tcPr>
            <w:tcW w:w="4819" w:type="dxa"/>
          </w:tcPr>
          <w:p w14:paraId="234FFE2C" w14:textId="77777777" w:rsidR="00733207" w:rsidRPr="00272656" w:rsidRDefault="00912BAE">
            <w:pPr>
              <w:spacing w:after="0" w:line="240" w:lineRule="auto"/>
              <w:jc w:val="both"/>
              <w:rPr>
                <w:rFonts w:ascii="Rockwell" w:eastAsia="Calibri" w:hAnsi="Rockwell" w:cs="Times New Roman"/>
                <w:sz w:val="28"/>
                <w:szCs w:val="28"/>
              </w:rPr>
            </w:pPr>
            <w:r w:rsidRPr="00272656">
              <w:rPr>
                <w:rFonts w:ascii="Rockwell" w:eastAsia="Calibri" w:hAnsi="Rockwell" w:cs="Times New Roman"/>
                <w:sz w:val="28"/>
                <w:szCs w:val="28"/>
              </w:rPr>
              <w:t>www.radiomiirya.wordpress.com</w:t>
            </w:r>
          </w:p>
        </w:tc>
      </w:tr>
      <w:tr w:rsidR="00733207" w14:paraId="68D8236F" w14:textId="77777777">
        <w:trPr>
          <w:trHeight w:val="621"/>
          <w:jc w:val="center"/>
        </w:trPr>
        <w:tc>
          <w:tcPr>
            <w:tcW w:w="1011" w:type="dxa"/>
          </w:tcPr>
          <w:p w14:paraId="1C688192"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5</w:t>
            </w:r>
          </w:p>
        </w:tc>
        <w:tc>
          <w:tcPr>
            <w:tcW w:w="4371" w:type="dxa"/>
          </w:tcPr>
          <w:p w14:paraId="703F8358"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BOIMA</w:t>
            </w:r>
          </w:p>
        </w:tc>
        <w:tc>
          <w:tcPr>
            <w:tcW w:w="4819" w:type="dxa"/>
          </w:tcPr>
          <w:p w14:paraId="4F9EC7D8" w14:textId="77777777" w:rsidR="00733207" w:rsidRPr="00272656" w:rsidRDefault="00E06378">
            <w:pPr>
              <w:spacing w:after="0" w:line="240" w:lineRule="auto"/>
              <w:jc w:val="both"/>
              <w:rPr>
                <w:rFonts w:ascii="Rockwell" w:eastAsia="Calibri" w:hAnsi="Rockwell" w:cs="Times New Roman"/>
                <w:sz w:val="28"/>
                <w:szCs w:val="28"/>
              </w:rPr>
            </w:pPr>
            <w:hyperlink r:id="rId159" w:history="1">
              <w:r w:rsidR="00912BAE" w:rsidRPr="00272656">
                <w:rPr>
                  <w:rFonts w:ascii="Rockwell" w:eastAsia="Calibri" w:hAnsi="Rockwell" w:cs="Times New Roman"/>
                  <w:color w:val="0000FF"/>
                  <w:sz w:val="28"/>
                  <w:szCs w:val="28"/>
                </w:rPr>
                <w:t>www.boima.com</w:t>
              </w:r>
            </w:hyperlink>
          </w:p>
          <w:p w14:paraId="1965937F" w14:textId="77777777" w:rsidR="00733207" w:rsidRPr="00272656" w:rsidRDefault="00733207">
            <w:pPr>
              <w:spacing w:after="0" w:line="240" w:lineRule="auto"/>
              <w:jc w:val="both"/>
              <w:rPr>
                <w:rFonts w:ascii="Rockwell" w:eastAsia="Calibri" w:hAnsi="Rockwell" w:cs="Times New Roman"/>
                <w:sz w:val="28"/>
                <w:szCs w:val="28"/>
              </w:rPr>
            </w:pPr>
          </w:p>
        </w:tc>
      </w:tr>
      <w:tr w:rsidR="00733207" w14:paraId="51BEFCEF" w14:textId="77777777">
        <w:trPr>
          <w:trHeight w:val="621"/>
          <w:jc w:val="center"/>
        </w:trPr>
        <w:tc>
          <w:tcPr>
            <w:tcW w:w="1011" w:type="dxa"/>
          </w:tcPr>
          <w:p w14:paraId="46D45149"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6</w:t>
            </w:r>
          </w:p>
        </w:tc>
        <w:tc>
          <w:tcPr>
            <w:tcW w:w="4371" w:type="dxa"/>
          </w:tcPr>
          <w:p w14:paraId="5A3F2FF0"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Fasotv.net</w:t>
            </w:r>
          </w:p>
        </w:tc>
        <w:tc>
          <w:tcPr>
            <w:tcW w:w="4819" w:type="dxa"/>
          </w:tcPr>
          <w:p w14:paraId="451F02E6" w14:textId="77777777" w:rsidR="00733207" w:rsidRPr="00272656" w:rsidRDefault="00E06378">
            <w:pPr>
              <w:spacing w:after="0" w:line="240" w:lineRule="auto"/>
              <w:jc w:val="both"/>
              <w:rPr>
                <w:rFonts w:ascii="Rockwell" w:eastAsia="Calibri" w:hAnsi="Rockwell" w:cs="Times New Roman"/>
                <w:sz w:val="28"/>
                <w:szCs w:val="28"/>
              </w:rPr>
            </w:pPr>
            <w:hyperlink r:id="rId160" w:history="1">
              <w:r w:rsidR="00912BAE" w:rsidRPr="00272656">
                <w:rPr>
                  <w:rFonts w:ascii="Rockwell" w:eastAsia="Calibri" w:hAnsi="Rockwell" w:cs="Times New Roman"/>
                  <w:color w:val="0000FF"/>
                  <w:sz w:val="28"/>
                  <w:szCs w:val="28"/>
                </w:rPr>
                <w:t>www.fasotv.net</w:t>
              </w:r>
            </w:hyperlink>
          </w:p>
        </w:tc>
      </w:tr>
      <w:tr w:rsidR="00733207" w14:paraId="26253C91" w14:textId="77777777">
        <w:trPr>
          <w:trHeight w:val="621"/>
          <w:jc w:val="center"/>
        </w:trPr>
        <w:tc>
          <w:tcPr>
            <w:tcW w:w="1011" w:type="dxa"/>
          </w:tcPr>
          <w:p w14:paraId="26FA2C53"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7</w:t>
            </w:r>
          </w:p>
        </w:tc>
        <w:tc>
          <w:tcPr>
            <w:tcW w:w="4371" w:type="dxa"/>
          </w:tcPr>
          <w:p w14:paraId="66833B46" w14:textId="77777777" w:rsidR="00733207" w:rsidRDefault="00912BAE">
            <w:pPr>
              <w:spacing w:after="0" w:line="240" w:lineRule="auto"/>
              <w:jc w:val="both"/>
              <w:rPr>
                <w:rFonts w:ascii="Rockwell" w:eastAsia="Calibri" w:hAnsi="Rockwell" w:cs="Times New Roman"/>
                <w:sz w:val="28"/>
                <w:szCs w:val="28"/>
              </w:rPr>
            </w:pPr>
            <w:proofErr w:type="spellStart"/>
            <w:r>
              <w:rPr>
                <w:rFonts w:ascii="Rockwell" w:eastAsia="Calibri" w:hAnsi="Rockwell" w:cs="Times New Roman"/>
                <w:sz w:val="28"/>
                <w:szCs w:val="28"/>
              </w:rPr>
              <w:t>Zissaya</w:t>
            </w:r>
            <w:proofErr w:type="spellEnd"/>
            <w:r>
              <w:rPr>
                <w:rFonts w:ascii="Rockwell" w:eastAsia="Calibri" w:hAnsi="Rockwell" w:cs="Times New Roman"/>
                <w:sz w:val="28"/>
                <w:szCs w:val="28"/>
              </w:rPr>
              <w:t xml:space="preserve"> tv.</w:t>
            </w:r>
          </w:p>
        </w:tc>
        <w:tc>
          <w:tcPr>
            <w:tcW w:w="4819" w:type="dxa"/>
          </w:tcPr>
          <w:p w14:paraId="5385E570" w14:textId="77777777" w:rsidR="00733207" w:rsidRPr="00272656" w:rsidRDefault="00E06378">
            <w:pPr>
              <w:spacing w:after="0" w:line="240" w:lineRule="auto"/>
              <w:jc w:val="both"/>
              <w:rPr>
                <w:rFonts w:ascii="Rockwell" w:eastAsia="Calibri" w:hAnsi="Rockwell" w:cs="Times New Roman"/>
                <w:sz w:val="28"/>
                <w:szCs w:val="28"/>
              </w:rPr>
            </w:pPr>
            <w:hyperlink r:id="rId161" w:history="1">
              <w:r w:rsidR="00912BAE" w:rsidRPr="00272656">
                <w:rPr>
                  <w:rFonts w:ascii="Rockwell" w:eastAsia="Calibri" w:hAnsi="Rockwell" w:cs="Times New Roman"/>
                  <w:color w:val="0000FF"/>
                  <w:sz w:val="28"/>
                  <w:szCs w:val="28"/>
                </w:rPr>
                <w:t>www.zissayatv.net</w:t>
              </w:r>
            </w:hyperlink>
          </w:p>
          <w:p w14:paraId="52BFE0F0" w14:textId="77777777" w:rsidR="00733207" w:rsidRPr="00272656" w:rsidRDefault="00733207">
            <w:pPr>
              <w:spacing w:after="0" w:line="240" w:lineRule="auto"/>
              <w:jc w:val="both"/>
              <w:rPr>
                <w:rFonts w:ascii="Rockwell" w:eastAsia="Calibri" w:hAnsi="Rockwell" w:cs="Times New Roman"/>
                <w:sz w:val="28"/>
                <w:szCs w:val="28"/>
              </w:rPr>
            </w:pPr>
          </w:p>
        </w:tc>
      </w:tr>
      <w:tr w:rsidR="00733207" w14:paraId="135825F8" w14:textId="77777777">
        <w:trPr>
          <w:trHeight w:val="621"/>
          <w:jc w:val="center"/>
        </w:trPr>
        <w:tc>
          <w:tcPr>
            <w:tcW w:w="1011" w:type="dxa"/>
          </w:tcPr>
          <w:p w14:paraId="7D91574C"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8</w:t>
            </w:r>
          </w:p>
        </w:tc>
        <w:tc>
          <w:tcPr>
            <w:tcW w:w="4371" w:type="dxa"/>
          </w:tcPr>
          <w:p w14:paraId="4BCEE988"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Radio mère RCB (web radio)</w:t>
            </w:r>
          </w:p>
        </w:tc>
        <w:tc>
          <w:tcPr>
            <w:tcW w:w="4819" w:type="dxa"/>
          </w:tcPr>
          <w:p w14:paraId="5BE1E809" w14:textId="77777777" w:rsidR="00733207" w:rsidRPr="00272656" w:rsidRDefault="00E06378">
            <w:pPr>
              <w:spacing w:after="0" w:line="240" w:lineRule="auto"/>
              <w:jc w:val="both"/>
              <w:rPr>
                <w:rFonts w:ascii="Rockwell" w:eastAsia="Calibri" w:hAnsi="Rockwell" w:cs="Times New Roman"/>
                <w:sz w:val="28"/>
                <w:szCs w:val="28"/>
              </w:rPr>
            </w:pPr>
            <w:hyperlink r:id="rId162" w:history="1">
              <w:r w:rsidR="00912BAE" w:rsidRPr="00272656">
                <w:rPr>
                  <w:rFonts w:ascii="Rockwell" w:eastAsia="Calibri" w:hAnsi="Rockwell" w:cs="Times New Roman"/>
                  <w:color w:val="0000FF"/>
                  <w:sz w:val="28"/>
                  <w:szCs w:val="28"/>
                </w:rPr>
                <w:t>www.rcburkina.org</w:t>
              </w:r>
            </w:hyperlink>
          </w:p>
          <w:p w14:paraId="048F951D" w14:textId="77777777" w:rsidR="00733207" w:rsidRPr="00272656" w:rsidRDefault="00733207">
            <w:pPr>
              <w:spacing w:after="0" w:line="240" w:lineRule="auto"/>
              <w:jc w:val="both"/>
              <w:rPr>
                <w:rFonts w:ascii="Rockwell" w:eastAsia="Calibri" w:hAnsi="Rockwell" w:cs="Times New Roman"/>
                <w:sz w:val="28"/>
                <w:szCs w:val="28"/>
              </w:rPr>
            </w:pPr>
          </w:p>
        </w:tc>
      </w:tr>
      <w:tr w:rsidR="00733207" w14:paraId="4C894393" w14:textId="77777777">
        <w:trPr>
          <w:trHeight w:val="621"/>
          <w:jc w:val="center"/>
        </w:trPr>
        <w:tc>
          <w:tcPr>
            <w:tcW w:w="1011" w:type="dxa"/>
          </w:tcPr>
          <w:p w14:paraId="37B569EB"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9</w:t>
            </w:r>
          </w:p>
        </w:tc>
        <w:tc>
          <w:tcPr>
            <w:tcW w:w="4371" w:type="dxa"/>
          </w:tcPr>
          <w:p w14:paraId="45AD3982"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Radio BZ (</w:t>
            </w:r>
            <w:proofErr w:type="spellStart"/>
            <w:r>
              <w:rPr>
                <w:rFonts w:ascii="Rockwell" w:eastAsia="Calibri" w:hAnsi="Rockwell" w:cs="Times New Roman"/>
                <w:sz w:val="28"/>
                <w:szCs w:val="28"/>
              </w:rPr>
              <w:t>bizi</w:t>
            </w:r>
            <w:proofErr w:type="spellEnd"/>
            <w:r>
              <w:rPr>
                <w:rFonts w:ascii="Rockwell" w:eastAsia="Calibri" w:hAnsi="Rockwell" w:cs="Times New Roman"/>
                <w:sz w:val="28"/>
                <w:szCs w:val="28"/>
              </w:rPr>
              <w:t>)</w:t>
            </w:r>
          </w:p>
        </w:tc>
        <w:tc>
          <w:tcPr>
            <w:tcW w:w="4819" w:type="dxa"/>
          </w:tcPr>
          <w:p w14:paraId="2184019A" w14:textId="77777777" w:rsidR="00733207" w:rsidRPr="00272656" w:rsidRDefault="00912BAE">
            <w:pPr>
              <w:spacing w:after="0" w:line="240" w:lineRule="auto"/>
              <w:jc w:val="both"/>
              <w:rPr>
                <w:rFonts w:ascii="Rockwell" w:eastAsia="Calibri" w:hAnsi="Rockwell" w:cs="Times New Roman"/>
                <w:sz w:val="28"/>
                <w:szCs w:val="28"/>
              </w:rPr>
            </w:pPr>
            <w:r w:rsidRPr="00272656">
              <w:rPr>
                <w:rFonts w:ascii="Rockwell" w:eastAsia="Calibri" w:hAnsi="Rockwell" w:cs="Times New Roman"/>
                <w:sz w:val="28"/>
                <w:szCs w:val="28"/>
              </w:rPr>
              <w:t>www.radiobizi.com</w:t>
            </w:r>
          </w:p>
          <w:p w14:paraId="603E2E76" w14:textId="77777777" w:rsidR="00733207" w:rsidRPr="00272656" w:rsidRDefault="00733207">
            <w:pPr>
              <w:spacing w:after="0" w:line="240" w:lineRule="auto"/>
              <w:jc w:val="both"/>
              <w:rPr>
                <w:rFonts w:ascii="Rockwell" w:hAnsi="Rockwell"/>
                <w:sz w:val="28"/>
                <w:szCs w:val="28"/>
              </w:rPr>
            </w:pPr>
          </w:p>
        </w:tc>
      </w:tr>
      <w:tr w:rsidR="00733207" w14:paraId="7874EB7D" w14:textId="77777777">
        <w:trPr>
          <w:trHeight w:val="621"/>
          <w:jc w:val="center"/>
        </w:trPr>
        <w:tc>
          <w:tcPr>
            <w:tcW w:w="1011" w:type="dxa"/>
          </w:tcPr>
          <w:p w14:paraId="48F24F05"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10</w:t>
            </w:r>
          </w:p>
        </w:tc>
        <w:tc>
          <w:tcPr>
            <w:tcW w:w="4371" w:type="dxa"/>
          </w:tcPr>
          <w:p w14:paraId="12CE4CE2"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Focus TV</w:t>
            </w:r>
          </w:p>
        </w:tc>
        <w:tc>
          <w:tcPr>
            <w:tcW w:w="4819" w:type="dxa"/>
          </w:tcPr>
          <w:p w14:paraId="0F683A52" w14:textId="77777777" w:rsidR="00733207" w:rsidRPr="00272656" w:rsidRDefault="00E06378">
            <w:pPr>
              <w:spacing w:after="0" w:line="240" w:lineRule="auto"/>
              <w:jc w:val="both"/>
              <w:rPr>
                <w:rFonts w:ascii="Rockwell" w:eastAsia="Calibri" w:hAnsi="Rockwell" w:cs="Times New Roman"/>
                <w:sz w:val="28"/>
                <w:szCs w:val="28"/>
              </w:rPr>
            </w:pPr>
            <w:hyperlink r:id="rId163" w:history="1">
              <w:r w:rsidR="00912BAE" w:rsidRPr="00272656">
                <w:rPr>
                  <w:rFonts w:ascii="Rockwell" w:eastAsia="Calibri" w:hAnsi="Rockwell" w:cs="Times New Roman"/>
                  <w:color w:val="0000FF"/>
                  <w:sz w:val="28"/>
                  <w:szCs w:val="28"/>
                </w:rPr>
                <w:t>www.focusgroup.africa</w:t>
              </w:r>
            </w:hyperlink>
          </w:p>
          <w:p w14:paraId="2C920274" w14:textId="77777777" w:rsidR="00733207" w:rsidRPr="00272656" w:rsidRDefault="00733207">
            <w:pPr>
              <w:spacing w:after="0" w:line="240" w:lineRule="auto"/>
              <w:jc w:val="both"/>
              <w:rPr>
                <w:rFonts w:ascii="Rockwell" w:eastAsia="Calibri" w:hAnsi="Rockwell" w:cs="Times New Roman"/>
                <w:sz w:val="28"/>
                <w:szCs w:val="28"/>
              </w:rPr>
            </w:pPr>
          </w:p>
        </w:tc>
      </w:tr>
      <w:tr w:rsidR="00733207" w14:paraId="084029BE" w14:textId="77777777">
        <w:trPr>
          <w:trHeight w:val="621"/>
          <w:jc w:val="center"/>
        </w:trPr>
        <w:tc>
          <w:tcPr>
            <w:tcW w:w="1011" w:type="dxa"/>
          </w:tcPr>
          <w:p w14:paraId="387B01F6"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11</w:t>
            </w:r>
          </w:p>
        </w:tc>
        <w:tc>
          <w:tcPr>
            <w:tcW w:w="4371" w:type="dxa"/>
          </w:tcPr>
          <w:p w14:paraId="62071567"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Faso Green TV</w:t>
            </w:r>
          </w:p>
        </w:tc>
        <w:tc>
          <w:tcPr>
            <w:tcW w:w="4819" w:type="dxa"/>
          </w:tcPr>
          <w:p w14:paraId="44CD04DB" w14:textId="77777777" w:rsidR="00733207" w:rsidRPr="00272656" w:rsidRDefault="00912BAE">
            <w:pPr>
              <w:spacing w:after="0" w:line="240" w:lineRule="auto"/>
              <w:jc w:val="both"/>
              <w:rPr>
                <w:rFonts w:ascii="Rockwell" w:eastAsia="Calibri" w:hAnsi="Rockwell" w:cs="Times New Roman"/>
                <w:sz w:val="28"/>
                <w:szCs w:val="28"/>
              </w:rPr>
            </w:pPr>
            <w:r w:rsidRPr="00272656">
              <w:rPr>
                <w:rFonts w:ascii="Rockwell" w:eastAsia="Calibri" w:hAnsi="Rockwell" w:cs="Times New Roman"/>
                <w:sz w:val="28"/>
                <w:szCs w:val="28"/>
              </w:rPr>
              <w:t>www.fasogreentv.net</w:t>
            </w:r>
          </w:p>
        </w:tc>
      </w:tr>
      <w:tr w:rsidR="00733207" w14:paraId="6BC413E4" w14:textId="77777777">
        <w:trPr>
          <w:trHeight w:val="621"/>
          <w:jc w:val="center"/>
        </w:trPr>
        <w:tc>
          <w:tcPr>
            <w:tcW w:w="1011" w:type="dxa"/>
          </w:tcPr>
          <w:p w14:paraId="208E0BE2"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12</w:t>
            </w:r>
          </w:p>
        </w:tc>
        <w:tc>
          <w:tcPr>
            <w:tcW w:w="4371" w:type="dxa"/>
          </w:tcPr>
          <w:p w14:paraId="046A96E0"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CRAC T-WEB</w:t>
            </w:r>
          </w:p>
        </w:tc>
        <w:tc>
          <w:tcPr>
            <w:tcW w:w="4819" w:type="dxa"/>
          </w:tcPr>
          <w:p w14:paraId="082AC494" w14:textId="77777777" w:rsidR="00733207" w:rsidRPr="00272656" w:rsidRDefault="00912BAE">
            <w:pPr>
              <w:tabs>
                <w:tab w:val="left" w:pos="3119"/>
              </w:tabs>
              <w:spacing w:after="0" w:line="240" w:lineRule="auto"/>
              <w:jc w:val="both"/>
              <w:outlineLvl w:val="0"/>
              <w:rPr>
                <w:rFonts w:ascii="Rockwell" w:eastAsia="Calibri" w:hAnsi="Rockwell" w:cs="Times New Roman"/>
                <w:sz w:val="28"/>
                <w:szCs w:val="28"/>
              </w:rPr>
            </w:pPr>
            <w:bookmarkStart w:id="753" w:name="_Toc175128751"/>
            <w:r w:rsidRPr="00272656">
              <w:rPr>
                <w:rFonts w:ascii="Rockwell" w:eastAsia="Calibri" w:hAnsi="Rockwell" w:cs="Times New Roman"/>
                <w:sz w:val="28"/>
                <w:szCs w:val="28"/>
              </w:rPr>
              <w:t>www.crac.tv</w:t>
            </w:r>
            <w:bookmarkEnd w:id="753"/>
          </w:p>
        </w:tc>
      </w:tr>
      <w:tr w:rsidR="00733207" w14:paraId="38707317" w14:textId="77777777">
        <w:trPr>
          <w:trHeight w:val="621"/>
          <w:jc w:val="center"/>
        </w:trPr>
        <w:tc>
          <w:tcPr>
            <w:tcW w:w="1011" w:type="dxa"/>
          </w:tcPr>
          <w:p w14:paraId="5C3BFF86"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13</w:t>
            </w:r>
          </w:p>
        </w:tc>
        <w:tc>
          <w:tcPr>
            <w:tcW w:w="4371" w:type="dxa"/>
          </w:tcPr>
          <w:p w14:paraId="04C68E87"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Digitale TV-Bam</w:t>
            </w:r>
          </w:p>
        </w:tc>
        <w:tc>
          <w:tcPr>
            <w:tcW w:w="4819" w:type="dxa"/>
          </w:tcPr>
          <w:p w14:paraId="50567229" w14:textId="77777777" w:rsidR="00733207" w:rsidRPr="00272656" w:rsidRDefault="00E06378">
            <w:pPr>
              <w:spacing w:after="0" w:line="240" w:lineRule="auto"/>
              <w:jc w:val="both"/>
              <w:rPr>
                <w:rFonts w:ascii="Rockwell" w:eastAsia="Calibri" w:hAnsi="Rockwell" w:cs="Times New Roman"/>
                <w:sz w:val="28"/>
                <w:szCs w:val="28"/>
              </w:rPr>
            </w:pPr>
            <w:hyperlink r:id="rId164" w:history="1">
              <w:r w:rsidR="00912BAE" w:rsidRPr="00272656">
                <w:rPr>
                  <w:rFonts w:ascii="Rockwell" w:eastAsia="Calibri" w:hAnsi="Rockwell" w:cs="Times New Roman"/>
                  <w:color w:val="0000FF"/>
                  <w:sz w:val="28"/>
                  <w:szCs w:val="28"/>
                </w:rPr>
                <w:t>www.digitaletvbambf.net</w:t>
              </w:r>
            </w:hyperlink>
          </w:p>
          <w:p w14:paraId="1F6673AD" w14:textId="77777777" w:rsidR="00733207" w:rsidRPr="00272656" w:rsidRDefault="00733207">
            <w:pPr>
              <w:spacing w:after="0" w:line="240" w:lineRule="auto"/>
              <w:jc w:val="both"/>
              <w:rPr>
                <w:rFonts w:ascii="Rockwell" w:eastAsia="Calibri" w:hAnsi="Rockwell" w:cs="Times New Roman"/>
                <w:sz w:val="28"/>
                <w:szCs w:val="28"/>
              </w:rPr>
            </w:pPr>
          </w:p>
        </w:tc>
      </w:tr>
      <w:tr w:rsidR="00733207" w14:paraId="5A2F2377" w14:textId="77777777">
        <w:trPr>
          <w:trHeight w:val="621"/>
          <w:jc w:val="center"/>
        </w:trPr>
        <w:tc>
          <w:tcPr>
            <w:tcW w:w="1011" w:type="dxa"/>
          </w:tcPr>
          <w:p w14:paraId="4CFBF885"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14</w:t>
            </w:r>
          </w:p>
        </w:tc>
        <w:tc>
          <w:tcPr>
            <w:tcW w:w="4371" w:type="dxa"/>
          </w:tcPr>
          <w:p w14:paraId="7979E4DF" w14:textId="77777777" w:rsidR="00733207" w:rsidRDefault="00912BAE">
            <w:pPr>
              <w:spacing w:after="0" w:line="240" w:lineRule="auto"/>
              <w:jc w:val="both"/>
              <w:rPr>
                <w:rFonts w:ascii="Rockwell" w:eastAsia="Calibri" w:hAnsi="Rockwell" w:cs="Times New Roman"/>
                <w:sz w:val="28"/>
                <w:szCs w:val="28"/>
              </w:rPr>
            </w:pPr>
            <w:proofErr w:type="spellStart"/>
            <w:r>
              <w:rPr>
                <w:rFonts w:ascii="Rockwell" w:eastAsia="Calibri" w:hAnsi="Rockwell" w:cs="Times New Roman"/>
                <w:sz w:val="28"/>
                <w:szCs w:val="28"/>
              </w:rPr>
              <w:t>Deni</w:t>
            </w:r>
            <w:proofErr w:type="spellEnd"/>
            <w:r>
              <w:rPr>
                <w:rFonts w:ascii="Rockwell" w:eastAsia="Calibri" w:hAnsi="Rockwell" w:cs="Times New Roman"/>
                <w:sz w:val="28"/>
                <w:szCs w:val="28"/>
              </w:rPr>
              <w:t xml:space="preserve"> Voice</w:t>
            </w:r>
          </w:p>
        </w:tc>
        <w:tc>
          <w:tcPr>
            <w:tcW w:w="4819" w:type="dxa"/>
          </w:tcPr>
          <w:p w14:paraId="544E480E" w14:textId="77777777" w:rsidR="00733207" w:rsidRPr="00272656" w:rsidRDefault="00E06378">
            <w:pPr>
              <w:tabs>
                <w:tab w:val="left" w:pos="3119"/>
              </w:tabs>
              <w:spacing w:after="0" w:line="240" w:lineRule="auto"/>
              <w:jc w:val="both"/>
              <w:outlineLvl w:val="0"/>
              <w:rPr>
                <w:rFonts w:ascii="Rockwell" w:eastAsia="Calibri" w:hAnsi="Rockwell" w:cs="Times New Roman"/>
                <w:sz w:val="28"/>
                <w:szCs w:val="28"/>
              </w:rPr>
            </w:pPr>
            <w:hyperlink r:id="rId165" w:history="1">
              <w:bookmarkStart w:id="754" w:name="_Toc175128752"/>
              <w:r w:rsidR="00912BAE" w:rsidRPr="00272656">
                <w:rPr>
                  <w:rFonts w:ascii="Rockwell" w:eastAsia="Calibri" w:hAnsi="Rockwell" w:cs="Times New Roman"/>
                  <w:color w:val="0000FF"/>
                  <w:sz w:val="28"/>
                  <w:szCs w:val="28"/>
                </w:rPr>
                <w:t>www.denivoice.com</w:t>
              </w:r>
              <w:bookmarkEnd w:id="754"/>
            </w:hyperlink>
          </w:p>
        </w:tc>
      </w:tr>
      <w:tr w:rsidR="00733207" w14:paraId="345E8D41" w14:textId="77777777">
        <w:trPr>
          <w:trHeight w:val="621"/>
          <w:jc w:val="center"/>
        </w:trPr>
        <w:tc>
          <w:tcPr>
            <w:tcW w:w="1011" w:type="dxa"/>
          </w:tcPr>
          <w:p w14:paraId="5D707906"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15</w:t>
            </w:r>
          </w:p>
        </w:tc>
        <w:tc>
          <w:tcPr>
            <w:tcW w:w="4371" w:type="dxa"/>
          </w:tcPr>
          <w:p w14:paraId="3EDFD17E"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Islamedia.bf</w:t>
            </w:r>
          </w:p>
        </w:tc>
        <w:tc>
          <w:tcPr>
            <w:tcW w:w="4819" w:type="dxa"/>
          </w:tcPr>
          <w:p w14:paraId="2B74A159" w14:textId="77777777" w:rsidR="00733207" w:rsidRPr="00272656" w:rsidRDefault="00912BAE">
            <w:pPr>
              <w:tabs>
                <w:tab w:val="left" w:pos="3119"/>
              </w:tabs>
              <w:spacing w:after="0" w:line="240" w:lineRule="auto"/>
              <w:jc w:val="both"/>
              <w:outlineLvl w:val="0"/>
              <w:rPr>
                <w:rFonts w:ascii="Rockwell" w:eastAsia="Calibri" w:hAnsi="Rockwell" w:cs="Times New Roman"/>
                <w:sz w:val="28"/>
                <w:szCs w:val="28"/>
              </w:rPr>
            </w:pPr>
            <w:bookmarkStart w:id="755" w:name="_Toc175128753"/>
            <w:r w:rsidRPr="00272656">
              <w:rPr>
                <w:rFonts w:ascii="Rockwell" w:eastAsia="Calibri" w:hAnsi="Rockwell" w:cs="Times New Roman"/>
                <w:sz w:val="28"/>
                <w:szCs w:val="28"/>
              </w:rPr>
              <w:t>www.islamedia.bf</w:t>
            </w:r>
            <w:bookmarkEnd w:id="755"/>
          </w:p>
        </w:tc>
      </w:tr>
      <w:tr w:rsidR="00733207" w14:paraId="4D26006D" w14:textId="77777777">
        <w:trPr>
          <w:trHeight w:val="621"/>
          <w:jc w:val="center"/>
        </w:trPr>
        <w:tc>
          <w:tcPr>
            <w:tcW w:w="1011" w:type="dxa"/>
          </w:tcPr>
          <w:p w14:paraId="2A5DB9C0" w14:textId="77777777" w:rsidR="00733207" w:rsidRDefault="00912BAE">
            <w:pPr>
              <w:spacing w:after="0" w:line="240" w:lineRule="auto"/>
              <w:jc w:val="both"/>
              <w:rPr>
                <w:rFonts w:ascii="Rockwell" w:eastAsia="Calibri" w:hAnsi="Rockwell" w:cs="Times New Roman"/>
                <w:sz w:val="28"/>
                <w:szCs w:val="28"/>
              </w:rPr>
            </w:pPr>
            <w:r>
              <w:rPr>
                <w:rFonts w:ascii="Rockwell" w:eastAsia="Calibri" w:hAnsi="Rockwell" w:cs="Times New Roman"/>
                <w:sz w:val="28"/>
                <w:szCs w:val="28"/>
              </w:rPr>
              <w:t>16</w:t>
            </w:r>
          </w:p>
        </w:tc>
        <w:tc>
          <w:tcPr>
            <w:tcW w:w="4371" w:type="dxa"/>
          </w:tcPr>
          <w:p w14:paraId="68ABCAFF" w14:textId="77777777" w:rsidR="00733207" w:rsidRDefault="00912BAE">
            <w:pPr>
              <w:spacing w:after="0" w:line="240" w:lineRule="auto"/>
              <w:jc w:val="both"/>
              <w:rPr>
                <w:rFonts w:ascii="Rockwell" w:eastAsia="Calibri" w:hAnsi="Rockwell" w:cs="Times New Roman"/>
                <w:sz w:val="28"/>
                <w:szCs w:val="28"/>
              </w:rPr>
            </w:pPr>
            <w:proofErr w:type="spellStart"/>
            <w:r>
              <w:rPr>
                <w:rFonts w:ascii="Rockwell" w:eastAsia="Calibri" w:hAnsi="Rockwell" w:cs="Times New Roman"/>
                <w:sz w:val="28"/>
                <w:szCs w:val="28"/>
              </w:rPr>
              <w:t>Africa</w:t>
            </w:r>
            <w:proofErr w:type="spellEnd"/>
            <w:r>
              <w:rPr>
                <w:rFonts w:ascii="Rockwell" w:eastAsia="Calibri" w:hAnsi="Rockwell" w:cs="Times New Roman"/>
                <w:sz w:val="28"/>
                <w:szCs w:val="28"/>
              </w:rPr>
              <w:t xml:space="preserve"> Leader TV</w:t>
            </w:r>
          </w:p>
        </w:tc>
        <w:tc>
          <w:tcPr>
            <w:tcW w:w="4819" w:type="dxa"/>
          </w:tcPr>
          <w:p w14:paraId="21978715" w14:textId="77777777" w:rsidR="00733207" w:rsidRPr="00272656" w:rsidRDefault="00912BAE">
            <w:pPr>
              <w:tabs>
                <w:tab w:val="left" w:pos="3119"/>
              </w:tabs>
              <w:spacing w:after="0" w:line="240" w:lineRule="auto"/>
              <w:jc w:val="both"/>
              <w:outlineLvl w:val="0"/>
              <w:rPr>
                <w:rFonts w:ascii="Rockwell" w:eastAsia="Calibri" w:hAnsi="Rockwell" w:cs="Times New Roman"/>
                <w:sz w:val="28"/>
                <w:szCs w:val="28"/>
              </w:rPr>
            </w:pPr>
            <w:bookmarkStart w:id="756" w:name="_Toc175128754"/>
            <w:r w:rsidRPr="00272656">
              <w:rPr>
                <w:rFonts w:ascii="Rockwell" w:eastAsia="Calibri" w:hAnsi="Rockwell" w:cs="Times New Roman"/>
                <w:sz w:val="28"/>
                <w:szCs w:val="28"/>
              </w:rPr>
              <w:t>www.africaleaderTV.com</w:t>
            </w:r>
            <w:bookmarkEnd w:id="756"/>
          </w:p>
        </w:tc>
      </w:tr>
    </w:tbl>
    <w:p w14:paraId="45EB4098" w14:textId="77777777" w:rsidR="00733207" w:rsidRDefault="00733207">
      <w:pPr>
        <w:jc w:val="both"/>
        <w:rPr>
          <w:rFonts w:ascii="Rockwell" w:hAnsi="Rockwell"/>
          <w:kern w:val="2"/>
          <w14:ligatures w14:val="standardContextual"/>
        </w:rPr>
      </w:pPr>
    </w:p>
    <w:p w14:paraId="6D19EFBE" w14:textId="77777777" w:rsidR="00733207" w:rsidRDefault="00733207">
      <w:pPr>
        <w:jc w:val="both"/>
        <w:rPr>
          <w:rFonts w:ascii="Rockwell" w:hAnsi="Rockwell"/>
          <w:kern w:val="2"/>
          <w14:ligatures w14:val="standardContextual"/>
        </w:rPr>
      </w:pPr>
    </w:p>
    <w:p w14:paraId="170F34C7" w14:textId="77777777" w:rsidR="00733207" w:rsidRDefault="00733207">
      <w:pPr>
        <w:jc w:val="both"/>
        <w:rPr>
          <w:rFonts w:ascii="Rockwell" w:hAnsi="Rockwell"/>
          <w:kern w:val="2"/>
          <w14:ligatures w14:val="standardContextual"/>
        </w:rPr>
      </w:pPr>
    </w:p>
    <w:p w14:paraId="3D68675F" w14:textId="77777777" w:rsidR="00733207" w:rsidRDefault="00733207">
      <w:pPr>
        <w:jc w:val="both"/>
        <w:rPr>
          <w:rFonts w:ascii="Rockwell" w:hAnsi="Rockwell"/>
          <w:kern w:val="2"/>
          <w14:ligatures w14:val="standardContextual"/>
        </w:rPr>
      </w:pPr>
    </w:p>
    <w:p w14:paraId="69528060" w14:textId="77777777" w:rsidR="00733207" w:rsidRDefault="00733207">
      <w:pPr>
        <w:jc w:val="both"/>
        <w:rPr>
          <w:rFonts w:ascii="Rockwell" w:hAnsi="Rockwell"/>
          <w:kern w:val="2"/>
          <w14:ligatures w14:val="standardContextual"/>
        </w:rPr>
      </w:pPr>
    </w:p>
    <w:p w14:paraId="1D13CD0D" w14:textId="77777777" w:rsidR="00733207" w:rsidRDefault="00733207">
      <w:pPr>
        <w:jc w:val="both"/>
        <w:rPr>
          <w:rFonts w:ascii="Rockwell" w:hAnsi="Rockwell"/>
          <w:kern w:val="2"/>
          <w14:ligatures w14:val="standardContextual"/>
        </w:rPr>
      </w:pPr>
    </w:p>
    <w:p w14:paraId="1BAE2DF6" w14:textId="77777777" w:rsidR="00733207" w:rsidRDefault="00733207">
      <w:pPr>
        <w:jc w:val="both"/>
        <w:rPr>
          <w:rFonts w:ascii="Rockwell" w:hAnsi="Rockwell"/>
          <w:kern w:val="2"/>
          <w14:ligatures w14:val="standardContextual"/>
        </w:rPr>
      </w:pPr>
    </w:p>
    <w:p w14:paraId="0425FFBA" w14:textId="77777777" w:rsidR="00733207" w:rsidRDefault="00733207">
      <w:pPr>
        <w:jc w:val="both"/>
        <w:rPr>
          <w:rFonts w:ascii="Rockwell" w:hAnsi="Rockwell"/>
          <w:kern w:val="2"/>
          <w14:ligatures w14:val="standardContextual"/>
        </w:rPr>
      </w:pPr>
    </w:p>
    <w:p w14:paraId="40D02F61" w14:textId="77777777" w:rsidR="00733207" w:rsidRDefault="00733207">
      <w:pPr>
        <w:jc w:val="both"/>
        <w:rPr>
          <w:rFonts w:ascii="Rockwell" w:hAnsi="Rockwell"/>
          <w:kern w:val="2"/>
          <w14:ligatures w14:val="standardContextual"/>
        </w:rPr>
      </w:pPr>
    </w:p>
    <w:p w14:paraId="0DB6678B" w14:textId="77777777" w:rsidR="00733207" w:rsidRDefault="00733207">
      <w:pPr>
        <w:jc w:val="both"/>
        <w:rPr>
          <w:rFonts w:ascii="Rockwell" w:hAnsi="Rockwell"/>
          <w:kern w:val="2"/>
          <w14:ligatures w14:val="standardContextual"/>
        </w:rPr>
      </w:pPr>
    </w:p>
    <w:p w14:paraId="29AF0807" w14:textId="77777777" w:rsidR="00733207" w:rsidRDefault="00733207">
      <w:pPr>
        <w:jc w:val="both"/>
        <w:rPr>
          <w:rFonts w:ascii="Rockwell" w:hAnsi="Rockwell"/>
          <w:kern w:val="2"/>
          <w14:ligatures w14:val="standardContextual"/>
        </w:rPr>
      </w:pPr>
    </w:p>
    <w:p w14:paraId="3AD3C7CA" w14:textId="77777777" w:rsidR="00733207" w:rsidRDefault="00733207">
      <w:pPr>
        <w:jc w:val="both"/>
        <w:rPr>
          <w:rFonts w:ascii="Rockwell" w:hAnsi="Rockwell"/>
          <w:kern w:val="2"/>
          <w14:ligatures w14:val="standardContextual"/>
        </w:rPr>
      </w:pPr>
    </w:p>
    <w:p w14:paraId="69A462A7" w14:textId="77777777" w:rsidR="00733207" w:rsidRDefault="00733207">
      <w:pPr>
        <w:jc w:val="both"/>
        <w:rPr>
          <w:rFonts w:ascii="Rockwell" w:hAnsi="Rockwell"/>
          <w:kern w:val="2"/>
          <w14:ligatures w14:val="standardContextual"/>
        </w:rPr>
      </w:pPr>
    </w:p>
    <w:p w14:paraId="62698B70" w14:textId="77777777" w:rsidR="00733207" w:rsidRDefault="00733207">
      <w:pPr>
        <w:jc w:val="both"/>
        <w:rPr>
          <w:rFonts w:ascii="Rockwell" w:hAnsi="Rockwell"/>
          <w:kern w:val="2"/>
          <w14:ligatures w14:val="standardContextual"/>
        </w:rPr>
      </w:pPr>
    </w:p>
    <w:p w14:paraId="061741AD" w14:textId="77777777" w:rsidR="00733207" w:rsidRDefault="00733207">
      <w:pPr>
        <w:jc w:val="both"/>
        <w:rPr>
          <w:rFonts w:ascii="Rockwell" w:hAnsi="Rockwell"/>
          <w:kern w:val="2"/>
          <w14:ligatures w14:val="standardContextual"/>
        </w:rPr>
      </w:pPr>
    </w:p>
    <w:p w14:paraId="453F323C" w14:textId="77777777" w:rsidR="00733207" w:rsidRDefault="00733207">
      <w:pPr>
        <w:jc w:val="both"/>
        <w:rPr>
          <w:rFonts w:ascii="Rockwell" w:hAnsi="Rockwell"/>
          <w:kern w:val="2"/>
          <w14:ligatures w14:val="standardContextual"/>
        </w:rPr>
      </w:pPr>
    </w:p>
    <w:p w14:paraId="03F9C23A" w14:textId="77777777" w:rsidR="00733207" w:rsidRDefault="00733207">
      <w:pPr>
        <w:jc w:val="both"/>
        <w:rPr>
          <w:rFonts w:ascii="Rockwell" w:hAnsi="Rockwell"/>
          <w:kern w:val="2"/>
          <w14:ligatures w14:val="standardContextual"/>
        </w:rPr>
      </w:pPr>
    </w:p>
    <w:p w14:paraId="1F9CE837" w14:textId="5E6B67A1" w:rsidR="00733207" w:rsidRDefault="00912BAE">
      <w:pPr>
        <w:jc w:val="center"/>
        <w:rPr>
          <w:rFonts w:ascii="Rockwell" w:hAnsi="Rockwell"/>
          <w:b/>
          <w:i/>
          <w:sz w:val="32"/>
          <w:szCs w:val="32"/>
        </w:rPr>
      </w:pPr>
      <w:r>
        <w:rPr>
          <w:rFonts w:ascii="Rockwell" w:hAnsi="Rockwell"/>
          <w:b/>
          <w:i/>
          <w:sz w:val="32"/>
          <w:szCs w:val="32"/>
        </w:rPr>
        <w:t>ANNEXE 4 : REPERTOIRE DE LA PRESSE ECRITE</w:t>
      </w:r>
    </w:p>
    <w:p w14:paraId="618541D9" w14:textId="77777777" w:rsidR="00733207" w:rsidRDefault="00733207">
      <w:pPr>
        <w:jc w:val="both"/>
        <w:rPr>
          <w:rFonts w:ascii="Rockwell" w:hAnsi="Rockwell"/>
          <w:b/>
          <w:i/>
          <w:sz w:val="32"/>
          <w:szCs w:val="32"/>
        </w:rPr>
      </w:pPr>
    </w:p>
    <w:p w14:paraId="503C00B1" w14:textId="77777777" w:rsidR="00733207" w:rsidRDefault="00733207">
      <w:pPr>
        <w:jc w:val="both"/>
        <w:rPr>
          <w:rFonts w:ascii="Rockwell" w:hAnsi="Rockwell"/>
          <w:kern w:val="2"/>
          <w14:ligatures w14:val="standardContextual"/>
        </w:rPr>
      </w:pPr>
    </w:p>
    <w:p w14:paraId="28F35E7E" w14:textId="77777777" w:rsidR="00733207" w:rsidRDefault="00733207">
      <w:pPr>
        <w:jc w:val="both"/>
        <w:rPr>
          <w:rFonts w:ascii="Rockwell" w:hAnsi="Rockwell"/>
          <w:kern w:val="2"/>
          <w14:ligatures w14:val="standardContextual"/>
        </w:rPr>
      </w:pPr>
    </w:p>
    <w:p w14:paraId="1B7CD999" w14:textId="77777777" w:rsidR="00733207" w:rsidRDefault="00733207">
      <w:pPr>
        <w:jc w:val="both"/>
        <w:rPr>
          <w:rFonts w:ascii="Rockwell" w:hAnsi="Rockwell"/>
          <w:kern w:val="2"/>
          <w14:ligatures w14:val="standardContextual"/>
        </w:rPr>
      </w:pPr>
    </w:p>
    <w:p w14:paraId="1FB4838C" w14:textId="77777777" w:rsidR="00733207" w:rsidRDefault="00733207">
      <w:pPr>
        <w:jc w:val="both"/>
        <w:rPr>
          <w:rFonts w:ascii="Rockwell" w:hAnsi="Rockwell"/>
          <w:kern w:val="2"/>
          <w14:ligatures w14:val="standardContextual"/>
        </w:rPr>
      </w:pPr>
    </w:p>
    <w:p w14:paraId="6B2757D7" w14:textId="77777777" w:rsidR="00733207" w:rsidRDefault="00733207">
      <w:pPr>
        <w:jc w:val="both"/>
        <w:rPr>
          <w:rFonts w:ascii="Rockwell" w:hAnsi="Rockwell"/>
          <w:kern w:val="2"/>
          <w14:ligatures w14:val="standardContextual"/>
        </w:rPr>
      </w:pPr>
    </w:p>
    <w:p w14:paraId="5F61C5F8" w14:textId="77777777" w:rsidR="00733207" w:rsidRDefault="00733207">
      <w:pPr>
        <w:jc w:val="both"/>
        <w:rPr>
          <w:rFonts w:ascii="Rockwell" w:hAnsi="Rockwell"/>
          <w:kern w:val="2"/>
          <w14:ligatures w14:val="standardContextual"/>
        </w:rPr>
      </w:pPr>
    </w:p>
    <w:p w14:paraId="44F4A677" w14:textId="77777777" w:rsidR="00733207" w:rsidRDefault="00733207">
      <w:pPr>
        <w:jc w:val="both"/>
        <w:rPr>
          <w:rFonts w:ascii="Rockwell" w:hAnsi="Rockwell"/>
          <w:kern w:val="2"/>
          <w14:ligatures w14:val="standardContextual"/>
        </w:rPr>
      </w:pPr>
    </w:p>
    <w:p w14:paraId="78A3083B" w14:textId="77777777" w:rsidR="00733207" w:rsidRDefault="00733207">
      <w:pPr>
        <w:jc w:val="both"/>
        <w:rPr>
          <w:rFonts w:ascii="Rockwell" w:hAnsi="Rockwell"/>
          <w:kern w:val="2"/>
          <w14:ligatures w14:val="standardContextual"/>
        </w:rPr>
      </w:pPr>
    </w:p>
    <w:p w14:paraId="217FB9F2" w14:textId="77777777" w:rsidR="00733207" w:rsidRDefault="00733207">
      <w:pPr>
        <w:jc w:val="both"/>
        <w:rPr>
          <w:rFonts w:ascii="Rockwell" w:hAnsi="Rockwell"/>
          <w:kern w:val="2"/>
          <w14:ligatures w14:val="standardContextual"/>
        </w:rPr>
      </w:pPr>
    </w:p>
    <w:p w14:paraId="3C0D2BCA" w14:textId="77777777" w:rsidR="00733207" w:rsidRDefault="00733207">
      <w:pPr>
        <w:jc w:val="both"/>
        <w:rPr>
          <w:rFonts w:ascii="Rockwell" w:hAnsi="Rockwell"/>
          <w:kern w:val="2"/>
          <w14:ligatures w14:val="standardContextual"/>
        </w:rPr>
      </w:pPr>
    </w:p>
    <w:p w14:paraId="6055CB08" w14:textId="77777777" w:rsidR="00733207" w:rsidRDefault="00733207">
      <w:pPr>
        <w:jc w:val="both"/>
        <w:rPr>
          <w:rFonts w:ascii="Rockwell" w:hAnsi="Rockwell"/>
          <w:kern w:val="2"/>
          <w14:ligatures w14:val="standardContextual"/>
        </w:rPr>
      </w:pPr>
    </w:p>
    <w:p w14:paraId="565AEC43" w14:textId="77777777" w:rsidR="00733207" w:rsidRDefault="00733207">
      <w:pPr>
        <w:jc w:val="both"/>
        <w:rPr>
          <w:rFonts w:ascii="Rockwell" w:hAnsi="Rockwell"/>
          <w:kern w:val="2"/>
          <w14:ligatures w14:val="standardContextual"/>
        </w:rPr>
      </w:pPr>
    </w:p>
    <w:p w14:paraId="7926B7EE" w14:textId="77777777" w:rsidR="00733207" w:rsidRDefault="00733207">
      <w:pPr>
        <w:jc w:val="both"/>
        <w:rPr>
          <w:rFonts w:ascii="Rockwell" w:hAnsi="Rockwell"/>
          <w:kern w:val="2"/>
          <w14:ligatures w14:val="standardContextual"/>
        </w:rPr>
      </w:pPr>
    </w:p>
    <w:p w14:paraId="5D6B0D63" w14:textId="77777777" w:rsidR="00733207" w:rsidRDefault="00733207">
      <w:pPr>
        <w:jc w:val="both"/>
        <w:rPr>
          <w:rFonts w:ascii="Rockwell" w:hAnsi="Rockwell"/>
          <w:kern w:val="2"/>
          <w14:ligatures w14:val="standardContextual"/>
        </w:rPr>
      </w:pPr>
    </w:p>
    <w:p w14:paraId="6EED6667" w14:textId="77777777" w:rsidR="00733207" w:rsidRDefault="00733207">
      <w:pPr>
        <w:jc w:val="both"/>
        <w:rPr>
          <w:rFonts w:ascii="Rockwell" w:hAnsi="Rockwell"/>
          <w:kern w:val="2"/>
          <w14:ligatures w14:val="standardContextual"/>
        </w:rPr>
      </w:pPr>
    </w:p>
    <w:p w14:paraId="074C6E00" w14:textId="77777777" w:rsidR="00733207" w:rsidRDefault="00733207">
      <w:pPr>
        <w:jc w:val="both"/>
        <w:rPr>
          <w:rFonts w:ascii="Rockwell" w:hAnsi="Rockwell"/>
          <w:kern w:val="2"/>
          <w14:ligatures w14:val="standardContextual"/>
        </w:rPr>
        <w:sectPr w:rsidR="00733207">
          <w:pgSz w:w="11906" w:h="16838"/>
          <w:pgMar w:top="1417" w:right="1417" w:bottom="1417" w:left="1417" w:header="708" w:footer="708" w:gutter="0"/>
          <w:cols w:space="708"/>
          <w:docGrid w:linePitch="360"/>
        </w:sectPr>
      </w:pPr>
    </w:p>
    <w:p w14:paraId="2380B044" w14:textId="77777777" w:rsidR="00733207" w:rsidRDefault="00912BAE">
      <w:pPr>
        <w:keepNext/>
        <w:keepLines/>
        <w:spacing w:before="120" w:after="120"/>
        <w:jc w:val="center"/>
        <w:outlineLvl w:val="2"/>
        <w:rPr>
          <w:rFonts w:ascii="Rockwell" w:eastAsia="Times New Roman" w:hAnsi="Rockwell" w:cs="Times New Roman"/>
          <w:b/>
          <w:sz w:val="28"/>
          <w:szCs w:val="28"/>
        </w:rPr>
      </w:pPr>
      <w:bookmarkStart w:id="757" w:name="_Toc175128755"/>
      <w:r>
        <w:rPr>
          <w:rFonts w:ascii="Rockwell" w:eastAsia="Times New Roman" w:hAnsi="Rockwell" w:cs="Times New Roman"/>
          <w:b/>
          <w:sz w:val="28"/>
          <w:szCs w:val="28"/>
        </w:rPr>
        <w:lastRenderedPageBreak/>
        <w:t>Les quotidiens d’information : 07</w:t>
      </w:r>
      <w:bookmarkEnd w:id="757"/>
    </w:p>
    <w:p w14:paraId="1AF6F0E1" w14:textId="77777777" w:rsidR="00733207" w:rsidRDefault="00733207">
      <w:pPr>
        <w:keepNext/>
        <w:keepLines/>
        <w:spacing w:before="120" w:after="120"/>
        <w:jc w:val="both"/>
        <w:outlineLvl w:val="2"/>
        <w:rPr>
          <w:rFonts w:ascii="Rockwell" w:eastAsia="Times New Roman" w:hAnsi="Rockwell" w:cs="Times New Roman"/>
          <w:b/>
          <w:sz w:val="28"/>
          <w:szCs w:val="28"/>
        </w:rPr>
      </w:pPr>
    </w:p>
    <w:tbl>
      <w:tblPr>
        <w:tblStyle w:val="Grilledutableau"/>
        <w:tblW w:w="9022" w:type="dxa"/>
        <w:jc w:val="center"/>
        <w:tblLook w:val="04A0" w:firstRow="1" w:lastRow="0" w:firstColumn="1" w:lastColumn="0" w:noHBand="0" w:noVBand="1"/>
      </w:tblPr>
      <w:tblGrid>
        <w:gridCol w:w="1696"/>
        <w:gridCol w:w="7326"/>
      </w:tblGrid>
      <w:tr w:rsidR="00733207" w14:paraId="2BD94E29" w14:textId="77777777">
        <w:trPr>
          <w:trHeight w:val="650"/>
          <w:jc w:val="center"/>
        </w:trPr>
        <w:tc>
          <w:tcPr>
            <w:tcW w:w="1696" w:type="dxa"/>
            <w:shd w:val="clear" w:color="auto" w:fill="D9D9D9" w:themeFill="background1" w:themeFillShade="D9"/>
          </w:tcPr>
          <w:p w14:paraId="0E83A8DB" w14:textId="77777777" w:rsidR="00733207" w:rsidRDefault="00912BAE">
            <w:pPr>
              <w:spacing w:after="0" w:line="240" w:lineRule="auto"/>
              <w:jc w:val="center"/>
              <w:rPr>
                <w:rFonts w:ascii="Rockwell" w:hAnsi="Rockwell"/>
                <w:b/>
                <w:kern w:val="2"/>
                <w:sz w:val="28"/>
                <w:szCs w:val="28"/>
                <w14:ligatures w14:val="standardContextual"/>
              </w:rPr>
            </w:pPr>
            <w:r>
              <w:rPr>
                <w:rFonts w:ascii="Rockwell" w:hAnsi="Rockwell"/>
                <w:b/>
                <w:kern w:val="2"/>
                <w:sz w:val="28"/>
                <w:szCs w:val="28"/>
                <w14:ligatures w14:val="standardContextual"/>
              </w:rPr>
              <w:t>° N</w:t>
            </w:r>
          </w:p>
        </w:tc>
        <w:tc>
          <w:tcPr>
            <w:tcW w:w="7326" w:type="dxa"/>
            <w:shd w:val="clear" w:color="auto" w:fill="D9D9D9" w:themeFill="background1" w:themeFillShade="D9"/>
          </w:tcPr>
          <w:p w14:paraId="6BF1871D" w14:textId="77777777" w:rsidR="00733207" w:rsidRDefault="00912BAE">
            <w:pPr>
              <w:spacing w:after="0" w:line="240" w:lineRule="auto"/>
              <w:jc w:val="center"/>
              <w:rPr>
                <w:rFonts w:ascii="Rockwell" w:hAnsi="Rockwell"/>
                <w:b/>
                <w:kern w:val="2"/>
                <w:sz w:val="28"/>
                <w:szCs w:val="28"/>
                <w14:ligatures w14:val="standardContextual"/>
              </w:rPr>
            </w:pPr>
            <w:r>
              <w:rPr>
                <w:rFonts w:ascii="Rockwell" w:hAnsi="Rockwell"/>
                <w:b/>
                <w:kern w:val="2"/>
                <w:sz w:val="28"/>
                <w:szCs w:val="28"/>
                <w14:ligatures w14:val="standardContextual"/>
              </w:rPr>
              <w:t>Titre</w:t>
            </w:r>
          </w:p>
        </w:tc>
      </w:tr>
      <w:tr w:rsidR="00733207" w14:paraId="508B05C9" w14:textId="77777777">
        <w:trPr>
          <w:trHeight w:val="650"/>
          <w:jc w:val="center"/>
        </w:trPr>
        <w:tc>
          <w:tcPr>
            <w:tcW w:w="1696" w:type="dxa"/>
          </w:tcPr>
          <w:p w14:paraId="4A9840A7"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01</w:t>
            </w:r>
          </w:p>
        </w:tc>
        <w:tc>
          <w:tcPr>
            <w:tcW w:w="7326" w:type="dxa"/>
          </w:tcPr>
          <w:p w14:paraId="4DF524A1" w14:textId="77777777" w:rsidR="00733207" w:rsidRDefault="00912BAE">
            <w:pPr>
              <w:spacing w:after="0" w:line="240" w:lineRule="auto"/>
              <w:jc w:val="both"/>
              <w:rPr>
                <w:rFonts w:ascii="Rockwell" w:hAnsi="Rockwell"/>
                <w:kern w:val="2"/>
                <w:sz w:val="28"/>
                <w:szCs w:val="28"/>
                <w14:ligatures w14:val="standardContextual"/>
              </w:rPr>
            </w:pPr>
            <w:proofErr w:type="spellStart"/>
            <w:r>
              <w:rPr>
                <w:rFonts w:ascii="Rockwell" w:hAnsi="Rockwell"/>
                <w:kern w:val="2"/>
                <w:sz w:val="28"/>
                <w:szCs w:val="28"/>
                <w14:ligatures w14:val="standardContextual"/>
              </w:rPr>
              <w:t>Sidwaya</w:t>
            </w:r>
            <w:proofErr w:type="spellEnd"/>
          </w:p>
        </w:tc>
      </w:tr>
      <w:tr w:rsidR="00733207" w14:paraId="53566C20" w14:textId="77777777">
        <w:trPr>
          <w:trHeight w:val="650"/>
          <w:jc w:val="center"/>
        </w:trPr>
        <w:tc>
          <w:tcPr>
            <w:tcW w:w="1696" w:type="dxa"/>
          </w:tcPr>
          <w:p w14:paraId="0069CCEF"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02</w:t>
            </w:r>
          </w:p>
        </w:tc>
        <w:tc>
          <w:tcPr>
            <w:tcW w:w="7326" w:type="dxa"/>
          </w:tcPr>
          <w:p w14:paraId="75E7A94A"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 xml:space="preserve">L’Observateur </w:t>
            </w:r>
            <w:proofErr w:type="spellStart"/>
            <w:r>
              <w:rPr>
                <w:rFonts w:ascii="Rockwell" w:hAnsi="Rockwell"/>
                <w:kern w:val="2"/>
                <w:sz w:val="28"/>
                <w:szCs w:val="28"/>
                <w14:ligatures w14:val="standardContextual"/>
              </w:rPr>
              <w:t>Paalga</w:t>
            </w:r>
            <w:proofErr w:type="spellEnd"/>
          </w:p>
        </w:tc>
      </w:tr>
      <w:tr w:rsidR="00733207" w14:paraId="4C4187D9" w14:textId="77777777">
        <w:trPr>
          <w:trHeight w:val="650"/>
          <w:jc w:val="center"/>
        </w:trPr>
        <w:tc>
          <w:tcPr>
            <w:tcW w:w="1696" w:type="dxa"/>
          </w:tcPr>
          <w:p w14:paraId="357EF399"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03</w:t>
            </w:r>
          </w:p>
        </w:tc>
        <w:tc>
          <w:tcPr>
            <w:tcW w:w="7326" w:type="dxa"/>
          </w:tcPr>
          <w:p w14:paraId="6254049B"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Le Pays</w:t>
            </w:r>
          </w:p>
        </w:tc>
      </w:tr>
      <w:tr w:rsidR="00733207" w14:paraId="77F35387" w14:textId="77777777">
        <w:trPr>
          <w:trHeight w:val="650"/>
          <w:jc w:val="center"/>
        </w:trPr>
        <w:tc>
          <w:tcPr>
            <w:tcW w:w="1696" w:type="dxa"/>
          </w:tcPr>
          <w:p w14:paraId="09056BFF"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04</w:t>
            </w:r>
          </w:p>
        </w:tc>
        <w:tc>
          <w:tcPr>
            <w:tcW w:w="7326" w:type="dxa"/>
          </w:tcPr>
          <w:p w14:paraId="300CD926"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 xml:space="preserve">L’Express du </w:t>
            </w:r>
            <w:proofErr w:type="spellStart"/>
            <w:r>
              <w:rPr>
                <w:rFonts w:ascii="Rockwell" w:hAnsi="Rockwell"/>
                <w:kern w:val="2"/>
                <w:sz w:val="28"/>
                <w:szCs w:val="28"/>
                <w14:ligatures w14:val="standardContextual"/>
              </w:rPr>
              <w:t>faso</w:t>
            </w:r>
            <w:proofErr w:type="spellEnd"/>
          </w:p>
        </w:tc>
      </w:tr>
      <w:tr w:rsidR="00733207" w14:paraId="74461335" w14:textId="77777777">
        <w:trPr>
          <w:trHeight w:val="650"/>
          <w:jc w:val="center"/>
        </w:trPr>
        <w:tc>
          <w:tcPr>
            <w:tcW w:w="1696" w:type="dxa"/>
          </w:tcPr>
          <w:p w14:paraId="4CD8623F"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05</w:t>
            </w:r>
          </w:p>
        </w:tc>
        <w:tc>
          <w:tcPr>
            <w:tcW w:w="7326" w:type="dxa"/>
          </w:tcPr>
          <w:p w14:paraId="243DDCA3"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Le Quotidien</w:t>
            </w:r>
          </w:p>
        </w:tc>
      </w:tr>
      <w:tr w:rsidR="00733207" w14:paraId="364AE492" w14:textId="77777777">
        <w:trPr>
          <w:trHeight w:val="650"/>
          <w:jc w:val="center"/>
        </w:trPr>
        <w:tc>
          <w:tcPr>
            <w:tcW w:w="1696" w:type="dxa"/>
          </w:tcPr>
          <w:p w14:paraId="3F5BC8B9"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06</w:t>
            </w:r>
          </w:p>
        </w:tc>
        <w:tc>
          <w:tcPr>
            <w:tcW w:w="7326" w:type="dxa"/>
          </w:tcPr>
          <w:p w14:paraId="3F302D69"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Aujourd’hui au Faso</w:t>
            </w:r>
          </w:p>
        </w:tc>
      </w:tr>
      <w:tr w:rsidR="00733207" w14:paraId="6F9D3A7C" w14:textId="77777777">
        <w:trPr>
          <w:trHeight w:val="650"/>
          <w:jc w:val="center"/>
        </w:trPr>
        <w:tc>
          <w:tcPr>
            <w:tcW w:w="1696" w:type="dxa"/>
          </w:tcPr>
          <w:p w14:paraId="722F7D31"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07</w:t>
            </w:r>
          </w:p>
        </w:tc>
        <w:tc>
          <w:tcPr>
            <w:tcW w:w="7326" w:type="dxa"/>
          </w:tcPr>
          <w:p w14:paraId="22E2BDEF"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La Cohésion</w:t>
            </w:r>
          </w:p>
        </w:tc>
      </w:tr>
    </w:tbl>
    <w:p w14:paraId="7DD99DE1" w14:textId="77777777" w:rsidR="00733207" w:rsidRDefault="00733207">
      <w:pPr>
        <w:jc w:val="both"/>
        <w:rPr>
          <w:rFonts w:ascii="Rockwell" w:hAnsi="Rockwell"/>
          <w:kern w:val="2"/>
          <w14:ligatures w14:val="standardContextual"/>
        </w:rPr>
      </w:pPr>
    </w:p>
    <w:p w14:paraId="208AC43D" w14:textId="77777777" w:rsidR="00733207" w:rsidRDefault="00733207">
      <w:pPr>
        <w:jc w:val="both"/>
        <w:rPr>
          <w:rFonts w:ascii="Rockwell" w:hAnsi="Rockwell"/>
          <w:kern w:val="2"/>
          <w14:ligatures w14:val="standardContextual"/>
        </w:rPr>
      </w:pPr>
    </w:p>
    <w:p w14:paraId="0697299C" w14:textId="77777777" w:rsidR="00733207" w:rsidRDefault="00912BAE">
      <w:pPr>
        <w:keepNext/>
        <w:keepLines/>
        <w:spacing w:before="120" w:after="120"/>
        <w:jc w:val="center"/>
        <w:outlineLvl w:val="2"/>
        <w:rPr>
          <w:rFonts w:ascii="Rockwell" w:eastAsia="Times New Roman" w:hAnsi="Rockwell" w:cs="Times New Roman"/>
          <w:b/>
          <w:sz w:val="28"/>
          <w:szCs w:val="28"/>
        </w:rPr>
      </w:pPr>
      <w:bookmarkStart w:id="758" w:name="_Toc175128756"/>
      <w:r>
        <w:rPr>
          <w:rFonts w:ascii="Rockwell" w:eastAsia="Times New Roman" w:hAnsi="Rockwell" w:cs="Times New Roman"/>
          <w:b/>
          <w:sz w:val="28"/>
          <w:szCs w:val="28"/>
        </w:rPr>
        <w:t>Les hebdomadaires : 03</w:t>
      </w:r>
      <w:bookmarkEnd w:id="758"/>
    </w:p>
    <w:p w14:paraId="70240A27" w14:textId="77777777" w:rsidR="00733207" w:rsidRDefault="00733207">
      <w:pPr>
        <w:keepNext/>
        <w:keepLines/>
        <w:spacing w:before="120" w:after="120"/>
        <w:jc w:val="both"/>
        <w:outlineLvl w:val="2"/>
        <w:rPr>
          <w:rFonts w:ascii="Rockwell" w:eastAsia="Times New Roman" w:hAnsi="Rockwell" w:cs="Times New Roman"/>
          <w:b/>
          <w:sz w:val="28"/>
          <w:szCs w:val="28"/>
        </w:rPr>
      </w:pPr>
    </w:p>
    <w:tbl>
      <w:tblPr>
        <w:tblStyle w:val="Grilledutableau"/>
        <w:tblW w:w="0" w:type="auto"/>
        <w:tblLook w:val="04A0" w:firstRow="1" w:lastRow="0" w:firstColumn="1" w:lastColumn="0" w:noHBand="0" w:noVBand="1"/>
      </w:tblPr>
      <w:tblGrid>
        <w:gridCol w:w="1696"/>
        <w:gridCol w:w="7366"/>
      </w:tblGrid>
      <w:tr w:rsidR="00733207" w14:paraId="3086C73E" w14:textId="77777777">
        <w:trPr>
          <w:trHeight w:val="668"/>
        </w:trPr>
        <w:tc>
          <w:tcPr>
            <w:tcW w:w="1696" w:type="dxa"/>
            <w:shd w:val="clear" w:color="auto" w:fill="D9D9D9" w:themeFill="background1" w:themeFillShade="D9"/>
          </w:tcPr>
          <w:p w14:paraId="31A67B1F" w14:textId="77777777" w:rsidR="00733207" w:rsidRDefault="00912BAE">
            <w:pPr>
              <w:keepNext/>
              <w:keepLines/>
              <w:spacing w:before="120" w:after="120" w:line="240" w:lineRule="auto"/>
              <w:jc w:val="center"/>
              <w:outlineLvl w:val="2"/>
              <w:rPr>
                <w:rFonts w:ascii="Rockwell" w:eastAsia="Times New Roman" w:hAnsi="Rockwell" w:cs="Times New Roman"/>
                <w:b/>
                <w:sz w:val="28"/>
                <w:szCs w:val="28"/>
              </w:rPr>
            </w:pPr>
            <w:bookmarkStart w:id="759" w:name="_Toc175128757"/>
            <w:r>
              <w:rPr>
                <w:rFonts w:ascii="Rockwell" w:eastAsia="Times New Roman" w:hAnsi="Rockwell" w:cs="Times New Roman"/>
                <w:b/>
                <w:sz w:val="28"/>
                <w:szCs w:val="28"/>
              </w:rPr>
              <w:t>N°</w:t>
            </w:r>
            <w:bookmarkEnd w:id="759"/>
          </w:p>
        </w:tc>
        <w:tc>
          <w:tcPr>
            <w:tcW w:w="7366" w:type="dxa"/>
            <w:shd w:val="clear" w:color="auto" w:fill="D9D9D9" w:themeFill="background1" w:themeFillShade="D9"/>
          </w:tcPr>
          <w:p w14:paraId="5ACE1EF7" w14:textId="77777777" w:rsidR="00733207" w:rsidRDefault="00912BAE">
            <w:pPr>
              <w:keepNext/>
              <w:keepLines/>
              <w:spacing w:before="120" w:after="120" w:line="240" w:lineRule="auto"/>
              <w:jc w:val="center"/>
              <w:outlineLvl w:val="2"/>
              <w:rPr>
                <w:rFonts w:ascii="Rockwell" w:eastAsia="Times New Roman" w:hAnsi="Rockwell" w:cs="Times New Roman"/>
                <w:b/>
                <w:sz w:val="28"/>
                <w:szCs w:val="28"/>
              </w:rPr>
            </w:pPr>
            <w:bookmarkStart w:id="760" w:name="_Toc175128758"/>
            <w:r>
              <w:rPr>
                <w:rFonts w:ascii="Rockwell" w:eastAsia="Times New Roman" w:hAnsi="Rockwell" w:cs="Times New Roman"/>
                <w:b/>
                <w:sz w:val="28"/>
                <w:szCs w:val="28"/>
              </w:rPr>
              <w:t>Titre</w:t>
            </w:r>
            <w:bookmarkEnd w:id="760"/>
          </w:p>
        </w:tc>
      </w:tr>
      <w:tr w:rsidR="00733207" w14:paraId="3C8A7763" w14:textId="77777777">
        <w:trPr>
          <w:trHeight w:val="864"/>
        </w:trPr>
        <w:tc>
          <w:tcPr>
            <w:tcW w:w="1696" w:type="dxa"/>
          </w:tcPr>
          <w:p w14:paraId="3D966360" w14:textId="77777777" w:rsidR="00733207" w:rsidRDefault="00912BAE">
            <w:pPr>
              <w:keepNext/>
              <w:keepLines/>
              <w:spacing w:before="120" w:after="120" w:line="240" w:lineRule="auto"/>
              <w:jc w:val="both"/>
              <w:outlineLvl w:val="2"/>
              <w:rPr>
                <w:rFonts w:ascii="Rockwell" w:eastAsia="Times New Roman" w:hAnsi="Rockwell" w:cs="Times New Roman"/>
                <w:b/>
                <w:sz w:val="28"/>
                <w:szCs w:val="28"/>
              </w:rPr>
            </w:pPr>
            <w:bookmarkStart w:id="761" w:name="_Toc175128759"/>
            <w:r>
              <w:rPr>
                <w:rFonts w:ascii="Rockwell" w:eastAsia="Times New Roman" w:hAnsi="Rockwell" w:cs="Times New Roman"/>
                <w:b/>
                <w:sz w:val="28"/>
                <w:szCs w:val="28"/>
              </w:rPr>
              <w:t>01</w:t>
            </w:r>
            <w:bookmarkEnd w:id="761"/>
          </w:p>
        </w:tc>
        <w:tc>
          <w:tcPr>
            <w:tcW w:w="7366" w:type="dxa"/>
          </w:tcPr>
          <w:p w14:paraId="4D6F2926" w14:textId="77777777" w:rsidR="00733207" w:rsidRDefault="00912BAE">
            <w:pPr>
              <w:keepNext/>
              <w:keepLines/>
              <w:spacing w:before="120" w:after="120" w:line="240" w:lineRule="auto"/>
              <w:jc w:val="both"/>
              <w:outlineLvl w:val="2"/>
              <w:rPr>
                <w:rFonts w:ascii="Rockwell" w:eastAsia="Times New Roman" w:hAnsi="Rockwell" w:cs="Times New Roman"/>
                <w:sz w:val="28"/>
                <w:szCs w:val="28"/>
              </w:rPr>
            </w:pPr>
            <w:bookmarkStart w:id="762" w:name="_Toc175128760"/>
            <w:r>
              <w:rPr>
                <w:rFonts w:ascii="Rockwell" w:eastAsia="Times New Roman" w:hAnsi="Rockwell" w:cs="Times New Roman"/>
                <w:sz w:val="28"/>
                <w:szCs w:val="28"/>
              </w:rPr>
              <w:t>L’Economiste</w:t>
            </w:r>
            <w:bookmarkEnd w:id="762"/>
          </w:p>
        </w:tc>
      </w:tr>
      <w:tr w:rsidR="00733207" w14:paraId="69B58912" w14:textId="77777777">
        <w:trPr>
          <w:trHeight w:val="888"/>
        </w:trPr>
        <w:tc>
          <w:tcPr>
            <w:tcW w:w="1696" w:type="dxa"/>
          </w:tcPr>
          <w:p w14:paraId="2712EFFA" w14:textId="77777777" w:rsidR="00733207" w:rsidRDefault="00912BAE">
            <w:pPr>
              <w:keepNext/>
              <w:keepLines/>
              <w:spacing w:before="120" w:after="120" w:line="240" w:lineRule="auto"/>
              <w:jc w:val="both"/>
              <w:outlineLvl w:val="2"/>
              <w:rPr>
                <w:rFonts w:ascii="Rockwell" w:eastAsia="Times New Roman" w:hAnsi="Rockwell" w:cs="Times New Roman"/>
                <w:b/>
                <w:sz w:val="28"/>
                <w:szCs w:val="28"/>
              </w:rPr>
            </w:pPr>
            <w:bookmarkStart w:id="763" w:name="_Toc175128761"/>
            <w:r>
              <w:rPr>
                <w:rFonts w:ascii="Rockwell" w:eastAsia="Times New Roman" w:hAnsi="Rockwell" w:cs="Times New Roman"/>
                <w:b/>
                <w:sz w:val="28"/>
                <w:szCs w:val="28"/>
              </w:rPr>
              <w:t>02</w:t>
            </w:r>
            <w:bookmarkEnd w:id="763"/>
          </w:p>
        </w:tc>
        <w:tc>
          <w:tcPr>
            <w:tcW w:w="7366" w:type="dxa"/>
          </w:tcPr>
          <w:p w14:paraId="1C8D0996" w14:textId="77777777" w:rsidR="00733207" w:rsidRDefault="00912BAE">
            <w:pPr>
              <w:keepNext/>
              <w:keepLines/>
              <w:spacing w:before="120" w:after="120" w:line="240" w:lineRule="auto"/>
              <w:jc w:val="both"/>
              <w:outlineLvl w:val="2"/>
              <w:rPr>
                <w:rFonts w:ascii="Rockwell" w:eastAsia="Times New Roman" w:hAnsi="Rockwell" w:cs="Times New Roman"/>
                <w:sz w:val="28"/>
                <w:szCs w:val="28"/>
              </w:rPr>
            </w:pPr>
            <w:bookmarkStart w:id="764" w:name="_Toc175128762"/>
            <w:r>
              <w:rPr>
                <w:rFonts w:ascii="Rockwell" w:eastAsia="Times New Roman" w:hAnsi="Rockwell" w:cs="Times New Roman"/>
                <w:sz w:val="28"/>
                <w:szCs w:val="28"/>
              </w:rPr>
              <w:t>La Lettre du Faso</w:t>
            </w:r>
            <w:bookmarkEnd w:id="764"/>
          </w:p>
        </w:tc>
      </w:tr>
      <w:tr w:rsidR="00733207" w14:paraId="57E2A642" w14:textId="77777777">
        <w:trPr>
          <w:trHeight w:val="864"/>
        </w:trPr>
        <w:tc>
          <w:tcPr>
            <w:tcW w:w="1696" w:type="dxa"/>
          </w:tcPr>
          <w:p w14:paraId="74585F9D" w14:textId="77777777" w:rsidR="00733207" w:rsidRDefault="00912BAE">
            <w:pPr>
              <w:keepNext/>
              <w:keepLines/>
              <w:spacing w:before="120" w:after="120" w:line="240" w:lineRule="auto"/>
              <w:jc w:val="both"/>
              <w:outlineLvl w:val="2"/>
              <w:rPr>
                <w:rFonts w:ascii="Rockwell" w:eastAsia="Times New Roman" w:hAnsi="Rockwell" w:cs="Times New Roman"/>
                <w:b/>
                <w:sz w:val="28"/>
                <w:szCs w:val="28"/>
              </w:rPr>
            </w:pPr>
            <w:bookmarkStart w:id="765" w:name="_Toc175128763"/>
            <w:r>
              <w:rPr>
                <w:rFonts w:ascii="Rockwell" w:eastAsia="Times New Roman" w:hAnsi="Rockwell" w:cs="Times New Roman"/>
                <w:b/>
                <w:sz w:val="28"/>
                <w:szCs w:val="28"/>
              </w:rPr>
              <w:t>03</w:t>
            </w:r>
            <w:bookmarkEnd w:id="765"/>
          </w:p>
        </w:tc>
        <w:tc>
          <w:tcPr>
            <w:tcW w:w="7366" w:type="dxa"/>
          </w:tcPr>
          <w:p w14:paraId="7D58EF56" w14:textId="77777777" w:rsidR="00733207" w:rsidRDefault="00912BAE">
            <w:pPr>
              <w:keepNext/>
              <w:keepLines/>
              <w:spacing w:before="120" w:after="120" w:line="240" w:lineRule="auto"/>
              <w:jc w:val="both"/>
              <w:outlineLvl w:val="2"/>
              <w:rPr>
                <w:rFonts w:ascii="Rockwell" w:eastAsia="Times New Roman" w:hAnsi="Rockwell" w:cs="Times New Roman"/>
                <w:sz w:val="28"/>
                <w:szCs w:val="28"/>
              </w:rPr>
            </w:pPr>
            <w:bookmarkStart w:id="766" w:name="_Toc175128764"/>
            <w:r>
              <w:rPr>
                <w:rFonts w:ascii="Rockwell" w:eastAsia="Times New Roman" w:hAnsi="Rockwell" w:cs="Times New Roman"/>
                <w:sz w:val="28"/>
                <w:szCs w:val="28"/>
              </w:rPr>
              <w:t>Le Patriote</w:t>
            </w:r>
            <w:bookmarkEnd w:id="766"/>
          </w:p>
        </w:tc>
      </w:tr>
    </w:tbl>
    <w:p w14:paraId="2D112119" w14:textId="77777777" w:rsidR="00733207" w:rsidRDefault="00733207">
      <w:pPr>
        <w:keepNext/>
        <w:keepLines/>
        <w:spacing w:before="120" w:after="120"/>
        <w:jc w:val="both"/>
        <w:outlineLvl w:val="2"/>
        <w:rPr>
          <w:rFonts w:ascii="Rockwell" w:eastAsia="Times New Roman" w:hAnsi="Rockwell" w:cs="Times New Roman"/>
          <w:b/>
          <w:sz w:val="28"/>
          <w:szCs w:val="28"/>
        </w:rPr>
      </w:pPr>
    </w:p>
    <w:p w14:paraId="27DC63D8" w14:textId="77777777" w:rsidR="00733207" w:rsidRDefault="00733207">
      <w:pPr>
        <w:jc w:val="both"/>
        <w:rPr>
          <w:rFonts w:ascii="Rockwell" w:hAnsi="Rockwell"/>
          <w:kern w:val="2"/>
          <w14:ligatures w14:val="standardContextual"/>
        </w:rPr>
        <w:sectPr w:rsidR="00733207">
          <w:pgSz w:w="11906" w:h="16838"/>
          <w:pgMar w:top="1417" w:right="1417" w:bottom="1417" w:left="1417" w:header="708" w:footer="708" w:gutter="0"/>
          <w:cols w:space="708"/>
          <w:docGrid w:linePitch="360"/>
        </w:sectPr>
      </w:pPr>
    </w:p>
    <w:p w14:paraId="09FC99EC" w14:textId="77777777" w:rsidR="00733207" w:rsidRDefault="00912BAE">
      <w:pPr>
        <w:keepNext/>
        <w:keepLines/>
        <w:tabs>
          <w:tab w:val="center" w:pos="9072"/>
        </w:tabs>
        <w:spacing w:before="40" w:after="120"/>
        <w:jc w:val="center"/>
        <w:outlineLvl w:val="2"/>
        <w:rPr>
          <w:rFonts w:ascii="Rockwell" w:eastAsia="Times New Roman" w:hAnsi="Rockwell" w:cs="Times New Roman"/>
          <w:b/>
          <w:sz w:val="28"/>
          <w:szCs w:val="28"/>
        </w:rPr>
      </w:pPr>
      <w:bookmarkStart w:id="767" w:name="_Toc175128765"/>
      <w:r>
        <w:rPr>
          <w:rFonts w:ascii="Rockwell" w:eastAsia="Times New Roman" w:hAnsi="Rockwell" w:cs="Times New Roman"/>
          <w:b/>
          <w:sz w:val="28"/>
          <w:szCs w:val="28"/>
        </w:rPr>
        <w:lastRenderedPageBreak/>
        <w:t>Les mensuels : 08</w:t>
      </w:r>
      <w:bookmarkEnd w:id="767"/>
    </w:p>
    <w:p w14:paraId="3AA9B845" w14:textId="77777777" w:rsidR="00733207" w:rsidRDefault="00733207">
      <w:pPr>
        <w:keepNext/>
        <w:keepLines/>
        <w:tabs>
          <w:tab w:val="center" w:pos="9072"/>
        </w:tabs>
        <w:spacing w:before="40" w:after="120"/>
        <w:jc w:val="both"/>
        <w:outlineLvl w:val="2"/>
        <w:rPr>
          <w:rFonts w:ascii="Rockwell" w:eastAsia="Times New Roman" w:hAnsi="Rockwell" w:cs="Times New Roman"/>
          <w:b/>
          <w:sz w:val="28"/>
          <w:szCs w:val="28"/>
        </w:rPr>
      </w:pPr>
    </w:p>
    <w:tbl>
      <w:tblPr>
        <w:tblStyle w:val="Grilledutableau"/>
        <w:tblW w:w="9389" w:type="dxa"/>
        <w:jc w:val="center"/>
        <w:tblLook w:val="04A0" w:firstRow="1" w:lastRow="0" w:firstColumn="1" w:lastColumn="0" w:noHBand="0" w:noVBand="1"/>
      </w:tblPr>
      <w:tblGrid>
        <w:gridCol w:w="1838"/>
        <w:gridCol w:w="7551"/>
      </w:tblGrid>
      <w:tr w:rsidR="00733207" w14:paraId="26B12B86" w14:textId="77777777">
        <w:trPr>
          <w:trHeight w:val="831"/>
          <w:jc w:val="center"/>
        </w:trPr>
        <w:tc>
          <w:tcPr>
            <w:tcW w:w="1838" w:type="dxa"/>
            <w:shd w:val="clear" w:color="auto" w:fill="D9D9D9" w:themeFill="background1" w:themeFillShade="D9"/>
          </w:tcPr>
          <w:p w14:paraId="1C0EF820" w14:textId="77777777" w:rsidR="00733207" w:rsidRDefault="00912BAE">
            <w:pPr>
              <w:spacing w:after="0" w:line="240" w:lineRule="auto"/>
              <w:jc w:val="center"/>
              <w:rPr>
                <w:rFonts w:ascii="Rockwell" w:hAnsi="Rockwell"/>
                <w:kern w:val="2"/>
                <w:sz w:val="28"/>
                <w:szCs w:val="28"/>
                <w14:ligatures w14:val="standardContextual"/>
              </w:rPr>
            </w:pPr>
            <w:r>
              <w:rPr>
                <w:rFonts w:ascii="Rockwell" w:hAnsi="Rockwell"/>
                <w:b/>
                <w:kern w:val="2"/>
                <w:sz w:val="28"/>
                <w:szCs w:val="28"/>
                <w14:ligatures w14:val="standardContextual"/>
              </w:rPr>
              <w:t>N</w:t>
            </w:r>
          </w:p>
        </w:tc>
        <w:tc>
          <w:tcPr>
            <w:tcW w:w="7551" w:type="dxa"/>
            <w:shd w:val="clear" w:color="auto" w:fill="D9D9D9" w:themeFill="background1" w:themeFillShade="D9"/>
          </w:tcPr>
          <w:p w14:paraId="05519AED" w14:textId="77777777" w:rsidR="00733207" w:rsidRDefault="00912BAE">
            <w:pPr>
              <w:spacing w:after="0" w:line="240" w:lineRule="auto"/>
              <w:jc w:val="center"/>
              <w:rPr>
                <w:rFonts w:ascii="Rockwell" w:hAnsi="Rockwell"/>
                <w:kern w:val="2"/>
                <w:sz w:val="28"/>
                <w:szCs w:val="28"/>
                <w14:ligatures w14:val="standardContextual"/>
              </w:rPr>
            </w:pPr>
            <w:r>
              <w:rPr>
                <w:rFonts w:ascii="Rockwell" w:hAnsi="Rockwell"/>
                <w:b/>
                <w:kern w:val="2"/>
                <w:sz w:val="28"/>
                <w:szCs w:val="28"/>
                <w14:ligatures w14:val="standardContextual"/>
              </w:rPr>
              <w:t>Titre</w:t>
            </w:r>
          </w:p>
        </w:tc>
      </w:tr>
      <w:tr w:rsidR="00733207" w14:paraId="7E0708D1" w14:textId="77777777">
        <w:trPr>
          <w:trHeight w:val="689"/>
          <w:jc w:val="center"/>
        </w:trPr>
        <w:tc>
          <w:tcPr>
            <w:tcW w:w="1838" w:type="dxa"/>
          </w:tcPr>
          <w:p w14:paraId="75DF7AB5"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01</w:t>
            </w:r>
          </w:p>
        </w:tc>
        <w:tc>
          <w:tcPr>
            <w:tcW w:w="7551" w:type="dxa"/>
          </w:tcPr>
          <w:p w14:paraId="19737974"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Carrefour Africain</w:t>
            </w:r>
          </w:p>
        </w:tc>
      </w:tr>
      <w:tr w:rsidR="00733207" w14:paraId="25B41BA3" w14:textId="77777777">
        <w:trPr>
          <w:trHeight w:val="744"/>
          <w:jc w:val="center"/>
        </w:trPr>
        <w:tc>
          <w:tcPr>
            <w:tcW w:w="1838" w:type="dxa"/>
          </w:tcPr>
          <w:p w14:paraId="6EEA242C"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02</w:t>
            </w:r>
          </w:p>
        </w:tc>
        <w:tc>
          <w:tcPr>
            <w:tcW w:w="7551" w:type="dxa"/>
          </w:tcPr>
          <w:p w14:paraId="277A9BB4"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La Paix</w:t>
            </w:r>
          </w:p>
        </w:tc>
      </w:tr>
      <w:tr w:rsidR="00733207" w14:paraId="25D56CE9" w14:textId="77777777">
        <w:trPr>
          <w:trHeight w:val="603"/>
          <w:jc w:val="center"/>
        </w:trPr>
        <w:tc>
          <w:tcPr>
            <w:tcW w:w="1838" w:type="dxa"/>
          </w:tcPr>
          <w:p w14:paraId="09950E7D"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03</w:t>
            </w:r>
          </w:p>
        </w:tc>
        <w:tc>
          <w:tcPr>
            <w:tcW w:w="7551" w:type="dxa"/>
          </w:tcPr>
          <w:p w14:paraId="365995D2"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Le Reporter</w:t>
            </w:r>
          </w:p>
        </w:tc>
      </w:tr>
      <w:tr w:rsidR="00733207" w14:paraId="33BF426B" w14:textId="77777777">
        <w:trPr>
          <w:trHeight w:val="831"/>
          <w:jc w:val="center"/>
        </w:trPr>
        <w:tc>
          <w:tcPr>
            <w:tcW w:w="1838" w:type="dxa"/>
          </w:tcPr>
          <w:p w14:paraId="07BFF566"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 xml:space="preserve">04 </w:t>
            </w:r>
          </w:p>
        </w:tc>
        <w:tc>
          <w:tcPr>
            <w:tcW w:w="7551" w:type="dxa"/>
          </w:tcPr>
          <w:p w14:paraId="6A35F9DB"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 xml:space="preserve">La Tribune du Sahel </w:t>
            </w:r>
          </w:p>
        </w:tc>
      </w:tr>
      <w:tr w:rsidR="00733207" w14:paraId="7FA0C9A5" w14:textId="77777777">
        <w:trPr>
          <w:trHeight w:val="831"/>
          <w:jc w:val="center"/>
        </w:trPr>
        <w:tc>
          <w:tcPr>
            <w:tcW w:w="1838" w:type="dxa"/>
          </w:tcPr>
          <w:p w14:paraId="4B63C003"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05</w:t>
            </w:r>
          </w:p>
        </w:tc>
        <w:tc>
          <w:tcPr>
            <w:tcW w:w="7551" w:type="dxa"/>
          </w:tcPr>
          <w:p w14:paraId="4CCA1552" w14:textId="7F5731DE"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Faso</w:t>
            </w:r>
            <w:r w:rsidR="00E00AF1">
              <w:rPr>
                <w:rFonts w:ascii="Rockwell" w:hAnsi="Rockwell"/>
                <w:kern w:val="2"/>
                <w:sz w:val="28"/>
                <w:szCs w:val="28"/>
                <w14:ligatures w14:val="standardContextual"/>
              </w:rPr>
              <w:t xml:space="preserve"> </w:t>
            </w:r>
            <w:r>
              <w:rPr>
                <w:rFonts w:ascii="Rockwell" w:hAnsi="Rockwell"/>
                <w:kern w:val="2"/>
                <w:sz w:val="28"/>
                <w:szCs w:val="28"/>
                <w14:ligatures w14:val="standardContextual"/>
              </w:rPr>
              <w:t>Cinéma</w:t>
            </w:r>
          </w:p>
        </w:tc>
      </w:tr>
      <w:tr w:rsidR="00733207" w14:paraId="679DB833" w14:textId="77777777">
        <w:trPr>
          <w:trHeight w:val="831"/>
          <w:jc w:val="center"/>
        </w:trPr>
        <w:tc>
          <w:tcPr>
            <w:tcW w:w="1838" w:type="dxa"/>
          </w:tcPr>
          <w:p w14:paraId="5664BD7F"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06</w:t>
            </w:r>
          </w:p>
        </w:tc>
        <w:tc>
          <w:tcPr>
            <w:tcW w:w="7551" w:type="dxa"/>
          </w:tcPr>
          <w:p w14:paraId="71C68308"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La Tribune du Faso</w:t>
            </w:r>
          </w:p>
        </w:tc>
      </w:tr>
      <w:tr w:rsidR="00733207" w14:paraId="72FD2DAF" w14:textId="77777777">
        <w:trPr>
          <w:trHeight w:val="831"/>
          <w:jc w:val="center"/>
        </w:trPr>
        <w:tc>
          <w:tcPr>
            <w:tcW w:w="1838" w:type="dxa"/>
          </w:tcPr>
          <w:p w14:paraId="28B064C1"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07</w:t>
            </w:r>
          </w:p>
        </w:tc>
        <w:tc>
          <w:tcPr>
            <w:tcW w:w="7551" w:type="dxa"/>
          </w:tcPr>
          <w:p w14:paraId="12160CFE"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Racines</w:t>
            </w:r>
          </w:p>
        </w:tc>
      </w:tr>
      <w:tr w:rsidR="00733207" w14:paraId="669F2023" w14:textId="77777777">
        <w:trPr>
          <w:trHeight w:val="831"/>
          <w:jc w:val="center"/>
        </w:trPr>
        <w:tc>
          <w:tcPr>
            <w:tcW w:w="1838" w:type="dxa"/>
          </w:tcPr>
          <w:p w14:paraId="75CE825D"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08</w:t>
            </w:r>
          </w:p>
        </w:tc>
        <w:tc>
          <w:tcPr>
            <w:tcW w:w="7551" w:type="dxa"/>
          </w:tcPr>
          <w:p w14:paraId="0E6C2A4A"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L’Evénement</w:t>
            </w:r>
          </w:p>
        </w:tc>
      </w:tr>
    </w:tbl>
    <w:p w14:paraId="01A0D4F5" w14:textId="77777777" w:rsidR="00733207" w:rsidRDefault="00733207">
      <w:pPr>
        <w:jc w:val="both"/>
        <w:rPr>
          <w:rFonts w:ascii="Rockwell" w:hAnsi="Rockwell"/>
          <w:kern w:val="2"/>
          <w14:ligatures w14:val="standardContextual"/>
        </w:rPr>
      </w:pPr>
    </w:p>
    <w:p w14:paraId="1216603F" w14:textId="77777777" w:rsidR="00733207" w:rsidRDefault="00912BAE">
      <w:pPr>
        <w:jc w:val="center"/>
        <w:rPr>
          <w:rFonts w:ascii="Rockwell" w:eastAsia="Times New Roman" w:hAnsi="Rockwell" w:cs="Times New Roman"/>
          <w:b/>
          <w:sz w:val="28"/>
          <w:szCs w:val="28"/>
        </w:rPr>
      </w:pPr>
      <w:r>
        <w:rPr>
          <w:rFonts w:ascii="Rockwell" w:eastAsia="Times New Roman" w:hAnsi="Rockwell" w:cs="Times New Roman"/>
          <w:b/>
          <w:sz w:val="28"/>
          <w:szCs w:val="28"/>
        </w:rPr>
        <w:t>Les bimensuels : 07</w:t>
      </w:r>
    </w:p>
    <w:tbl>
      <w:tblPr>
        <w:tblStyle w:val="Grilledutableau"/>
        <w:tblW w:w="9337" w:type="dxa"/>
        <w:jc w:val="center"/>
        <w:tblLook w:val="04A0" w:firstRow="1" w:lastRow="0" w:firstColumn="1" w:lastColumn="0" w:noHBand="0" w:noVBand="1"/>
      </w:tblPr>
      <w:tblGrid>
        <w:gridCol w:w="1838"/>
        <w:gridCol w:w="7499"/>
      </w:tblGrid>
      <w:tr w:rsidR="00733207" w14:paraId="196431BE" w14:textId="77777777">
        <w:trPr>
          <w:trHeight w:val="563"/>
          <w:jc w:val="center"/>
        </w:trPr>
        <w:tc>
          <w:tcPr>
            <w:tcW w:w="1838" w:type="dxa"/>
          </w:tcPr>
          <w:p w14:paraId="7F770EED" w14:textId="77777777" w:rsidR="00733207" w:rsidRDefault="00912BAE">
            <w:pPr>
              <w:spacing w:after="0" w:line="240" w:lineRule="auto"/>
              <w:jc w:val="center"/>
              <w:rPr>
                <w:rFonts w:ascii="Rockwell" w:hAnsi="Rockwell"/>
                <w:kern w:val="2"/>
                <w:sz w:val="28"/>
                <w:szCs w:val="28"/>
                <w14:ligatures w14:val="standardContextual"/>
              </w:rPr>
            </w:pPr>
            <w:r>
              <w:rPr>
                <w:rFonts w:ascii="Rockwell" w:eastAsia="Times New Roman" w:hAnsi="Rockwell" w:cs="Times New Roman"/>
                <w:b/>
                <w:sz w:val="28"/>
                <w:szCs w:val="28"/>
              </w:rPr>
              <w:t>N°</w:t>
            </w:r>
          </w:p>
        </w:tc>
        <w:tc>
          <w:tcPr>
            <w:tcW w:w="7499" w:type="dxa"/>
          </w:tcPr>
          <w:p w14:paraId="15848EBA" w14:textId="77777777" w:rsidR="00733207" w:rsidRDefault="00912BAE">
            <w:pPr>
              <w:spacing w:after="0" w:line="240" w:lineRule="auto"/>
              <w:jc w:val="center"/>
              <w:rPr>
                <w:rFonts w:ascii="Rockwell" w:hAnsi="Rockwell"/>
                <w:kern w:val="2"/>
                <w:sz w:val="28"/>
                <w:szCs w:val="28"/>
                <w14:ligatures w14:val="standardContextual"/>
              </w:rPr>
            </w:pPr>
            <w:r>
              <w:rPr>
                <w:rFonts w:ascii="Rockwell" w:eastAsia="Times New Roman" w:hAnsi="Rockwell" w:cs="Times New Roman"/>
                <w:b/>
                <w:sz w:val="28"/>
                <w:szCs w:val="28"/>
              </w:rPr>
              <w:t>Titre</w:t>
            </w:r>
          </w:p>
        </w:tc>
      </w:tr>
      <w:tr w:rsidR="00733207" w14:paraId="78ABC05A" w14:textId="77777777">
        <w:trPr>
          <w:trHeight w:val="563"/>
          <w:jc w:val="center"/>
        </w:trPr>
        <w:tc>
          <w:tcPr>
            <w:tcW w:w="1838" w:type="dxa"/>
          </w:tcPr>
          <w:p w14:paraId="33D4F408"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01</w:t>
            </w:r>
          </w:p>
        </w:tc>
        <w:tc>
          <w:tcPr>
            <w:tcW w:w="7499" w:type="dxa"/>
          </w:tcPr>
          <w:p w14:paraId="0BA29E9E" w14:textId="77777777" w:rsidR="00733207" w:rsidRDefault="00912BAE">
            <w:pPr>
              <w:spacing w:after="0" w:line="240" w:lineRule="auto"/>
              <w:rPr>
                <w:rFonts w:ascii="Rockwell" w:hAnsi="Rockwell"/>
                <w:kern w:val="2"/>
                <w:sz w:val="28"/>
                <w:szCs w:val="28"/>
                <w14:ligatures w14:val="standardContextual"/>
              </w:rPr>
            </w:pPr>
            <w:r>
              <w:rPr>
                <w:rFonts w:ascii="Rockwell" w:hAnsi="Rockwell"/>
                <w:kern w:val="2"/>
                <w:sz w:val="28"/>
                <w:szCs w:val="28"/>
                <w14:ligatures w14:val="standardContextual"/>
              </w:rPr>
              <w:t>La Voix du Sahel</w:t>
            </w:r>
          </w:p>
        </w:tc>
      </w:tr>
      <w:tr w:rsidR="00733207" w14:paraId="309ABC48" w14:textId="77777777">
        <w:trPr>
          <w:trHeight w:val="563"/>
          <w:jc w:val="center"/>
        </w:trPr>
        <w:tc>
          <w:tcPr>
            <w:tcW w:w="1838" w:type="dxa"/>
          </w:tcPr>
          <w:p w14:paraId="6FFF3C4C"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02</w:t>
            </w:r>
          </w:p>
        </w:tc>
        <w:tc>
          <w:tcPr>
            <w:tcW w:w="7499" w:type="dxa"/>
          </w:tcPr>
          <w:p w14:paraId="2DB91656" w14:textId="77777777" w:rsidR="00733207" w:rsidRDefault="00912BAE">
            <w:pPr>
              <w:spacing w:after="0" w:line="240" w:lineRule="auto"/>
              <w:rPr>
                <w:rFonts w:ascii="Rockwell" w:hAnsi="Rockwell"/>
                <w:kern w:val="2"/>
                <w:sz w:val="28"/>
                <w:szCs w:val="28"/>
                <w14:ligatures w14:val="standardContextual"/>
              </w:rPr>
            </w:pPr>
            <w:r>
              <w:rPr>
                <w:rFonts w:ascii="Rockwell" w:hAnsi="Rockwell"/>
                <w:kern w:val="2"/>
                <w:sz w:val="28"/>
                <w:szCs w:val="28"/>
                <w14:ligatures w14:val="standardContextual"/>
              </w:rPr>
              <w:t>Le Reporter</w:t>
            </w:r>
          </w:p>
        </w:tc>
      </w:tr>
      <w:tr w:rsidR="00733207" w14:paraId="0E6F4E42" w14:textId="77777777">
        <w:trPr>
          <w:trHeight w:val="563"/>
          <w:jc w:val="center"/>
        </w:trPr>
        <w:tc>
          <w:tcPr>
            <w:tcW w:w="1838" w:type="dxa"/>
          </w:tcPr>
          <w:p w14:paraId="3B35E43B"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03</w:t>
            </w:r>
          </w:p>
        </w:tc>
        <w:tc>
          <w:tcPr>
            <w:tcW w:w="7499" w:type="dxa"/>
          </w:tcPr>
          <w:p w14:paraId="1D818F9D" w14:textId="77777777" w:rsidR="00733207" w:rsidRDefault="00912BAE">
            <w:pPr>
              <w:spacing w:after="0" w:line="240" w:lineRule="auto"/>
              <w:rPr>
                <w:rFonts w:ascii="Rockwell" w:hAnsi="Rockwell"/>
                <w:kern w:val="2"/>
                <w:sz w:val="28"/>
                <w:szCs w:val="28"/>
                <w14:ligatures w14:val="standardContextual"/>
              </w:rPr>
            </w:pPr>
            <w:r>
              <w:rPr>
                <w:rFonts w:ascii="Rockwell" w:hAnsi="Rockwell"/>
                <w:kern w:val="2"/>
                <w:sz w:val="28"/>
                <w:szCs w:val="28"/>
                <w14:ligatures w14:val="standardContextual"/>
              </w:rPr>
              <w:t>Echos Culture du Faso</w:t>
            </w:r>
          </w:p>
        </w:tc>
      </w:tr>
      <w:tr w:rsidR="00733207" w14:paraId="42255FC5" w14:textId="77777777">
        <w:trPr>
          <w:trHeight w:val="563"/>
          <w:jc w:val="center"/>
        </w:trPr>
        <w:tc>
          <w:tcPr>
            <w:tcW w:w="1838" w:type="dxa"/>
          </w:tcPr>
          <w:p w14:paraId="5F19F3BF"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04</w:t>
            </w:r>
          </w:p>
        </w:tc>
        <w:tc>
          <w:tcPr>
            <w:tcW w:w="7499" w:type="dxa"/>
          </w:tcPr>
          <w:p w14:paraId="01A8C1F4" w14:textId="77777777" w:rsidR="00733207" w:rsidRDefault="00912BAE">
            <w:pPr>
              <w:spacing w:after="0" w:line="240" w:lineRule="auto"/>
              <w:rPr>
                <w:rFonts w:ascii="Rockwell" w:hAnsi="Rockwell"/>
                <w:kern w:val="2"/>
                <w:sz w:val="28"/>
                <w:szCs w:val="28"/>
                <w14:ligatures w14:val="standardContextual"/>
              </w:rPr>
            </w:pPr>
            <w:r>
              <w:rPr>
                <w:rFonts w:ascii="Rockwell" w:hAnsi="Rockwell"/>
                <w:kern w:val="2"/>
                <w:sz w:val="28"/>
                <w:szCs w:val="28"/>
                <w14:ligatures w14:val="standardContextual"/>
              </w:rPr>
              <w:t>Le Minier</w:t>
            </w:r>
          </w:p>
        </w:tc>
      </w:tr>
      <w:tr w:rsidR="00733207" w14:paraId="0EDBB9C1" w14:textId="77777777">
        <w:trPr>
          <w:trHeight w:val="563"/>
          <w:jc w:val="center"/>
        </w:trPr>
        <w:tc>
          <w:tcPr>
            <w:tcW w:w="1838" w:type="dxa"/>
          </w:tcPr>
          <w:p w14:paraId="2ED7CFE7"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05</w:t>
            </w:r>
          </w:p>
        </w:tc>
        <w:tc>
          <w:tcPr>
            <w:tcW w:w="7499" w:type="dxa"/>
          </w:tcPr>
          <w:p w14:paraId="284F8CDD" w14:textId="77777777" w:rsidR="00733207" w:rsidRDefault="00912BAE">
            <w:pPr>
              <w:spacing w:after="0" w:line="240" w:lineRule="auto"/>
              <w:rPr>
                <w:rFonts w:ascii="Rockwell" w:hAnsi="Rockwell"/>
                <w:kern w:val="2"/>
                <w:sz w:val="28"/>
                <w:szCs w:val="28"/>
                <w14:ligatures w14:val="standardContextual"/>
              </w:rPr>
            </w:pPr>
            <w:r>
              <w:rPr>
                <w:rFonts w:ascii="Rockwell" w:hAnsi="Rockwell"/>
                <w:kern w:val="2"/>
                <w:sz w:val="28"/>
                <w:szCs w:val="28"/>
                <w14:ligatures w14:val="standardContextual"/>
              </w:rPr>
              <w:t>La Colombe Plus</w:t>
            </w:r>
          </w:p>
        </w:tc>
      </w:tr>
      <w:tr w:rsidR="00733207" w14:paraId="2BA318DA" w14:textId="77777777">
        <w:trPr>
          <w:trHeight w:val="563"/>
          <w:jc w:val="center"/>
        </w:trPr>
        <w:tc>
          <w:tcPr>
            <w:tcW w:w="1838" w:type="dxa"/>
          </w:tcPr>
          <w:p w14:paraId="1E71CED2"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06</w:t>
            </w:r>
          </w:p>
        </w:tc>
        <w:tc>
          <w:tcPr>
            <w:tcW w:w="7499" w:type="dxa"/>
          </w:tcPr>
          <w:p w14:paraId="0F18207D" w14:textId="77777777" w:rsidR="00733207" w:rsidRDefault="00912BAE">
            <w:pPr>
              <w:spacing w:after="0" w:line="240" w:lineRule="auto"/>
              <w:rPr>
                <w:rFonts w:ascii="Rockwell" w:hAnsi="Rockwell"/>
                <w:kern w:val="2"/>
                <w:sz w:val="28"/>
                <w:szCs w:val="28"/>
                <w14:ligatures w14:val="standardContextual"/>
              </w:rPr>
            </w:pPr>
            <w:proofErr w:type="spellStart"/>
            <w:r>
              <w:rPr>
                <w:rFonts w:ascii="Rockwell" w:hAnsi="Rockwell"/>
                <w:kern w:val="2"/>
                <w:sz w:val="28"/>
                <w:szCs w:val="28"/>
                <w14:ligatures w14:val="standardContextual"/>
              </w:rPr>
              <w:t>Poeton</w:t>
            </w:r>
            <w:proofErr w:type="spellEnd"/>
          </w:p>
        </w:tc>
      </w:tr>
      <w:tr w:rsidR="00733207" w14:paraId="33BC8901" w14:textId="77777777">
        <w:trPr>
          <w:trHeight w:val="563"/>
          <w:jc w:val="center"/>
        </w:trPr>
        <w:tc>
          <w:tcPr>
            <w:tcW w:w="1838" w:type="dxa"/>
          </w:tcPr>
          <w:p w14:paraId="2AFD3AF0" w14:textId="77777777" w:rsidR="00733207" w:rsidRDefault="00912BAE">
            <w:pPr>
              <w:spacing w:after="0" w:line="240" w:lineRule="auto"/>
              <w:jc w:val="both"/>
              <w:rPr>
                <w:rFonts w:ascii="Rockwell" w:hAnsi="Rockwell"/>
                <w:kern w:val="2"/>
                <w:sz w:val="28"/>
                <w:szCs w:val="28"/>
                <w14:ligatures w14:val="standardContextual"/>
              </w:rPr>
            </w:pPr>
            <w:r>
              <w:rPr>
                <w:rFonts w:ascii="Rockwell" w:hAnsi="Rockwell"/>
                <w:kern w:val="2"/>
                <w:sz w:val="28"/>
                <w:szCs w:val="28"/>
                <w14:ligatures w14:val="standardContextual"/>
              </w:rPr>
              <w:t>07</w:t>
            </w:r>
          </w:p>
        </w:tc>
        <w:tc>
          <w:tcPr>
            <w:tcW w:w="7499" w:type="dxa"/>
          </w:tcPr>
          <w:p w14:paraId="4FCAD790" w14:textId="77777777" w:rsidR="00733207" w:rsidRDefault="00912BAE">
            <w:pPr>
              <w:spacing w:after="0" w:line="240" w:lineRule="auto"/>
              <w:rPr>
                <w:rFonts w:ascii="Rockwell" w:hAnsi="Rockwell"/>
                <w:kern w:val="2"/>
                <w:sz w:val="28"/>
                <w:szCs w:val="28"/>
                <w14:ligatures w14:val="standardContextual"/>
              </w:rPr>
            </w:pPr>
            <w:r>
              <w:rPr>
                <w:rFonts w:ascii="Rockwell" w:hAnsi="Rockwell"/>
                <w:kern w:val="2"/>
                <w:sz w:val="28"/>
                <w:szCs w:val="28"/>
                <w14:ligatures w14:val="standardContextual"/>
              </w:rPr>
              <w:t>Le Curieux d’Afrique</w:t>
            </w:r>
          </w:p>
        </w:tc>
      </w:tr>
    </w:tbl>
    <w:p w14:paraId="62E0AF19" w14:textId="77777777" w:rsidR="00733207" w:rsidRDefault="00733207">
      <w:pPr>
        <w:jc w:val="both"/>
        <w:rPr>
          <w:rFonts w:ascii="Rockwell" w:hAnsi="Rockwell"/>
          <w:kern w:val="2"/>
          <w14:ligatures w14:val="standardContextual"/>
        </w:rPr>
      </w:pPr>
    </w:p>
    <w:p w14:paraId="60AA33B6" w14:textId="77777777" w:rsidR="00733207" w:rsidRDefault="00912BAE">
      <w:pPr>
        <w:tabs>
          <w:tab w:val="left" w:pos="2400"/>
        </w:tabs>
        <w:spacing w:after="120"/>
        <w:ind w:firstLine="142"/>
        <w:jc w:val="center"/>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lastRenderedPageBreak/>
        <w:t xml:space="preserve">Les </w:t>
      </w:r>
      <w:proofErr w:type="spellStart"/>
      <w:r>
        <w:rPr>
          <w:rFonts w:ascii="Rockwell" w:eastAsiaTheme="majorEastAsia" w:hAnsi="Rockwell" w:cs="Times New Roman"/>
          <w:b/>
          <w:kern w:val="2"/>
          <w:sz w:val="28"/>
          <w:szCs w:val="28"/>
          <w:lang w:val="en-US"/>
          <w14:ligatures w14:val="standardContextual"/>
        </w:rPr>
        <w:t>Trimestriels</w:t>
      </w:r>
      <w:proofErr w:type="spellEnd"/>
      <w:r>
        <w:rPr>
          <w:rFonts w:ascii="Rockwell" w:eastAsiaTheme="majorEastAsia" w:hAnsi="Rockwell" w:cs="Times New Roman"/>
          <w:b/>
          <w:kern w:val="2"/>
          <w:sz w:val="28"/>
          <w:szCs w:val="28"/>
          <w:lang w:val="en-US"/>
          <w14:ligatures w14:val="standardContextual"/>
        </w:rPr>
        <w:t xml:space="preserve"> 01</w:t>
      </w:r>
    </w:p>
    <w:p w14:paraId="7C8EC0F4" w14:textId="77777777" w:rsidR="00733207" w:rsidRDefault="00733207">
      <w:pPr>
        <w:tabs>
          <w:tab w:val="left" w:pos="2400"/>
        </w:tabs>
        <w:spacing w:after="120"/>
        <w:jc w:val="both"/>
        <w:rPr>
          <w:rFonts w:ascii="Rockwell" w:eastAsiaTheme="majorEastAsia" w:hAnsi="Rockwell" w:cs="Times New Roman"/>
          <w:b/>
          <w:kern w:val="2"/>
          <w:sz w:val="28"/>
          <w:szCs w:val="28"/>
          <w:lang w:val="en-US"/>
          <w14:ligatures w14:val="standardContextual"/>
        </w:rPr>
      </w:pPr>
    </w:p>
    <w:tbl>
      <w:tblPr>
        <w:tblStyle w:val="Grilledutableau"/>
        <w:tblW w:w="9298" w:type="dxa"/>
        <w:jc w:val="center"/>
        <w:tblLook w:val="04A0" w:firstRow="1" w:lastRow="0" w:firstColumn="1" w:lastColumn="0" w:noHBand="0" w:noVBand="1"/>
      </w:tblPr>
      <w:tblGrid>
        <w:gridCol w:w="1806"/>
        <w:gridCol w:w="7492"/>
      </w:tblGrid>
      <w:tr w:rsidR="00733207" w14:paraId="47C87C9E" w14:textId="77777777">
        <w:trPr>
          <w:trHeight w:val="737"/>
          <w:jc w:val="center"/>
        </w:trPr>
        <w:tc>
          <w:tcPr>
            <w:tcW w:w="1806" w:type="dxa"/>
          </w:tcPr>
          <w:p w14:paraId="0B8D49CE" w14:textId="77777777" w:rsidR="00733207" w:rsidRDefault="00912BAE">
            <w:pPr>
              <w:tabs>
                <w:tab w:val="left" w:pos="2400"/>
              </w:tabs>
              <w:spacing w:after="120" w:line="240" w:lineRule="auto"/>
              <w:jc w:val="center"/>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Nro</w:t>
            </w:r>
            <w:proofErr w:type="spellEnd"/>
          </w:p>
        </w:tc>
        <w:tc>
          <w:tcPr>
            <w:tcW w:w="7492" w:type="dxa"/>
          </w:tcPr>
          <w:p w14:paraId="46550C5F" w14:textId="77777777" w:rsidR="00733207" w:rsidRDefault="00912BAE">
            <w:pPr>
              <w:tabs>
                <w:tab w:val="left" w:pos="2400"/>
              </w:tabs>
              <w:spacing w:after="120" w:line="240" w:lineRule="auto"/>
              <w:jc w:val="center"/>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Titre</w:t>
            </w:r>
            <w:proofErr w:type="spellEnd"/>
          </w:p>
        </w:tc>
      </w:tr>
      <w:tr w:rsidR="00733207" w14:paraId="1272B34A" w14:textId="77777777">
        <w:trPr>
          <w:trHeight w:val="1133"/>
          <w:jc w:val="center"/>
        </w:trPr>
        <w:tc>
          <w:tcPr>
            <w:tcW w:w="1806" w:type="dxa"/>
          </w:tcPr>
          <w:p w14:paraId="716186A6"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01</w:t>
            </w:r>
          </w:p>
        </w:tc>
        <w:tc>
          <w:tcPr>
            <w:tcW w:w="7492" w:type="dxa"/>
          </w:tcPr>
          <w:p w14:paraId="4577728F" w14:textId="77777777" w:rsidR="00733207" w:rsidRDefault="00912BAE">
            <w:pPr>
              <w:tabs>
                <w:tab w:val="left" w:pos="2400"/>
              </w:tabs>
              <w:spacing w:after="120" w:line="240" w:lineRule="auto"/>
              <w:jc w:val="both"/>
              <w:rPr>
                <w:rFonts w:ascii="Rockwell" w:eastAsiaTheme="majorEastAsia" w:hAnsi="Rockwell" w:cs="Times New Roman"/>
                <w:b/>
                <w:kern w:val="2"/>
                <w:sz w:val="26"/>
                <w:szCs w:val="26"/>
                <w14:ligatures w14:val="standardContextual"/>
              </w:rPr>
            </w:pPr>
            <w:r>
              <w:rPr>
                <w:rFonts w:ascii="Rockwell" w:eastAsiaTheme="majorEastAsia" w:hAnsi="Rockwell" w:cs="Times New Roman"/>
                <w:b/>
                <w:kern w:val="2"/>
                <w:sz w:val="26"/>
                <w:szCs w:val="26"/>
                <w14:ligatures w14:val="standardContextual"/>
              </w:rPr>
              <w:t xml:space="preserve">Revue de </w:t>
            </w:r>
            <w:r>
              <w:rPr>
                <w:b/>
                <w:sz w:val="26"/>
                <w:szCs w:val="26"/>
              </w:rPr>
              <w:t>l’Entreprise</w:t>
            </w:r>
            <w:r>
              <w:rPr>
                <w:rFonts w:ascii="Rockwell" w:eastAsiaTheme="majorEastAsia" w:hAnsi="Rockwell" w:cs="Times New Roman"/>
                <w:b/>
                <w:kern w:val="2"/>
                <w:sz w:val="26"/>
                <w:szCs w:val="26"/>
                <w14:ligatures w14:val="standardContextual"/>
              </w:rPr>
              <w:t xml:space="preserve"> Citoyenne (RSE)</w:t>
            </w:r>
          </w:p>
        </w:tc>
      </w:tr>
    </w:tbl>
    <w:p w14:paraId="5554E178" w14:textId="77777777" w:rsidR="00733207" w:rsidRDefault="00733207">
      <w:pPr>
        <w:tabs>
          <w:tab w:val="left" w:pos="2400"/>
        </w:tabs>
        <w:spacing w:after="120"/>
        <w:jc w:val="both"/>
      </w:pPr>
    </w:p>
    <w:p w14:paraId="345A8C4A" w14:textId="77777777" w:rsidR="00733207" w:rsidRDefault="00912BAE">
      <w:pPr>
        <w:tabs>
          <w:tab w:val="left" w:pos="2400"/>
        </w:tabs>
        <w:spacing w:after="120"/>
        <w:jc w:val="center"/>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Journaux</w:t>
      </w:r>
      <w:proofErr w:type="spellEnd"/>
      <w:r>
        <w:rPr>
          <w:rFonts w:ascii="Rockwell" w:eastAsiaTheme="majorEastAsia" w:hAnsi="Rockwell" w:cs="Times New Roman"/>
          <w:b/>
          <w:kern w:val="2"/>
          <w:sz w:val="28"/>
          <w:szCs w:val="28"/>
          <w:lang w:val="en-US"/>
          <w14:ligatures w14:val="standardContextual"/>
        </w:rPr>
        <w:t xml:space="preserve"> </w:t>
      </w:r>
      <w:proofErr w:type="spellStart"/>
      <w:r>
        <w:rPr>
          <w:rFonts w:ascii="Rockwell" w:eastAsiaTheme="majorEastAsia" w:hAnsi="Rockwell" w:cs="Times New Roman"/>
          <w:b/>
          <w:kern w:val="2"/>
          <w:sz w:val="28"/>
          <w:szCs w:val="28"/>
          <w:lang w:val="en-US"/>
          <w14:ligatures w14:val="standardContextual"/>
        </w:rPr>
        <w:t>institutionnels</w:t>
      </w:r>
      <w:proofErr w:type="spellEnd"/>
      <w:r>
        <w:rPr>
          <w:rFonts w:ascii="Rockwell" w:eastAsiaTheme="majorEastAsia" w:hAnsi="Rockwell" w:cs="Times New Roman"/>
          <w:b/>
          <w:kern w:val="2"/>
          <w:sz w:val="28"/>
          <w:szCs w:val="28"/>
          <w:lang w:val="en-US"/>
          <w14:ligatures w14:val="standardContextual"/>
        </w:rPr>
        <w:t xml:space="preserve"> et </w:t>
      </w:r>
      <w:proofErr w:type="spellStart"/>
      <w:r>
        <w:rPr>
          <w:rFonts w:ascii="Rockwell" w:eastAsiaTheme="majorEastAsia" w:hAnsi="Rockwell" w:cs="Times New Roman"/>
          <w:b/>
          <w:kern w:val="2"/>
          <w:sz w:val="28"/>
          <w:szCs w:val="28"/>
          <w:lang w:val="en-US"/>
          <w14:ligatures w14:val="standardContextual"/>
        </w:rPr>
        <w:t>spécialisés</w:t>
      </w:r>
      <w:proofErr w:type="spellEnd"/>
      <w:r>
        <w:rPr>
          <w:rFonts w:ascii="Rockwell" w:eastAsiaTheme="majorEastAsia" w:hAnsi="Rockwell" w:cs="Times New Roman"/>
          <w:b/>
          <w:kern w:val="2"/>
          <w:sz w:val="28"/>
          <w:szCs w:val="28"/>
          <w:lang w:val="en-US"/>
          <w14:ligatures w14:val="standardContextual"/>
        </w:rPr>
        <w:t>: 15</w:t>
      </w:r>
    </w:p>
    <w:p w14:paraId="10C4C89B" w14:textId="77777777" w:rsidR="00733207" w:rsidRDefault="00733207">
      <w:pPr>
        <w:tabs>
          <w:tab w:val="left" w:pos="2400"/>
        </w:tabs>
        <w:spacing w:after="120"/>
        <w:jc w:val="both"/>
        <w:rPr>
          <w:rFonts w:ascii="Rockwell" w:eastAsiaTheme="majorEastAsia" w:hAnsi="Rockwell" w:cs="Times New Roman"/>
          <w:b/>
          <w:kern w:val="2"/>
          <w:sz w:val="28"/>
          <w:szCs w:val="28"/>
          <w:lang w:val="en-US"/>
          <w14:ligatures w14:val="standardContextual"/>
        </w:rPr>
      </w:pPr>
    </w:p>
    <w:tbl>
      <w:tblPr>
        <w:tblStyle w:val="Grilledutableau"/>
        <w:tblW w:w="9768" w:type="dxa"/>
        <w:tblLook w:val="04A0" w:firstRow="1" w:lastRow="0" w:firstColumn="1" w:lastColumn="0" w:noHBand="0" w:noVBand="1"/>
      </w:tblPr>
      <w:tblGrid>
        <w:gridCol w:w="1993"/>
        <w:gridCol w:w="4358"/>
        <w:gridCol w:w="3417"/>
      </w:tblGrid>
      <w:tr w:rsidR="00733207" w14:paraId="5E6F9B83" w14:textId="77777777">
        <w:trPr>
          <w:trHeight w:val="557"/>
        </w:trPr>
        <w:tc>
          <w:tcPr>
            <w:tcW w:w="1993" w:type="dxa"/>
          </w:tcPr>
          <w:p w14:paraId="68508DFD"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NRO</w:t>
            </w:r>
          </w:p>
        </w:tc>
        <w:tc>
          <w:tcPr>
            <w:tcW w:w="4358" w:type="dxa"/>
          </w:tcPr>
          <w:p w14:paraId="75641F23"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Titre</w:t>
            </w:r>
            <w:proofErr w:type="spellEnd"/>
          </w:p>
        </w:tc>
        <w:tc>
          <w:tcPr>
            <w:tcW w:w="3417" w:type="dxa"/>
          </w:tcPr>
          <w:p w14:paraId="1D0B8810"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Périodicité</w:t>
            </w:r>
            <w:proofErr w:type="spellEnd"/>
          </w:p>
        </w:tc>
      </w:tr>
      <w:tr w:rsidR="00733207" w14:paraId="648AF534" w14:textId="77777777">
        <w:trPr>
          <w:trHeight w:val="539"/>
        </w:trPr>
        <w:tc>
          <w:tcPr>
            <w:tcW w:w="1993" w:type="dxa"/>
          </w:tcPr>
          <w:p w14:paraId="7AADD84A"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01</w:t>
            </w:r>
          </w:p>
        </w:tc>
        <w:tc>
          <w:tcPr>
            <w:tcW w:w="4358" w:type="dxa"/>
          </w:tcPr>
          <w:p w14:paraId="7A4F77B4"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 xml:space="preserve">Le </w:t>
            </w:r>
            <w:proofErr w:type="spellStart"/>
            <w:r>
              <w:rPr>
                <w:rFonts w:ascii="Rockwell" w:eastAsiaTheme="majorEastAsia" w:hAnsi="Rockwell" w:cs="Times New Roman"/>
                <w:b/>
                <w:kern w:val="2"/>
                <w:sz w:val="28"/>
                <w:szCs w:val="28"/>
                <w:lang w:val="en-US"/>
                <w14:ligatures w14:val="standardContextual"/>
              </w:rPr>
              <w:t>Culturel</w:t>
            </w:r>
            <w:proofErr w:type="spellEnd"/>
          </w:p>
        </w:tc>
        <w:tc>
          <w:tcPr>
            <w:tcW w:w="3417" w:type="dxa"/>
          </w:tcPr>
          <w:p w14:paraId="55B03916"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Bimensuel</w:t>
            </w:r>
            <w:proofErr w:type="spellEnd"/>
          </w:p>
        </w:tc>
      </w:tr>
      <w:tr w:rsidR="00733207" w14:paraId="6E04CB7A" w14:textId="77777777">
        <w:trPr>
          <w:trHeight w:val="557"/>
        </w:trPr>
        <w:tc>
          <w:tcPr>
            <w:tcW w:w="1993" w:type="dxa"/>
          </w:tcPr>
          <w:p w14:paraId="41EDC187"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02</w:t>
            </w:r>
          </w:p>
        </w:tc>
        <w:tc>
          <w:tcPr>
            <w:tcW w:w="4358" w:type="dxa"/>
          </w:tcPr>
          <w:p w14:paraId="592638A0"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Enviro-Info</w:t>
            </w:r>
          </w:p>
        </w:tc>
        <w:tc>
          <w:tcPr>
            <w:tcW w:w="3417" w:type="dxa"/>
          </w:tcPr>
          <w:p w14:paraId="2A573123"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Trimestriel</w:t>
            </w:r>
            <w:proofErr w:type="spellEnd"/>
          </w:p>
        </w:tc>
      </w:tr>
      <w:tr w:rsidR="00733207" w14:paraId="0D57E927" w14:textId="77777777">
        <w:trPr>
          <w:trHeight w:val="539"/>
        </w:trPr>
        <w:tc>
          <w:tcPr>
            <w:tcW w:w="1993" w:type="dxa"/>
          </w:tcPr>
          <w:p w14:paraId="48FEF743"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03</w:t>
            </w:r>
          </w:p>
        </w:tc>
        <w:tc>
          <w:tcPr>
            <w:tcW w:w="4358" w:type="dxa"/>
          </w:tcPr>
          <w:p w14:paraId="7860AD90"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Evasion</w:t>
            </w:r>
          </w:p>
        </w:tc>
        <w:tc>
          <w:tcPr>
            <w:tcW w:w="3417" w:type="dxa"/>
          </w:tcPr>
          <w:p w14:paraId="2FEF608E"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Hebdomadaire</w:t>
            </w:r>
            <w:proofErr w:type="spellEnd"/>
          </w:p>
        </w:tc>
      </w:tr>
      <w:tr w:rsidR="00733207" w14:paraId="264FCB99" w14:textId="77777777">
        <w:trPr>
          <w:trHeight w:val="557"/>
        </w:trPr>
        <w:tc>
          <w:tcPr>
            <w:tcW w:w="1993" w:type="dxa"/>
          </w:tcPr>
          <w:p w14:paraId="00982E2D"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04</w:t>
            </w:r>
          </w:p>
        </w:tc>
        <w:tc>
          <w:tcPr>
            <w:tcW w:w="4358" w:type="dxa"/>
          </w:tcPr>
          <w:p w14:paraId="69301FE1"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L’Eveil</w:t>
            </w:r>
            <w:proofErr w:type="spellEnd"/>
            <w:r>
              <w:rPr>
                <w:rFonts w:ascii="Rockwell" w:eastAsiaTheme="majorEastAsia" w:hAnsi="Rockwell" w:cs="Times New Roman"/>
                <w:b/>
                <w:kern w:val="2"/>
                <w:sz w:val="28"/>
                <w:szCs w:val="28"/>
                <w:lang w:val="en-US"/>
                <w14:ligatures w14:val="standardContextual"/>
              </w:rPr>
              <w:t>-Education</w:t>
            </w:r>
          </w:p>
        </w:tc>
        <w:tc>
          <w:tcPr>
            <w:tcW w:w="3417" w:type="dxa"/>
          </w:tcPr>
          <w:p w14:paraId="7643E908"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Bimensuel</w:t>
            </w:r>
            <w:proofErr w:type="spellEnd"/>
          </w:p>
        </w:tc>
      </w:tr>
      <w:tr w:rsidR="00733207" w14:paraId="660A82EF" w14:textId="77777777">
        <w:trPr>
          <w:trHeight w:val="557"/>
        </w:trPr>
        <w:tc>
          <w:tcPr>
            <w:tcW w:w="1993" w:type="dxa"/>
          </w:tcPr>
          <w:p w14:paraId="5E427171"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05</w:t>
            </w:r>
          </w:p>
        </w:tc>
        <w:tc>
          <w:tcPr>
            <w:tcW w:w="4358" w:type="dxa"/>
          </w:tcPr>
          <w:p w14:paraId="3606D31E"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 xml:space="preserve">Le Tribunal de </w:t>
            </w:r>
            <w:proofErr w:type="spellStart"/>
            <w:r>
              <w:rPr>
                <w:rFonts w:ascii="Rockwell" w:eastAsiaTheme="majorEastAsia" w:hAnsi="Rockwell" w:cs="Times New Roman"/>
                <w:b/>
                <w:kern w:val="2"/>
                <w:sz w:val="28"/>
                <w:szCs w:val="28"/>
                <w:lang w:val="en-US"/>
                <w14:ligatures w14:val="standardContextual"/>
              </w:rPr>
              <w:t>l’assurance</w:t>
            </w:r>
            <w:proofErr w:type="spellEnd"/>
          </w:p>
        </w:tc>
        <w:tc>
          <w:tcPr>
            <w:tcW w:w="3417" w:type="dxa"/>
          </w:tcPr>
          <w:p w14:paraId="3EDE0249"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Bimensuel</w:t>
            </w:r>
            <w:proofErr w:type="spellEnd"/>
          </w:p>
        </w:tc>
      </w:tr>
      <w:tr w:rsidR="00733207" w14:paraId="05BB65CD" w14:textId="77777777">
        <w:trPr>
          <w:trHeight w:val="539"/>
        </w:trPr>
        <w:tc>
          <w:tcPr>
            <w:tcW w:w="1993" w:type="dxa"/>
          </w:tcPr>
          <w:p w14:paraId="3C4DF18D"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06</w:t>
            </w:r>
          </w:p>
        </w:tc>
        <w:tc>
          <w:tcPr>
            <w:tcW w:w="4358" w:type="dxa"/>
          </w:tcPr>
          <w:p w14:paraId="15388930"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Votre</w:t>
            </w:r>
            <w:proofErr w:type="spellEnd"/>
            <w:r>
              <w:rPr>
                <w:rFonts w:ascii="Rockwell" w:eastAsiaTheme="majorEastAsia" w:hAnsi="Rockwell" w:cs="Times New Roman"/>
                <w:b/>
                <w:kern w:val="2"/>
                <w:sz w:val="28"/>
                <w:szCs w:val="28"/>
                <w:lang w:val="en-US"/>
                <w14:ligatures w14:val="standardContextual"/>
              </w:rPr>
              <w:t xml:space="preserve"> Santé</w:t>
            </w:r>
          </w:p>
        </w:tc>
        <w:tc>
          <w:tcPr>
            <w:tcW w:w="3417" w:type="dxa"/>
          </w:tcPr>
          <w:p w14:paraId="34F3BD8C"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Mensuel</w:t>
            </w:r>
            <w:proofErr w:type="spellEnd"/>
          </w:p>
        </w:tc>
      </w:tr>
      <w:tr w:rsidR="00733207" w14:paraId="536C9FA0" w14:textId="77777777">
        <w:trPr>
          <w:trHeight w:val="557"/>
        </w:trPr>
        <w:tc>
          <w:tcPr>
            <w:tcW w:w="1993" w:type="dxa"/>
          </w:tcPr>
          <w:p w14:paraId="013D16F5"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07</w:t>
            </w:r>
          </w:p>
        </w:tc>
        <w:tc>
          <w:tcPr>
            <w:tcW w:w="4358" w:type="dxa"/>
          </w:tcPr>
          <w:p w14:paraId="1FA6724C"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L’Autre</w:t>
            </w:r>
            <w:proofErr w:type="spellEnd"/>
            <w:r>
              <w:rPr>
                <w:rFonts w:ascii="Rockwell" w:eastAsiaTheme="majorEastAsia" w:hAnsi="Rockwell" w:cs="Times New Roman"/>
                <w:b/>
                <w:kern w:val="2"/>
                <w:sz w:val="28"/>
                <w:szCs w:val="28"/>
                <w:lang w:val="en-US"/>
                <w14:ligatures w14:val="standardContextual"/>
              </w:rPr>
              <w:t xml:space="preserve"> Regard</w:t>
            </w:r>
          </w:p>
        </w:tc>
        <w:tc>
          <w:tcPr>
            <w:tcW w:w="3417" w:type="dxa"/>
          </w:tcPr>
          <w:p w14:paraId="4F7B976A"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Mensuel</w:t>
            </w:r>
            <w:proofErr w:type="spellEnd"/>
          </w:p>
        </w:tc>
      </w:tr>
      <w:tr w:rsidR="00733207" w14:paraId="77477B87" w14:textId="77777777">
        <w:trPr>
          <w:trHeight w:val="539"/>
        </w:trPr>
        <w:tc>
          <w:tcPr>
            <w:tcW w:w="1993" w:type="dxa"/>
          </w:tcPr>
          <w:p w14:paraId="0934A4AE"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08</w:t>
            </w:r>
          </w:p>
        </w:tc>
        <w:tc>
          <w:tcPr>
            <w:tcW w:w="4358" w:type="dxa"/>
          </w:tcPr>
          <w:p w14:paraId="439E5BBC"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Sidwaya</w:t>
            </w:r>
            <w:proofErr w:type="spellEnd"/>
          </w:p>
        </w:tc>
        <w:tc>
          <w:tcPr>
            <w:tcW w:w="3417" w:type="dxa"/>
          </w:tcPr>
          <w:p w14:paraId="2D3221CD"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Hebdomadaire</w:t>
            </w:r>
            <w:proofErr w:type="spellEnd"/>
          </w:p>
        </w:tc>
      </w:tr>
      <w:tr w:rsidR="00733207" w14:paraId="65183960" w14:textId="77777777">
        <w:trPr>
          <w:trHeight w:val="557"/>
        </w:trPr>
        <w:tc>
          <w:tcPr>
            <w:tcW w:w="1993" w:type="dxa"/>
          </w:tcPr>
          <w:p w14:paraId="0C5AE3E1"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09</w:t>
            </w:r>
          </w:p>
        </w:tc>
        <w:tc>
          <w:tcPr>
            <w:tcW w:w="4358" w:type="dxa"/>
          </w:tcPr>
          <w:p w14:paraId="15E4EFB4"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Infos</w:t>
            </w:r>
            <w:proofErr w:type="spellEnd"/>
            <w:r>
              <w:rPr>
                <w:rFonts w:ascii="Rockwell" w:eastAsiaTheme="majorEastAsia" w:hAnsi="Rockwell" w:cs="Times New Roman"/>
                <w:b/>
                <w:kern w:val="2"/>
                <w:sz w:val="28"/>
                <w:szCs w:val="28"/>
                <w:lang w:val="en-US"/>
                <w14:ligatures w14:val="standardContextual"/>
              </w:rPr>
              <w:t xml:space="preserve"> Science Culture</w:t>
            </w:r>
          </w:p>
        </w:tc>
        <w:tc>
          <w:tcPr>
            <w:tcW w:w="3417" w:type="dxa"/>
          </w:tcPr>
          <w:p w14:paraId="0ACC9261"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Hedomadaire</w:t>
            </w:r>
            <w:proofErr w:type="spellEnd"/>
          </w:p>
        </w:tc>
      </w:tr>
      <w:tr w:rsidR="00733207" w14:paraId="2C26CB4B" w14:textId="77777777">
        <w:trPr>
          <w:trHeight w:val="539"/>
        </w:trPr>
        <w:tc>
          <w:tcPr>
            <w:tcW w:w="1993" w:type="dxa"/>
          </w:tcPr>
          <w:p w14:paraId="6D5E032B"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10</w:t>
            </w:r>
          </w:p>
        </w:tc>
        <w:tc>
          <w:tcPr>
            <w:tcW w:w="4358" w:type="dxa"/>
          </w:tcPr>
          <w:p w14:paraId="4AAC8D05"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An’nasr</w:t>
            </w:r>
            <w:proofErr w:type="spellEnd"/>
          </w:p>
        </w:tc>
        <w:tc>
          <w:tcPr>
            <w:tcW w:w="3417" w:type="dxa"/>
          </w:tcPr>
          <w:p w14:paraId="58AAD128"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Trimestriel</w:t>
            </w:r>
            <w:proofErr w:type="spellEnd"/>
          </w:p>
        </w:tc>
      </w:tr>
      <w:tr w:rsidR="00733207" w14:paraId="14672069" w14:textId="77777777">
        <w:trPr>
          <w:trHeight w:val="557"/>
        </w:trPr>
        <w:tc>
          <w:tcPr>
            <w:tcW w:w="1993" w:type="dxa"/>
          </w:tcPr>
          <w:p w14:paraId="6751B4F7"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11</w:t>
            </w:r>
          </w:p>
        </w:tc>
        <w:tc>
          <w:tcPr>
            <w:tcW w:w="4358" w:type="dxa"/>
          </w:tcPr>
          <w:p w14:paraId="449854D3"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Hoodore</w:t>
            </w:r>
            <w:proofErr w:type="spellEnd"/>
            <w:r>
              <w:rPr>
                <w:rFonts w:ascii="Rockwell" w:eastAsiaTheme="majorEastAsia" w:hAnsi="Rockwell" w:cs="Times New Roman"/>
                <w:b/>
                <w:kern w:val="2"/>
                <w:sz w:val="28"/>
                <w:szCs w:val="28"/>
                <w:lang w:val="en-US"/>
                <w14:ligatures w14:val="standardContextual"/>
              </w:rPr>
              <w:t xml:space="preserve"> </w:t>
            </w:r>
            <w:proofErr w:type="spellStart"/>
            <w:r>
              <w:rPr>
                <w:rFonts w:ascii="Rockwell" w:eastAsiaTheme="majorEastAsia" w:hAnsi="Rockwell" w:cs="Times New Roman"/>
                <w:b/>
                <w:kern w:val="2"/>
                <w:sz w:val="28"/>
                <w:szCs w:val="28"/>
                <w:lang w:val="en-US"/>
                <w14:ligatures w14:val="standardContextual"/>
              </w:rPr>
              <w:t>Saahel</w:t>
            </w:r>
            <w:proofErr w:type="spellEnd"/>
          </w:p>
        </w:tc>
        <w:tc>
          <w:tcPr>
            <w:tcW w:w="3417" w:type="dxa"/>
          </w:tcPr>
          <w:p w14:paraId="22FB0E7A"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Trimestriel</w:t>
            </w:r>
            <w:proofErr w:type="spellEnd"/>
          </w:p>
        </w:tc>
      </w:tr>
      <w:tr w:rsidR="00733207" w14:paraId="0CA6F734" w14:textId="77777777">
        <w:trPr>
          <w:trHeight w:val="557"/>
        </w:trPr>
        <w:tc>
          <w:tcPr>
            <w:tcW w:w="1993" w:type="dxa"/>
          </w:tcPr>
          <w:p w14:paraId="53531790"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12</w:t>
            </w:r>
          </w:p>
        </w:tc>
        <w:tc>
          <w:tcPr>
            <w:tcW w:w="4358" w:type="dxa"/>
          </w:tcPr>
          <w:p w14:paraId="35BBCABA"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Educateur</w:t>
            </w:r>
            <w:proofErr w:type="spellEnd"/>
            <w:r>
              <w:rPr>
                <w:rFonts w:ascii="Rockwell" w:eastAsiaTheme="majorEastAsia" w:hAnsi="Rockwell" w:cs="Times New Roman"/>
                <w:b/>
                <w:kern w:val="2"/>
                <w:sz w:val="28"/>
                <w:szCs w:val="28"/>
                <w:lang w:val="en-US"/>
                <w14:ligatures w14:val="standardContextual"/>
              </w:rPr>
              <w:t xml:space="preserve"> du Faso</w:t>
            </w:r>
          </w:p>
        </w:tc>
        <w:tc>
          <w:tcPr>
            <w:tcW w:w="3417" w:type="dxa"/>
          </w:tcPr>
          <w:p w14:paraId="005D0C21"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Trimestriel</w:t>
            </w:r>
            <w:proofErr w:type="spellEnd"/>
          </w:p>
        </w:tc>
      </w:tr>
      <w:tr w:rsidR="00733207" w14:paraId="539B69EF" w14:textId="77777777">
        <w:trPr>
          <w:trHeight w:val="539"/>
        </w:trPr>
        <w:tc>
          <w:tcPr>
            <w:tcW w:w="1993" w:type="dxa"/>
          </w:tcPr>
          <w:p w14:paraId="7C66359E"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13</w:t>
            </w:r>
          </w:p>
        </w:tc>
        <w:tc>
          <w:tcPr>
            <w:tcW w:w="4358" w:type="dxa"/>
          </w:tcPr>
          <w:p w14:paraId="7823F1A9"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 xml:space="preserve">Africa </w:t>
            </w:r>
            <w:proofErr w:type="spellStart"/>
            <w:r>
              <w:rPr>
                <w:rFonts w:ascii="Rockwell" w:eastAsiaTheme="majorEastAsia" w:hAnsi="Rockwell" w:cs="Times New Roman"/>
                <w:b/>
                <w:kern w:val="2"/>
                <w:sz w:val="28"/>
                <w:szCs w:val="28"/>
                <w:lang w:val="en-US"/>
                <w14:ligatures w14:val="standardContextual"/>
              </w:rPr>
              <w:t>Investi</w:t>
            </w:r>
            <w:proofErr w:type="spellEnd"/>
            <w:r>
              <w:rPr>
                <w:rFonts w:ascii="Rockwell" w:eastAsiaTheme="majorEastAsia" w:hAnsi="Rockwell" w:cs="Times New Roman"/>
                <w:b/>
                <w:kern w:val="2"/>
                <w:sz w:val="28"/>
                <w:szCs w:val="28"/>
                <w:lang w:val="en-US"/>
                <w14:ligatures w14:val="standardContextual"/>
              </w:rPr>
              <w:t>.</w:t>
            </w:r>
          </w:p>
        </w:tc>
        <w:tc>
          <w:tcPr>
            <w:tcW w:w="3417" w:type="dxa"/>
          </w:tcPr>
          <w:p w14:paraId="15FADA75"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Bimensuel</w:t>
            </w:r>
            <w:proofErr w:type="spellEnd"/>
          </w:p>
        </w:tc>
      </w:tr>
      <w:tr w:rsidR="00733207" w14:paraId="4A6BA7D7" w14:textId="77777777">
        <w:trPr>
          <w:trHeight w:val="557"/>
        </w:trPr>
        <w:tc>
          <w:tcPr>
            <w:tcW w:w="1993" w:type="dxa"/>
          </w:tcPr>
          <w:p w14:paraId="0C3BCED8"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14</w:t>
            </w:r>
          </w:p>
        </w:tc>
        <w:tc>
          <w:tcPr>
            <w:tcW w:w="4358" w:type="dxa"/>
          </w:tcPr>
          <w:p w14:paraId="6D7ADFDA"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L’Agro</w:t>
            </w:r>
            <w:proofErr w:type="spellEnd"/>
            <w:r>
              <w:rPr>
                <w:rFonts w:ascii="Rockwell" w:eastAsiaTheme="majorEastAsia" w:hAnsi="Rockwell" w:cs="Times New Roman"/>
                <w:b/>
                <w:kern w:val="2"/>
                <w:sz w:val="28"/>
                <w:szCs w:val="28"/>
                <w:lang w:val="en-US"/>
                <w14:ligatures w14:val="standardContextual"/>
              </w:rPr>
              <w:t>-Pasteur</w:t>
            </w:r>
          </w:p>
        </w:tc>
        <w:tc>
          <w:tcPr>
            <w:tcW w:w="3417" w:type="dxa"/>
          </w:tcPr>
          <w:p w14:paraId="1DEA8E8E"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Bimensuel</w:t>
            </w:r>
            <w:proofErr w:type="spellEnd"/>
          </w:p>
        </w:tc>
      </w:tr>
      <w:tr w:rsidR="00733207" w14:paraId="3282ECF0" w14:textId="77777777">
        <w:trPr>
          <w:trHeight w:val="539"/>
        </w:trPr>
        <w:tc>
          <w:tcPr>
            <w:tcW w:w="1993" w:type="dxa"/>
          </w:tcPr>
          <w:p w14:paraId="1F12BD2C"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r>
              <w:rPr>
                <w:rFonts w:ascii="Rockwell" w:eastAsiaTheme="majorEastAsia" w:hAnsi="Rockwell" w:cs="Times New Roman"/>
                <w:b/>
                <w:kern w:val="2"/>
                <w:sz w:val="28"/>
                <w:szCs w:val="28"/>
                <w:lang w:val="en-US"/>
                <w14:ligatures w14:val="standardContextual"/>
              </w:rPr>
              <w:t>15</w:t>
            </w:r>
          </w:p>
        </w:tc>
        <w:tc>
          <w:tcPr>
            <w:tcW w:w="4358" w:type="dxa"/>
          </w:tcPr>
          <w:p w14:paraId="2CF00133" w14:textId="77777777" w:rsidR="00733207" w:rsidRDefault="00912BAE">
            <w:pPr>
              <w:tabs>
                <w:tab w:val="left" w:pos="2400"/>
              </w:tabs>
              <w:spacing w:after="120" w:line="240" w:lineRule="auto"/>
              <w:jc w:val="both"/>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Info.CAMC</w:t>
            </w:r>
            <w:proofErr w:type="spellEnd"/>
            <w:r>
              <w:rPr>
                <w:rFonts w:ascii="Rockwell" w:eastAsiaTheme="majorEastAsia" w:hAnsi="Rockwell" w:cs="Times New Roman"/>
                <w:b/>
                <w:kern w:val="2"/>
                <w:sz w:val="28"/>
                <w:szCs w:val="28"/>
                <w:lang w:val="en-US"/>
                <w14:ligatures w14:val="standardContextual"/>
              </w:rPr>
              <w:t>-O</w:t>
            </w:r>
          </w:p>
        </w:tc>
        <w:tc>
          <w:tcPr>
            <w:tcW w:w="3417" w:type="dxa"/>
          </w:tcPr>
          <w:p w14:paraId="0E6ACE8F" w14:textId="77777777" w:rsidR="00733207" w:rsidRDefault="00912BAE">
            <w:pPr>
              <w:tabs>
                <w:tab w:val="left" w:pos="2400"/>
              </w:tabs>
              <w:spacing w:after="120" w:line="240" w:lineRule="auto"/>
              <w:rPr>
                <w:rFonts w:ascii="Rockwell" w:eastAsiaTheme="majorEastAsia" w:hAnsi="Rockwell" w:cs="Times New Roman"/>
                <w:b/>
                <w:kern w:val="2"/>
                <w:sz w:val="28"/>
                <w:szCs w:val="28"/>
                <w:lang w:val="en-US"/>
                <w14:ligatures w14:val="standardContextual"/>
              </w:rPr>
            </w:pPr>
            <w:proofErr w:type="spellStart"/>
            <w:r>
              <w:rPr>
                <w:rFonts w:ascii="Rockwell" w:eastAsiaTheme="majorEastAsia" w:hAnsi="Rockwell" w:cs="Times New Roman"/>
                <w:b/>
                <w:kern w:val="2"/>
                <w:sz w:val="28"/>
                <w:szCs w:val="28"/>
                <w:lang w:val="en-US"/>
                <w14:ligatures w14:val="standardContextual"/>
              </w:rPr>
              <w:t>Semestriel</w:t>
            </w:r>
            <w:proofErr w:type="spellEnd"/>
          </w:p>
        </w:tc>
      </w:tr>
    </w:tbl>
    <w:p w14:paraId="63C87460" w14:textId="77777777" w:rsidR="00733207" w:rsidRDefault="00733207">
      <w:pPr>
        <w:tabs>
          <w:tab w:val="left" w:pos="2400"/>
        </w:tabs>
        <w:spacing w:after="120"/>
        <w:jc w:val="both"/>
        <w:rPr>
          <w:rFonts w:ascii="Rockwell" w:eastAsiaTheme="majorEastAsia" w:hAnsi="Rockwell" w:cs="Times New Roman"/>
          <w:b/>
          <w:kern w:val="2"/>
          <w:sz w:val="28"/>
          <w:szCs w:val="28"/>
          <w:lang w:val="en-US"/>
          <w14:ligatures w14:val="standardContextual"/>
        </w:rPr>
      </w:pPr>
    </w:p>
    <w:p w14:paraId="1C2561C4" w14:textId="77777777" w:rsidR="00733207" w:rsidRDefault="00733207">
      <w:pPr>
        <w:tabs>
          <w:tab w:val="left" w:pos="2400"/>
        </w:tabs>
        <w:spacing w:after="120"/>
        <w:jc w:val="both"/>
        <w:rPr>
          <w:rFonts w:ascii="Rockwell" w:eastAsiaTheme="majorEastAsia" w:hAnsi="Rockwell" w:cs="Times New Roman"/>
          <w:b/>
          <w:kern w:val="2"/>
          <w:sz w:val="28"/>
          <w:szCs w:val="28"/>
          <w:lang w:val="en-US"/>
          <w14:ligatures w14:val="standardContextual"/>
        </w:rPr>
      </w:pPr>
    </w:p>
    <w:p w14:paraId="61245C57" w14:textId="77777777" w:rsidR="00733207" w:rsidRDefault="00733207">
      <w:pPr>
        <w:keepNext/>
        <w:keepLines/>
        <w:spacing w:before="40" w:after="0"/>
        <w:jc w:val="both"/>
        <w:outlineLvl w:val="2"/>
        <w:rPr>
          <w:rFonts w:ascii="Rockwell" w:eastAsia="Times New Roman" w:hAnsi="Rockwell" w:cs="Times New Roman"/>
          <w:b/>
          <w:sz w:val="16"/>
          <w:szCs w:val="16"/>
        </w:rPr>
      </w:pPr>
    </w:p>
    <w:p w14:paraId="4AF76207" w14:textId="77777777" w:rsidR="00733207" w:rsidRDefault="00733207">
      <w:pPr>
        <w:keepNext/>
        <w:keepLines/>
        <w:spacing w:before="40" w:after="0"/>
        <w:jc w:val="both"/>
        <w:outlineLvl w:val="2"/>
        <w:rPr>
          <w:rFonts w:ascii="Rockwell" w:eastAsia="Times New Roman" w:hAnsi="Rockwell" w:cs="Times New Roman"/>
          <w:b/>
          <w:sz w:val="16"/>
          <w:szCs w:val="16"/>
        </w:rPr>
      </w:pPr>
    </w:p>
    <w:p w14:paraId="0F787A04" w14:textId="77777777" w:rsidR="00733207" w:rsidRDefault="00733207">
      <w:pPr>
        <w:keepNext/>
        <w:keepLines/>
        <w:spacing w:before="40" w:after="0"/>
        <w:jc w:val="both"/>
        <w:outlineLvl w:val="2"/>
        <w:rPr>
          <w:rFonts w:ascii="Rockwell" w:eastAsia="Times New Roman" w:hAnsi="Rockwell" w:cs="Times New Roman"/>
          <w:b/>
          <w:sz w:val="16"/>
          <w:szCs w:val="16"/>
        </w:rPr>
      </w:pPr>
    </w:p>
    <w:p w14:paraId="1BEDAC45" w14:textId="77777777" w:rsidR="00733207" w:rsidRDefault="00733207">
      <w:pPr>
        <w:keepNext/>
        <w:keepLines/>
        <w:spacing w:before="40" w:after="0"/>
        <w:jc w:val="both"/>
        <w:outlineLvl w:val="2"/>
        <w:rPr>
          <w:rFonts w:ascii="Rockwell" w:eastAsia="Times New Roman" w:hAnsi="Rockwell" w:cs="Times New Roman"/>
          <w:b/>
          <w:sz w:val="16"/>
          <w:szCs w:val="16"/>
        </w:rPr>
      </w:pPr>
    </w:p>
    <w:p w14:paraId="07F68B1E" w14:textId="77777777" w:rsidR="00733207" w:rsidRDefault="00733207">
      <w:pPr>
        <w:keepNext/>
        <w:keepLines/>
        <w:spacing w:before="40" w:after="0"/>
        <w:jc w:val="both"/>
        <w:outlineLvl w:val="2"/>
        <w:rPr>
          <w:rFonts w:ascii="Rockwell" w:eastAsia="Times New Roman" w:hAnsi="Rockwell" w:cs="Times New Roman"/>
          <w:b/>
          <w:sz w:val="16"/>
          <w:szCs w:val="16"/>
        </w:rPr>
      </w:pPr>
    </w:p>
    <w:p w14:paraId="1843AC48" w14:textId="77777777" w:rsidR="00733207" w:rsidRDefault="00733207">
      <w:pPr>
        <w:keepNext/>
        <w:keepLines/>
        <w:spacing w:before="240" w:after="120"/>
        <w:jc w:val="both"/>
        <w:outlineLvl w:val="2"/>
        <w:rPr>
          <w:rFonts w:ascii="Rockwell" w:eastAsia="Times New Roman" w:hAnsi="Rockwell" w:cs="Times New Roman"/>
          <w:b/>
          <w:sz w:val="28"/>
          <w:szCs w:val="28"/>
        </w:rPr>
      </w:pPr>
    </w:p>
    <w:p w14:paraId="77350A57" w14:textId="77777777" w:rsidR="00733207" w:rsidRDefault="00733207">
      <w:pPr>
        <w:keepNext/>
        <w:keepLines/>
        <w:spacing w:before="240" w:after="120"/>
        <w:jc w:val="both"/>
        <w:outlineLvl w:val="2"/>
        <w:rPr>
          <w:rFonts w:ascii="Rockwell" w:eastAsia="Times New Roman" w:hAnsi="Rockwell" w:cs="Times New Roman"/>
          <w:b/>
          <w:sz w:val="28"/>
          <w:szCs w:val="28"/>
        </w:rPr>
      </w:pPr>
    </w:p>
    <w:p w14:paraId="48DA90AF" w14:textId="77777777" w:rsidR="00733207" w:rsidRDefault="00733207">
      <w:pPr>
        <w:jc w:val="both"/>
        <w:rPr>
          <w:rFonts w:ascii="Rockwell" w:hAnsi="Rockwell"/>
          <w:b/>
          <w:i/>
          <w:sz w:val="32"/>
          <w:szCs w:val="32"/>
        </w:rPr>
      </w:pPr>
    </w:p>
    <w:p w14:paraId="03ED64C4" w14:textId="77777777" w:rsidR="00733207" w:rsidRDefault="00733207">
      <w:pPr>
        <w:jc w:val="both"/>
        <w:rPr>
          <w:rFonts w:ascii="Rockwell" w:hAnsi="Rockwell"/>
          <w:b/>
          <w:i/>
          <w:sz w:val="32"/>
          <w:szCs w:val="32"/>
        </w:rPr>
      </w:pPr>
    </w:p>
    <w:p w14:paraId="453F68DA" w14:textId="77777777" w:rsidR="00733207" w:rsidRDefault="00733207">
      <w:pPr>
        <w:jc w:val="both"/>
        <w:rPr>
          <w:rFonts w:ascii="Rockwell" w:hAnsi="Rockwell"/>
          <w:b/>
          <w:i/>
          <w:sz w:val="32"/>
          <w:szCs w:val="32"/>
        </w:rPr>
      </w:pPr>
    </w:p>
    <w:p w14:paraId="387C387C" w14:textId="77777777" w:rsidR="00733207" w:rsidRDefault="00733207">
      <w:pPr>
        <w:jc w:val="both"/>
        <w:rPr>
          <w:rFonts w:ascii="Rockwell" w:hAnsi="Rockwell"/>
          <w:b/>
          <w:i/>
          <w:sz w:val="32"/>
          <w:szCs w:val="32"/>
        </w:rPr>
      </w:pPr>
    </w:p>
    <w:p w14:paraId="61B142E1" w14:textId="77777777" w:rsidR="00733207" w:rsidRDefault="00733207">
      <w:pPr>
        <w:jc w:val="both"/>
        <w:rPr>
          <w:rFonts w:ascii="Rockwell" w:hAnsi="Rockwell"/>
          <w:b/>
          <w:i/>
          <w:sz w:val="32"/>
          <w:szCs w:val="32"/>
        </w:rPr>
      </w:pPr>
    </w:p>
    <w:p w14:paraId="685F8A74" w14:textId="77777777" w:rsidR="00733207" w:rsidRDefault="00912BAE">
      <w:pPr>
        <w:jc w:val="center"/>
        <w:rPr>
          <w:rFonts w:ascii="Rockwell" w:hAnsi="Rockwell"/>
          <w:b/>
          <w:i/>
          <w:sz w:val="32"/>
          <w:szCs w:val="32"/>
        </w:rPr>
      </w:pPr>
      <w:r>
        <w:rPr>
          <w:rFonts w:ascii="Rockwell" w:hAnsi="Rockwell"/>
          <w:b/>
          <w:i/>
          <w:sz w:val="32"/>
          <w:szCs w:val="32"/>
        </w:rPr>
        <w:t>ANNEXE 5 : REPERTOIRE DES ACTES DU COLLEGE</w:t>
      </w:r>
    </w:p>
    <w:p w14:paraId="344F7762" w14:textId="77777777" w:rsidR="00733207" w:rsidRDefault="00912BAE">
      <w:pPr>
        <w:jc w:val="center"/>
        <w:rPr>
          <w:rFonts w:ascii="Rockwell" w:hAnsi="Rockwell"/>
          <w:b/>
          <w:i/>
          <w:sz w:val="32"/>
          <w:szCs w:val="32"/>
        </w:rPr>
      </w:pPr>
      <w:r>
        <w:rPr>
          <w:rFonts w:ascii="Rockwell" w:hAnsi="Rockwell"/>
          <w:b/>
          <w:i/>
          <w:sz w:val="32"/>
          <w:szCs w:val="32"/>
        </w:rPr>
        <w:t>DES CONSEILLERS</w:t>
      </w:r>
    </w:p>
    <w:p w14:paraId="67A3AC03" w14:textId="77777777" w:rsidR="00733207" w:rsidRDefault="00733207">
      <w:pPr>
        <w:jc w:val="both"/>
        <w:rPr>
          <w:rFonts w:ascii="Rockwell" w:hAnsi="Rockwell"/>
          <w:b/>
          <w:i/>
          <w:sz w:val="32"/>
          <w:szCs w:val="32"/>
        </w:rPr>
      </w:pPr>
    </w:p>
    <w:p w14:paraId="0D0ADEE3" w14:textId="77777777" w:rsidR="00733207" w:rsidRDefault="00912BAE">
      <w:pPr>
        <w:jc w:val="both"/>
        <w:rPr>
          <w:rFonts w:ascii="Rockwell" w:hAnsi="Rockwell"/>
          <w:b/>
          <w:i/>
          <w:sz w:val="32"/>
          <w:szCs w:val="32"/>
        </w:rPr>
      </w:pPr>
      <w:r>
        <w:rPr>
          <w:rFonts w:ascii="Rockwell" w:hAnsi="Rockwell"/>
          <w:b/>
          <w:i/>
          <w:sz w:val="32"/>
          <w:szCs w:val="32"/>
        </w:rPr>
        <w:br w:type="page"/>
      </w:r>
    </w:p>
    <w:p w14:paraId="5474E31D" w14:textId="77777777" w:rsidR="00733207" w:rsidRDefault="00733207">
      <w:pPr>
        <w:spacing w:line="360" w:lineRule="auto"/>
        <w:jc w:val="both"/>
        <w:rPr>
          <w:rFonts w:ascii="Rockwell" w:hAnsi="Rockwell"/>
          <w:b/>
          <w:sz w:val="32"/>
          <w:szCs w:val="32"/>
        </w:rPr>
        <w:sectPr w:rsidR="00733207">
          <w:pgSz w:w="11906" w:h="16838"/>
          <w:pgMar w:top="1417" w:right="1417" w:bottom="1417" w:left="1417" w:header="708" w:footer="708" w:gutter="0"/>
          <w:cols w:space="708"/>
          <w:docGrid w:linePitch="360"/>
        </w:sectPr>
      </w:pPr>
    </w:p>
    <w:tbl>
      <w:tblPr>
        <w:tblStyle w:val="Grilledutableau"/>
        <w:tblW w:w="0" w:type="auto"/>
        <w:jc w:val="center"/>
        <w:tblLook w:val="04A0" w:firstRow="1" w:lastRow="0" w:firstColumn="1" w:lastColumn="0" w:noHBand="0" w:noVBand="1"/>
      </w:tblPr>
      <w:tblGrid>
        <w:gridCol w:w="797"/>
        <w:gridCol w:w="11818"/>
      </w:tblGrid>
      <w:tr w:rsidR="00733207" w14:paraId="17D659DD" w14:textId="77777777">
        <w:trPr>
          <w:trHeight w:val="992"/>
          <w:jc w:val="center"/>
        </w:trPr>
        <w:tc>
          <w:tcPr>
            <w:tcW w:w="797" w:type="dxa"/>
            <w:shd w:val="clear" w:color="auto" w:fill="8EAADB" w:themeFill="accent1" w:themeFillTint="99"/>
          </w:tcPr>
          <w:p w14:paraId="4FCD37B4" w14:textId="77777777" w:rsidR="00733207" w:rsidRDefault="00912BAE">
            <w:pPr>
              <w:spacing w:after="0" w:line="360" w:lineRule="auto"/>
              <w:jc w:val="both"/>
              <w:rPr>
                <w:rFonts w:ascii="Rockwell" w:hAnsi="Rockwell"/>
                <w:b/>
                <w:sz w:val="32"/>
                <w:szCs w:val="32"/>
              </w:rPr>
            </w:pPr>
            <w:proofErr w:type="spellStart"/>
            <w:r>
              <w:rPr>
                <w:rFonts w:ascii="Rockwell" w:hAnsi="Rockwell"/>
                <w:b/>
                <w:sz w:val="32"/>
                <w:szCs w:val="32"/>
              </w:rPr>
              <w:lastRenderedPageBreak/>
              <w:t>Nro</w:t>
            </w:r>
            <w:proofErr w:type="spellEnd"/>
          </w:p>
        </w:tc>
        <w:tc>
          <w:tcPr>
            <w:tcW w:w="11818" w:type="dxa"/>
            <w:shd w:val="clear" w:color="auto" w:fill="8EAADB" w:themeFill="accent1" w:themeFillTint="99"/>
          </w:tcPr>
          <w:p w14:paraId="0EDEE3D0" w14:textId="77777777" w:rsidR="00733207" w:rsidRDefault="00912BAE">
            <w:pPr>
              <w:spacing w:after="0" w:line="360" w:lineRule="auto"/>
              <w:jc w:val="center"/>
              <w:rPr>
                <w:rFonts w:ascii="Rockwell" w:hAnsi="Rockwell"/>
                <w:b/>
                <w:sz w:val="32"/>
                <w:szCs w:val="32"/>
              </w:rPr>
            </w:pPr>
            <w:r>
              <w:rPr>
                <w:rFonts w:ascii="Rockwell" w:hAnsi="Rockwell"/>
                <w:b/>
                <w:sz w:val="32"/>
                <w:szCs w:val="32"/>
              </w:rPr>
              <w:t>D E C I S I O NS</w:t>
            </w:r>
          </w:p>
        </w:tc>
      </w:tr>
      <w:tr w:rsidR="00733207" w14:paraId="4B06B423" w14:textId="77777777">
        <w:trPr>
          <w:trHeight w:val="851"/>
          <w:jc w:val="center"/>
        </w:trPr>
        <w:tc>
          <w:tcPr>
            <w:tcW w:w="797" w:type="dxa"/>
          </w:tcPr>
          <w:p w14:paraId="154228B6" w14:textId="77777777" w:rsidR="00733207" w:rsidRDefault="00912BAE">
            <w:pPr>
              <w:spacing w:after="0" w:line="360" w:lineRule="auto"/>
              <w:jc w:val="both"/>
              <w:rPr>
                <w:rFonts w:ascii="Rockwell" w:hAnsi="Rockwell"/>
                <w:b/>
                <w:sz w:val="26"/>
                <w:szCs w:val="26"/>
              </w:rPr>
            </w:pPr>
            <w:r>
              <w:rPr>
                <w:rFonts w:ascii="Rockwell" w:hAnsi="Rockwell"/>
                <w:b/>
                <w:sz w:val="26"/>
                <w:szCs w:val="26"/>
              </w:rPr>
              <w:t>01</w:t>
            </w:r>
          </w:p>
        </w:tc>
        <w:tc>
          <w:tcPr>
            <w:tcW w:w="11818" w:type="dxa"/>
          </w:tcPr>
          <w:p w14:paraId="26209527" w14:textId="77777777" w:rsidR="00733207" w:rsidRDefault="00912BAE">
            <w:pPr>
              <w:spacing w:after="0" w:line="360" w:lineRule="auto"/>
              <w:jc w:val="both"/>
              <w:rPr>
                <w:rFonts w:ascii="Rockwell" w:hAnsi="Rockwell"/>
                <w:b/>
                <w:sz w:val="26"/>
                <w:szCs w:val="26"/>
              </w:rPr>
            </w:pPr>
            <w:r>
              <w:rPr>
                <w:rFonts w:ascii="Rockwell" w:hAnsi="Rockwell"/>
                <w:b/>
                <w:sz w:val="26"/>
                <w:szCs w:val="26"/>
              </w:rPr>
              <w:t>DECISIONS</w:t>
            </w:r>
            <w:r>
              <w:rPr>
                <w:rFonts w:ascii="Rockwell" w:eastAsia="Times New Roman" w:hAnsi="Rockwell"/>
                <w:b/>
                <w:iCs/>
                <w:sz w:val="26"/>
                <w:szCs w:val="26"/>
                <w:lang w:eastAsia="fr-FR"/>
              </w:rPr>
              <w:t xml:space="preserve"> Arrêté N°2023- 026/</w:t>
            </w:r>
            <w:proofErr w:type="gramStart"/>
            <w:r>
              <w:rPr>
                <w:rFonts w:ascii="Rockwell" w:eastAsia="Times New Roman" w:hAnsi="Rockwell"/>
                <w:b/>
                <w:iCs/>
                <w:sz w:val="26"/>
                <w:szCs w:val="26"/>
                <w:lang w:eastAsia="fr-FR"/>
              </w:rPr>
              <w:t xml:space="preserve">CSC  </w:t>
            </w:r>
            <w:r>
              <w:rPr>
                <w:rFonts w:ascii="Rockwell" w:eastAsia="Times New Roman" w:hAnsi="Rockwell"/>
                <w:iCs/>
                <w:sz w:val="26"/>
                <w:szCs w:val="26"/>
                <w:lang w:eastAsia="fr-FR"/>
              </w:rPr>
              <w:t>du</w:t>
            </w:r>
            <w:proofErr w:type="gramEnd"/>
            <w:r>
              <w:rPr>
                <w:rFonts w:ascii="Rockwell" w:eastAsia="Times New Roman" w:hAnsi="Rockwell"/>
                <w:b/>
                <w:iCs/>
                <w:sz w:val="26"/>
                <w:szCs w:val="26"/>
                <w:lang w:eastAsia="fr-FR"/>
              </w:rPr>
              <w:t xml:space="preserve"> 22 décembre 2023 </w:t>
            </w:r>
            <w:r>
              <w:rPr>
                <w:rFonts w:ascii="Rockwell" w:eastAsia="Times New Roman" w:hAnsi="Rockwell"/>
                <w:iCs/>
                <w:sz w:val="26"/>
                <w:szCs w:val="26"/>
                <w:lang w:eastAsia="fr-FR"/>
              </w:rPr>
              <w:t>Portant</w:t>
            </w:r>
            <w:r>
              <w:rPr>
                <w:rFonts w:ascii="Rockwell" w:eastAsia="Times New Roman" w:hAnsi="Rockwell"/>
                <w:bCs/>
                <w:iCs/>
                <w:sz w:val="26"/>
                <w:szCs w:val="26"/>
                <w:lang w:eastAsia="fr-FR"/>
              </w:rPr>
              <w:t xml:space="preserve"> autorisation d’exploitation de fréquence à</w:t>
            </w:r>
            <w:r>
              <w:rPr>
                <w:rFonts w:ascii="Rockwell" w:eastAsia="Times New Roman" w:hAnsi="Rockwell"/>
                <w:b/>
                <w:iCs/>
                <w:sz w:val="26"/>
                <w:szCs w:val="26"/>
                <w:lang w:eastAsia="fr-FR"/>
              </w:rPr>
              <w:t xml:space="preserve"> </w:t>
            </w:r>
            <w:r>
              <w:rPr>
                <w:rFonts w:ascii="Rockwell" w:eastAsia="Times New Roman" w:hAnsi="Rockwell"/>
                <w:b/>
                <w:bCs/>
                <w:iCs/>
                <w:sz w:val="26"/>
                <w:szCs w:val="26"/>
                <w:lang w:eastAsia="fr-FR"/>
              </w:rPr>
              <w:t>l’Association JAMA’AT ISLAMIQUE AHMADIYYA du Burkina Faso</w:t>
            </w:r>
          </w:p>
        </w:tc>
      </w:tr>
      <w:tr w:rsidR="00733207" w14:paraId="55FDD719" w14:textId="77777777">
        <w:trPr>
          <w:trHeight w:val="851"/>
          <w:jc w:val="center"/>
        </w:trPr>
        <w:tc>
          <w:tcPr>
            <w:tcW w:w="797" w:type="dxa"/>
          </w:tcPr>
          <w:p w14:paraId="5B397AAE" w14:textId="77777777" w:rsidR="00733207" w:rsidRDefault="00912BAE">
            <w:pPr>
              <w:spacing w:after="0" w:line="360" w:lineRule="auto"/>
              <w:jc w:val="both"/>
              <w:rPr>
                <w:rFonts w:ascii="Rockwell" w:hAnsi="Rockwell"/>
                <w:b/>
                <w:sz w:val="26"/>
                <w:szCs w:val="26"/>
              </w:rPr>
            </w:pPr>
            <w:r>
              <w:rPr>
                <w:rFonts w:ascii="Rockwell" w:hAnsi="Rockwell"/>
                <w:b/>
                <w:sz w:val="26"/>
                <w:szCs w:val="26"/>
              </w:rPr>
              <w:t>02</w:t>
            </w:r>
          </w:p>
        </w:tc>
        <w:tc>
          <w:tcPr>
            <w:tcW w:w="11818" w:type="dxa"/>
          </w:tcPr>
          <w:p w14:paraId="4724487E" w14:textId="77777777" w:rsidR="00733207" w:rsidRDefault="00912BAE">
            <w:pPr>
              <w:spacing w:after="0" w:line="360" w:lineRule="auto"/>
              <w:jc w:val="both"/>
              <w:rPr>
                <w:rFonts w:ascii="Rockwell" w:hAnsi="Rockwell"/>
                <w:b/>
                <w:i/>
                <w:sz w:val="26"/>
                <w:szCs w:val="26"/>
              </w:rPr>
            </w:pPr>
            <w:r>
              <w:rPr>
                <w:rFonts w:ascii="Rockwell" w:hAnsi="Rockwell" w:cs="Arial"/>
                <w:b/>
                <w:sz w:val="26"/>
                <w:szCs w:val="26"/>
              </w:rPr>
              <w:t xml:space="preserve">Décision n°2023-005 /CSC </w:t>
            </w:r>
            <w:r>
              <w:rPr>
                <w:rFonts w:ascii="Rockwell" w:hAnsi="Rockwell" w:cs="Arial"/>
                <w:sz w:val="26"/>
                <w:szCs w:val="26"/>
              </w:rPr>
              <w:t xml:space="preserve">du </w:t>
            </w:r>
            <w:r>
              <w:rPr>
                <w:rFonts w:ascii="Rockwell" w:hAnsi="Rockwell" w:cs="Arial"/>
                <w:b/>
                <w:sz w:val="26"/>
                <w:szCs w:val="26"/>
              </w:rPr>
              <w:t xml:space="preserve">07 février </w:t>
            </w:r>
            <w:proofErr w:type="gramStart"/>
            <w:r>
              <w:rPr>
                <w:rFonts w:ascii="Rockwell" w:hAnsi="Rockwell" w:cs="Arial"/>
                <w:b/>
                <w:sz w:val="26"/>
                <w:szCs w:val="26"/>
              </w:rPr>
              <w:t xml:space="preserve">2023 </w:t>
            </w:r>
            <w:r>
              <w:rPr>
                <w:rFonts w:ascii="Rockwell" w:hAnsi="Rockwell" w:cs="Arial"/>
                <w:sz w:val="26"/>
                <w:szCs w:val="26"/>
              </w:rPr>
              <w:t xml:space="preserve"> Portant</w:t>
            </w:r>
            <w:proofErr w:type="gramEnd"/>
            <w:r>
              <w:rPr>
                <w:rFonts w:ascii="Rockwell" w:hAnsi="Rockwell" w:cs="Arial"/>
                <w:sz w:val="26"/>
                <w:szCs w:val="26"/>
              </w:rPr>
              <w:t xml:space="preserve"> mise en demeure de la radio « </w:t>
            </w:r>
            <w:r>
              <w:rPr>
                <w:rFonts w:ascii="Rockwell" w:hAnsi="Rockwell" w:cs="Arial"/>
                <w:b/>
                <w:sz w:val="26"/>
                <w:szCs w:val="26"/>
              </w:rPr>
              <w:t>Femina FM</w:t>
            </w:r>
            <w:r>
              <w:rPr>
                <w:rFonts w:ascii="Rockwell" w:hAnsi="Rockwell" w:cs="Arial"/>
                <w:sz w:val="26"/>
                <w:szCs w:val="26"/>
              </w:rPr>
              <w:t> » de respecter les règles de conduite des émissions d’expression directe</w:t>
            </w:r>
          </w:p>
        </w:tc>
      </w:tr>
      <w:tr w:rsidR="00733207" w14:paraId="2D9403CE" w14:textId="77777777">
        <w:trPr>
          <w:trHeight w:val="851"/>
          <w:jc w:val="center"/>
        </w:trPr>
        <w:tc>
          <w:tcPr>
            <w:tcW w:w="797" w:type="dxa"/>
          </w:tcPr>
          <w:p w14:paraId="0631C54F" w14:textId="77777777" w:rsidR="00733207" w:rsidRDefault="00912BAE">
            <w:pPr>
              <w:spacing w:after="0" w:line="360" w:lineRule="auto"/>
              <w:jc w:val="both"/>
              <w:rPr>
                <w:rFonts w:ascii="Rockwell" w:hAnsi="Rockwell"/>
                <w:b/>
                <w:sz w:val="26"/>
                <w:szCs w:val="26"/>
              </w:rPr>
            </w:pPr>
            <w:r>
              <w:rPr>
                <w:rFonts w:ascii="Rockwell" w:hAnsi="Rockwell"/>
                <w:b/>
                <w:sz w:val="26"/>
                <w:szCs w:val="26"/>
              </w:rPr>
              <w:t>03</w:t>
            </w:r>
          </w:p>
        </w:tc>
        <w:tc>
          <w:tcPr>
            <w:tcW w:w="11818" w:type="dxa"/>
          </w:tcPr>
          <w:p w14:paraId="3E6B1867" w14:textId="77777777" w:rsidR="00733207" w:rsidRDefault="00912BAE">
            <w:pPr>
              <w:spacing w:after="0" w:line="360" w:lineRule="auto"/>
              <w:jc w:val="both"/>
              <w:rPr>
                <w:rFonts w:ascii="Rockwell" w:hAnsi="Rockwell"/>
                <w:b/>
                <w:i/>
                <w:sz w:val="26"/>
                <w:szCs w:val="26"/>
              </w:rPr>
            </w:pPr>
            <w:r>
              <w:rPr>
                <w:rFonts w:ascii="Rockwell" w:hAnsi="Rockwell" w:cs="Arial"/>
                <w:b/>
                <w:sz w:val="26"/>
                <w:szCs w:val="26"/>
              </w:rPr>
              <w:t xml:space="preserve">Décision n°2023-006/CSC </w:t>
            </w:r>
            <w:r>
              <w:rPr>
                <w:rFonts w:ascii="Rockwell" w:hAnsi="Rockwell" w:cs="Arial"/>
                <w:sz w:val="26"/>
                <w:szCs w:val="26"/>
              </w:rPr>
              <w:t>du</w:t>
            </w:r>
            <w:r>
              <w:rPr>
                <w:rFonts w:ascii="Rockwell" w:hAnsi="Rockwell" w:cs="Arial"/>
                <w:b/>
                <w:sz w:val="26"/>
                <w:szCs w:val="26"/>
              </w:rPr>
              <w:t xml:space="preserve"> 07 février </w:t>
            </w:r>
            <w:proofErr w:type="gramStart"/>
            <w:r>
              <w:rPr>
                <w:rFonts w:ascii="Rockwell" w:hAnsi="Rockwell" w:cs="Arial"/>
                <w:b/>
                <w:sz w:val="26"/>
                <w:szCs w:val="26"/>
              </w:rPr>
              <w:t xml:space="preserve">2023 </w:t>
            </w:r>
            <w:r>
              <w:rPr>
                <w:rFonts w:ascii="Rockwell" w:hAnsi="Rockwell" w:cs="Arial"/>
                <w:sz w:val="26"/>
                <w:szCs w:val="26"/>
              </w:rPr>
              <w:t xml:space="preserve"> Portant</w:t>
            </w:r>
            <w:proofErr w:type="gramEnd"/>
            <w:r>
              <w:rPr>
                <w:rFonts w:ascii="Rockwell" w:hAnsi="Rockwell" w:cs="Arial"/>
                <w:sz w:val="26"/>
                <w:szCs w:val="26"/>
              </w:rPr>
              <w:t xml:space="preserve"> mise en demeure de la télévision </w:t>
            </w:r>
            <w:r>
              <w:rPr>
                <w:rFonts w:ascii="Rockwell" w:hAnsi="Rockwell" w:cs="Arial"/>
                <w:b/>
                <w:sz w:val="26"/>
                <w:szCs w:val="26"/>
              </w:rPr>
              <w:t>« France 24</w:t>
            </w:r>
            <w:r>
              <w:rPr>
                <w:rFonts w:ascii="Rockwell" w:hAnsi="Rockwell" w:cs="Arial"/>
                <w:sz w:val="26"/>
                <w:szCs w:val="26"/>
              </w:rPr>
              <w:t> » de respecter les règles et les principes professionnels du traitement de l’information au Burkina Faso</w:t>
            </w:r>
          </w:p>
        </w:tc>
      </w:tr>
      <w:tr w:rsidR="00733207" w14:paraId="6C9578C8" w14:textId="77777777">
        <w:trPr>
          <w:trHeight w:val="851"/>
          <w:jc w:val="center"/>
        </w:trPr>
        <w:tc>
          <w:tcPr>
            <w:tcW w:w="797" w:type="dxa"/>
          </w:tcPr>
          <w:p w14:paraId="2262CE41" w14:textId="77777777" w:rsidR="00733207" w:rsidRDefault="00912BAE">
            <w:pPr>
              <w:spacing w:after="0" w:line="360" w:lineRule="auto"/>
              <w:jc w:val="both"/>
              <w:rPr>
                <w:rFonts w:ascii="Rockwell" w:hAnsi="Rockwell"/>
                <w:b/>
                <w:sz w:val="26"/>
                <w:szCs w:val="26"/>
              </w:rPr>
            </w:pPr>
            <w:r>
              <w:rPr>
                <w:rFonts w:ascii="Rockwell" w:hAnsi="Rockwell"/>
                <w:b/>
                <w:sz w:val="26"/>
                <w:szCs w:val="26"/>
              </w:rPr>
              <w:t>04</w:t>
            </w:r>
          </w:p>
        </w:tc>
        <w:tc>
          <w:tcPr>
            <w:tcW w:w="11818" w:type="dxa"/>
          </w:tcPr>
          <w:p w14:paraId="438F53FA" w14:textId="77777777" w:rsidR="00733207" w:rsidRDefault="00912BAE">
            <w:pPr>
              <w:spacing w:after="0" w:line="360" w:lineRule="auto"/>
              <w:jc w:val="both"/>
              <w:rPr>
                <w:rFonts w:ascii="Rockwell" w:hAnsi="Rockwell"/>
                <w:b/>
                <w:i/>
                <w:sz w:val="26"/>
                <w:szCs w:val="26"/>
              </w:rPr>
            </w:pPr>
            <w:r>
              <w:rPr>
                <w:rFonts w:ascii="Rockwell" w:hAnsi="Rockwell" w:cs="Arial"/>
                <w:b/>
                <w:sz w:val="26"/>
                <w:szCs w:val="26"/>
              </w:rPr>
              <w:t xml:space="preserve">Décision n°2023-007/CSC </w:t>
            </w:r>
            <w:r>
              <w:rPr>
                <w:rFonts w:ascii="Rockwell" w:hAnsi="Rockwell" w:cs="Arial"/>
                <w:sz w:val="26"/>
                <w:szCs w:val="26"/>
              </w:rPr>
              <w:t xml:space="preserve">du </w:t>
            </w:r>
            <w:r>
              <w:rPr>
                <w:rFonts w:ascii="Rockwell" w:hAnsi="Rockwell" w:cs="Arial"/>
                <w:b/>
                <w:sz w:val="26"/>
                <w:szCs w:val="26"/>
              </w:rPr>
              <w:t xml:space="preserve">21 février </w:t>
            </w:r>
            <w:proofErr w:type="gramStart"/>
            <w:r>
              <w:rPr>
                <w:rFonts w:ascii="Rockwell" w:hAnsi="Rockwell" w:cs="Arial"/>
                <w:b/>
                <w:sz w:val="26"/>
                <w:szCs w:val="26"/>
              </w:rPr>
              <w:t xml:space="preserve">2023 </w:t>
            </w:r>
            <w:r>
              <w:rPr>
                <w:rFonts w:ascii="Rockwell" w:hAnsi="Rockwell" w:cs="Arial"/>
                <w:sz w:val="26"/>
                <w:szCs w:val="26"/>
              </w:rPr>
              <w:t xml:space="preserve"> Portant</w:t>
            </w:r>
            <w:proofErr w:type="gramEnd"/>
            <w:r>
              <w:rPr>
                <w:rFonts w:ascii="Rockwell" w:hAnsi="Rockwell" w:cs="Arial"/>
                <w:sz w:val="26"/>
                <w:szCs w:val="26"/>
              </w:rPr>
              <w:t xml:space="preserve"> suspension de la diffusion du programme cinématographique de la télévision « </w:t>
            </w:r>
            <w:r>
              <w:rPr>
                <w:rFonts w:ascii="Rockwell" w:hAnsi="Rockwell" w:cs="Arial"/>
                <w:b/>
                <w:sz w:val="26"/>
                <w:szCs w:val="26"/>
              </w:rPr>
              <w:t>Canal3</w:t>
            </w:r>
            <w:r>
              <w:rPr>
                <w:rFonts w:ascii="Rockwell" w:hAnsi="Rockwell" w:cs="Arial"/>
                <w:sz w:val="26"/>
                <w:szCs w:val="26"/>
              </w:rPr>
              <w:t> » pour non-respect des règles de protection des mineurs contre les contenus néfastes à leur épanouissement pour une durée d’un (01) mois</w:t>
            </w:r>
          </w:p>
        </w:tc>
      </w:tr>
      <w:tr w:rsidR="00733207" w14:paraId="785B2CCF" w14:textId="77777777">
        <w:trPr>
          <w:trHeight w:val="851"/>
          <w:jc w:val="center"/>
        </w:trPr>
        <w:tc>
          <w:tcPr>
            <w:tcW w:w="797" w:type="dxa"/>
          </w:tcPr>
          <w:p w14:paraId="3D477E21" w14:textId="77777777" w:rsidR="00733207" w:rsidRDefault="00912BAE">
            <w:pPr>
              <w:spacing w:after="0" w:line="360" w:lineRule="auto"/>
              <w:jc w:val="both"/>
              <w:rPr>
                <w:rFonts w:ascii="Rockwell" w:hAnsi="Rockwell"/>
                <w:b/>
                <w:sz w:val="26"/>
                <w:szCs w:val="26"/>
              </w:rPr>
            </w:pPr>
            <w:r>
              <w:rPr>
                <w:rFonts w:ascii="Rockwell" w:hAnsi="Rockwell"/>
                <w:b/>
                <w:sz w:val="26"/>
                <w:szCs w:val="26"/>
              </w:rPr>
              <w:t>05</w:t>
            </w:r>
          </w:p>
        </w:tc>
        <w:tc>
          <w:tcPr>
            <w:tcW w:w="11818" w:type="dxa"/>
            <w:vAlign w:val="center"/>
          </w:tcPr>
          <w:p w14:paraId="7ABE79FF"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Décision n°2023-008/CSC</w:t>
            </w:r>
            <w:r>
              <w:rPr>
                <w:rFonts w:ascii="Rockwell" w:hAnsi="Rockwell" w:cs="Arial"/>
                <w:sz w:val="26"/>
                <w:szCs w:val="26"/>
              </w:rPr>
              <w:t xml:space="preserve"> du</w:t>
            </w:r>
            <w:r>
              <w:rPr>
                <w:rFonts w:ascii="Rockwell" w:hAnsi="Rockwell" w:cs="Arial"/>
                <w:b/>
                <w:sz w:val="26"/>
                <w:szCs w:val="26"/>
              </w:rPr>
              <w:t xml:space="preserve"> 22 février 2023 </w:t>
            </w:r>
            <w:r>
              <w:rPr>
                <w:rFonts w:ascii="Rockwell" w:hAnsi="Rockwell" w:cs="Arial"/>
                <w:sz w:val="26"/>
                <w:szCs w:val="26"/>
              </w:rPr>
              <w:t>portant conditions d’octroi de visa d’accréditation aux correspondants de presse étrangère et aux envoyés spéciaux</w:t>
            </w:r>
          </w:p>
        </w:tc>
      </w:tr>
      <w:tr w:rsidR="00733207" w14:paraId="4B4D014E" w14:textId="77777777">
        <w:trPr>
          <w:trHeight w:val="851"/>
          <w:jc w:val="center"/>
        </w:trPr>
        <w:tc>
          <w:tcPr>
            <w:tcW w:w="797" w:type="dxa"/>
          </w:tcPr>
          <w:p w14:paraId="5CD30718" w14:textId="77777777" w:rsidR="00733207" w:rsidRDefault="00912BAE">
            <w:pPr>
              <w:spacing w:after="0" w:line="360" w:lineRule="auto"/>
              <w:jc w:val="both"/>
              <w:rPr>
                <w:rFonts w:ascii="Rockwell" w:hAnsi="Rockwell"/>
                <w:b/>
                <w:sz w:val="26"/>
                <w:szCs w:val="26"/>
              </w:rPr>
            </w:pPr>
            <w:r>
              <w:rPr>
                <w:rFonts w:ascii="Rockwell" w:hAnsi="Rockwell"/>
                <w:b/>
                <w:sz w:val="26"/>
                <w:szCs w:val="26"/>
              </w:rPr>
              <w:t>06</w:t>
            </w:r>
          </w:p>
        </w:tc>
        <w:tc>
          <w:tcPr>
            <w:tcW w:w="11818" w:type="dxa"/>
          </w:tcPr>
          <w:p w14:paraId="26C41456" w14:textId="77777777" w:rsidR="00733207" w:rsidRDefault="00912BAE">
            <w:pPr>
              <w:spacing w:after="0" w:line="360" w:lineRule="auto"/>
              <w:jc w:val="both"/>
              <w:rPr>
                <w:rFonts w:ascii="Rockwell" w:hAnsi="Rockwell"/>
                <w:b/>
                <w:i/>
                <w:sz w:val="26"/>
                <w:szCs w:val="26"/>
              </w:rPr>
            </w:pPr>
            <w:r>
              <w:rPr>
                <w:rFonts w:ascii="Rockwell" w:hAnsi="Rockwell" w:cs="Arial"/>
                <w:b/>
                <w:sz w:val="26"/>
                <w:szCs w:val="26"/>
              </w:rPr>
              <w:t>Décision n°2023-011/ CSC</w:t>
            </w:r>
            <w:r>
              <w:rPr>
                <w:rFonts w:ascii="Rockwell" w:hAnsi="Rockwell" w:cs="Arial"/>
                <w:sz w:val="26"/>
                <w:szCs w:val="26"/>
              </w:rPr>
              <w:t xml:space="preserve"> du </w:t>
            </w:r>
            <w:r>
              <w:rPr>
                <w:rFonts w:ascii="Rockwell" w:hAnsi="Rockwell" w:cs="Arial"/>
                <w:b/>
                <w:sz w:val="26"/>
                <w:szCs w:val="26"/>
              </w:rPr>
              <w:t>30 mars 2023</w:t>
            </w:r>
            <w:r>
              <w:rPr>
                <w:rFonts w:ascii="Rockwell" w:hAnsi="Rockwell" w:cs="Arial"/>
                <w:sz w:val="26"/>
                <w:szCs w:val="26"/>
              </w:rPr>
              <w:t xml:space="preserve"> portant mise en demeure de la télévision </w:t>
            </w:r>
            <w:r>
              <w:rPr>
                <w:rFonts w:ascii="Rockwell" w:hAnsi="Rockwell" w:cs="Arial"/>
                <w:b/>
                <w:sz w:val="26"/>
                <w:szCs w:val="26"/>
              </w:rPr>
              <w:t>BF1</w:t>
            </w:r>
            <w:r>
              <w:rPr>
                <w:rFonts w:ascii="Rockwell" w:hAnsi="Rockwell" w:cs="Arial"/>
                <w:sz w:val="26"/>
                <w:szCs w:val="26"/>
              </w:rPr>
              <w:t xml:space="preserve"> de respecter la règlementation en vigueur relative à la publicité sur la pharmacopée traditionnelle.</w:t>
            </w:r>
          </w:p>
        </w:tc>
      </w:tr>
      <w:tr w:rsidR="00733207" w14:paraId="61BA999E" w14:textId="77777777">
        <w:trPr>
          <w:trHeight w:val="851"/>
          <w:jc w:val="center"/>
        </w:trPr>
        <w:tc>
          <w:tcPr>
            <w:tcW w:w="797" w:type="dxa"/>
          </w:tcPr>
          <w:p w14:paraId="6437F3E9" w14:textId="77777777" w:rsidR="00733207" w:rsidRDefault="00912BAE">
            <w:pPr>
              <w:spacing w:after="0" w:line="360" w:lineRule="auto"/>
              <w:jc w:val="both"/>
              <w:rPr>
                <w:rFonts w:ascii="Rockwell" w:hAnsi="Rockwell"/>
                <w:b/>
                <w:sz w:val="26"/>
                <w:szCs w:val="26"/>
              </w:rPr>
            </w:pPr>
            <w:r>
              <w:rPr>
                <w:rFonts w:ascii="Rockwell" w:hAnsi="Rockwell"/>
                <w:b/>
                <w:sz w:val="26"/>
                <w:szCs w:val="26"/>
              </w:rPr>
              <w:t>07</w:t>
            </w:r>
          </w:p>
        </w:tc>
        <w:tc>
          <w:tcPr>
            <w:tcW w:w="11818" w:type="dxa"/>
          </w:tcPr>
          <w:p w14:paraId="51952509" w14:textId="5B61481A" w:rsidR="00733207" w:rsidRDefault="00912BAE">
            <w:pPr>
              <w:spacing w:after="0" w:line="360" w:lineRule="auto"/>
              <w:jc w:val="both"/>
              <w:rPr>
                <w:rFonts w:ascii="Rockwell" w:hAnsi="Rockwell"/>
                <w:b/>
                <w:i/>
                <w:sz w:val="26"/>
                <w:szCs w:val="26"/>
              </w:rPr>
            </w:pPr>
            <w:r>
              <w:rPr>
                <w:rFonts w:ascii="Rockwell" w:hAnsi="Rockwell" w:cs="Arial"/>
                <w:b/>
                <w:sz w:val="26"/>
                <w:szCs w:val="26"/>
              </w:rPr>
              <w:t>Décision n°2023-012/CSC</w:t>
            </w:r>
            <w:r>
              <w:rPr>
                <w:rFonts w:ascii="Rockwell" w:hAnsi="Rockwell" w:cs="Arial"/>
                <w:sz w:val="26"/>
                <w:szCs w:val="26"/>
              </w:rPr>
              <w:t xml:space="preserve"> du </w:t>
            </w:r>
            <w:r>
              <w:rPr>
                <w:rFonts w:ascii="Rockwell" w:hAnsi="Rockwell" w:cs="Arial"/>
                <w:b/>
                <w:sz w:val="26"/>
                <w:szCs w:val="26"/>
              </w:rPr>
              <w:t>30 mars 2023</w:t>
            </w:r>
            <w:r>
              <w:rPr>
                <w:rFonts w:ascii="Rockwell" w:hAnsi="Rockwell" w:cs="Arial"/>
                <w:sz w:val="26"/>
                <w:szCs w:val="26"/>
              </w:rPr>
              <w:t xml:space="preserve"> portant n</w:t>
            </w:r>
            <w:r w:rsidR="00E00AF1">
              <w:rPr>
                <w:rFonts w:ascii="Rockwell" w:hAnsi="Rockwell" w:cs="Arial"/>
                <w:sz w:val="26"/>
                <w:szCs w:val="26"/>
              </w:rPr>
              <w:t>umérotation</w:t>
            </w:r>
            <w:r>
              <w:rPr>
                <w:rFonts w:ascii="Rockwell" w:hAnsi="Rockwell" w:cs="Arial"/>
                <w:sz w:val="26"/>
                <w:szCs w:val="26"/>
              </w:rPr>
              <w:t xml:space="preserve"> des services télévisuels autorisés dans le premier multiplex TNT</w:t>
            </w:r>
          </w:p>
        </w:tc>
      </w:tr>
      <w:tr w:rsidR="00733207" w14:paraId="546073C2" w14:textId="77777777">
        <w:trPr>
          <w:trHeight w:val="851"/>
          <w:jc w:val="center"/>
        </w:trPr>
        <w:tc>
          <w:tcPr>
            <w:tcW w:w="797" w:type="dxa"/>
          </w:tcPr>
          <w:p w14:paraId="4EA429F3" w14:textId="77777777" w:rsidR="00733207" w:rsidRDefault="00912BAE">
            <w:pPr>
              <w:spacing w:after="0" w:line="360" w:lineRule="auto"/>
              <w:jc w:val="both"/>
              <w:rPr>
                <w:rFonts w:ascii="Rockwell" w:hAnsi="Rockwell"/>
                <w:b/>
                <w:sz w:val="26"/>
                <w:szCs w:val="26"/>
              </w:rPr>
            </w:pPr>
            <w:r>
              <w:rPr>
                <w:rFonts w:ascii="Rockwell" w:hAnsi="Rockwell"/>
                <w:b/>
                <w:sz w:val="26"/>
                <w:szCs w:val="26"/>
              </w:rPr>
              <w:lastRenderedPageBreak/>
              <w:t>08</w:t>
            </w:r>
          </w:p>
        </w:tc>
        <w:tc>
          <w:tcPr>
            <w:tcW w:w="11818" w:type="dxa"/>
          </w:tcPr>
          <w:p w14:paraId="0AEA2A2B" w14:textId="77777777" w:rsidR="00733207" w:rsidRDefault="00912BAE">
            <w:pPr>
              <w:spacing w:after="0" w:line="360" w:lineRule="auto"/>
              <w:jc w:val="both"/>
              <w:rPr>
                <w:rFonts w:ascii="Rockwell" w:hAnsi="Rockwell"/>
                <w:b/>
                <w:i/>
                <w:sz w:val="26"/>
                <w:szCs w:val="26"/>
              </w:rPr>
            </w:pPr>
            <w:r>
              <w:rPr>
                <w:rFonts w:ascii="Rockwell" w:hAnsi="Rockwell" w:cs="Arial"/>
                <w:b/>
                <w:sz w:val="26"/>
                <w:szCs w:val="26"/>
              </w:rPr>
              <w:t xml:space="preserve">Décision n°2023-013/CSC </w:t>
            </w:r>
            <w:r>
              <w:rPr>
                <w:rFonts w:ascii="Rockwell" w:hAnsi="Rockwell" w:cs="Arial"/>
                <w:sz w:val="26"/>
                <w:szCs w:val="26"/>
              </w:rPr>
              <w:t xml:space="preserve">du </w:t>
            </w:r>
            <w:r>
              <w:rPr>
                <w:rFonts w:ascii="Rockwell" w:hAnsi="Rockwell" w:cs="Arial"/>
                <w:b/>
                <w:sz w:val="26"/>
                <w:szCs w:val="26"/>
              </w:rPr>
              <w:t>05 avril 2023</w:t>
            </w:r>
            <w:r>
              <w:rPr>
                <w:rFonts w:ascii="Rockwell" w:hAnsi="Rockwell" w:cs="Arial"/>
                <w:sz w:val="26"/>
                <w:szCs w:val="26"/>
              </w:rPr>
              <w:t xml:space="preserve"> portant suspension de toutes les émissions relatives à la pharmacopée traditionnelle sur les antennes de la télévision « </w:t>
            </w:r>
            <w:r>
              <w:rPr>
                <w:rFonts w:ascii="Rockwell" w:hAnsi="Rockwell" w:cs="Arial"/>
                <w:b/>
                <w:sz w:val="26"/>
                <w:szCs w:val="26"/>
              </w:rPr>
              <w:t>TVZ AFRICA</w:t>
            </w:r>
            <w:r>
              <w:rPr>
                <w:rFonts w:ascii="Rockwell" w:hAnsi="Rockwell" w:cs="Arial"/>
                <w:sz w:val="26"/>
                <w:szCs w:val="26"/>
              </w:rPr>
              <w:t> » pour non-respect de la règlementation en vigueur en matière de publicité</w:t>
            </w:r>
          </w:p>
        </w:tc>
      </w:tr>
      <w:tr w:rsidR="00733207" w14:paraId="1F96B95C" w14:textId="77777777">
        <w:trPr>
          <w:trHeight w:val="851"/>
          <w:jc w:val="center"/>
        </w:trPr>
        <w:tc>
          <w:tcPr>
            <w:tcW w:w="797" w:type="dxa"/>
          </w:tcPr>
          <w:p w14:paraId="1345C5E7" w14:textId="77777777" w:rsidR="00733207" w:rsidRDefault="00912BAE">
            <w:pPr>
              <w:spacing w:after="0" w:line="360" w:lineRule="auto"/>
              <w:jc w:val="both"/>
              <w:rPr>
                <w:rFonts w:ascii="Rockwell" w:hAnsi="Rockwell"/>
                <w:b/>
                <w:sz w:val="26"/>
                <w:szCs w:val="26"/>
              </w:rPr>
            </w:pPr>
            <w:r>
              <w:rPr>
                <w:rFonts w:ascii="Rockwell" w:hAnsi="Rockwell"/>
                <w:b/>
                <w:sz w:val="26"/>
                <w:szCs w:val="26"/>
              </w:rPr>
              <w:t>09</w:t>
            </w:r>
          </w:p>
        </w:tc>
        <w:tc>
          <w:tcPr>
            <w:tcW w:w="11818" w:type="dxa"/>
          </w:tcPr>
          <w:p w14:paraId="76C5DC06" w14:textId="77777777" w:rsidR="00733207" w:rsidRDefault="00912BAE">
            <w:pPr>
              <w:spacing w:after="0" w:line="360" w:lineRule="auto"/>
              <w:jc w:val="both"/>
              <w:rPr>
                <w:rFonts w:ascii="Rockwell" w:hAnsi="Rockwell"/>
                <w:b/>
                <w:i/>
                <w:sz w:val="26"/>
                <w:szCs w:val="26"/>
              </w:rPr>
            </w:pPr>
            <w:r>
              <w:rPr>
                <w:rFonts w:ascii="Rockwell" w:hAnsi="Rockwell" w:cs="Arial"/>
                <w:b/>
                <w:sz w:val="26"/>
                <w:szCs w:val="26"/>
              </w:rPr>
              <w:t xml:space="preserve">Décision n°2023-019/CSC </w:t>
            </w:r>
            <w:r>
              <w:rPr>
                <w:rFonts w:ascii="Rockwell" w:hAnsi="Rockwell" w:cs="Arial"/>
                <w:sz w:val="26"/>
                <w:szCs w:val="26"/>
              </w:rPr>
              <w:t>du</w:t>
            </w:r>
            <w:r>
              <w:rPr>
                <w:rFonts w:ascii="Rockwell" w:hAnsi="Rockwell" w:cs="Arial"/>
                <w:b/>
                <w:sz w:val="26"/>
                <w:szCs w:val="26"/>
              </w:rPr>
              <w:t xml:space="preserve"> 25 avril 2023 </w:t>
            </w:r>
            <w:r>
              <w:rPr>
                <w:rFonts w:ascii="Rockwell" w:hAnsi="Rockwell" w:cs="Arial"/>
                <w:sz w:val="26"/>
                <w:szCs w:val="26"/>
              </w:rPr>
              <w:t>portant mise en demeure du journal en ligne « </w:t>
            </w:r>
            <w:r>
              <w:rPr>
                <w:rFonts w:ascii="Rockwell" w:hAnsi="Rockwell" w:cs="Arial"/>
                <w:b/>
                <w:sz w:val="26"/>
                <w:szCs w:val="26"/>
              </w:rPr>
              <w:t>FASO TIMES</w:t>
            </w:r>
            <w:r>
              <w:rPr>
                <w:rFonts w:ascii="Rockwell" w:hAnsi="Rockwell" w:cs="Arial"/>
                <w:sz w:val="26"/>
                <w:szCs w:val="26"/>
              </w:rPr>
              <w:t> » de respecter les principes déontologiques dans le traitement de l’information</w:t>
            </w:r>
          </w:p>
        </w:tc>
      </w:tr>
      <w:tr w:rsidR="00733207" w14:paraId="67F7ADAE" w14:textId="77777777">
        <w:trPr>
          <w:trHeight w:val="851"/>
          <w:jc w:val="center"/>
        </w:trPr>
        <w:tc>
          <w:tcPr>
            <w:tcW w:w="797" w:type="dxa"/>
          </w:tcPr>
          <w:p w14:paraId="7451B68A" w14:textId="77777777" w:rsidR="00733207" w:rsidRDefault="00912BAE">
            <w:pPr>
              <w:spacing w:after="0" w:line="360" w:lineRule="auto"/>
              <w:jc w:val="both"/>
              <w:rPr>
                <w:rFonts w:ascii="Rockwell" w:hAnsi="Rockwell"/>
                <w:b/>
                <w:sz w:val="26"/>
                <w:szCs w:val="26"/>
              </w:rPr>
            </w:pPr>
            <w:r>
              <w:rPr>
                <w:rFonts w:ascii="Rockwell" w:hAnsi="Rockwell"/>
                <w:b/>
                <w:sz w:val="26"/>
                <w:szCs w:val="26"/>
              </w:rPr>
              <w:t>10</w:t>
            </w:r>
          </w:p>
        </w:tc>
        <w:tc>
          <w:tcPr>
            <w:tcW w:w="11818" w:type="dxa"/>
          </w:tcPr>
          <w:p w14:paraId="7DD4CE34"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 xml:space="preserve">Décision n°2023-021/CSC </w:t>
            </w:r>
            <w:r>
              <w:rPr>
                <w:rFonts w:ascii="Rockwell" w:hAnsi="Rockwell" w:cs="Arial"/>
                <w:sz w:val="26"/>
                <w:szCs w:val="26"/>
              </w:rPr>
              <w:t>du</w:t>
            </w:r>
            <w:r>
              <w:rPr>
                <w:rFonts w:ascii="Rockwell" w:hAnsi="Rockwell" w:cs="Arial"/>
                <w:b/>
                <w:sz w:val="26"/>
                <w:szCs w:val="26"/>
              </w:rPr>
              <w:t xml:space="preserve"> 19 mai 2023 </w:t>
            </w:r>
            <w:r>
              <w:rPr>
                <w:rFonts w:ascii="Rockwell" w:hAnsi="Rockwell" w:cs="Arial"/>
                <w:sz w:val="26"/>
                <w:szCs w:val="26"/>
              </w:rPr>
              <w:t>portant mise en demeure du journal « </w:t>
            </w:r>
            <w:r>
              <w:rPr>
                <w:rFonts w:ascii="Rockwell" w:hAnsi="Rockwell" w:cs="Arial"/>
                <w:b/>
                <w:sz w:val="26"/>
                <w:szCs w:val="26"/>
              </w:rPr>
              <w:t>L’Evénement</w:t>
            </w:r>
            <w:r>
              <w:rPr>
                <w:rFonts w:ascii="Rockwell" w:hAnsi="Rockwell" w:cs="Arial"/>
                <w:sz w:val="26"/>
                <w:szCs w:val="26"/>
              </w:rPr>
              <w:t xml:space="preserve"> » de respecter les règles légales </w:t>
            </w:r>
            <w:proofErr w:type="gramStart"/>
            <w:r>
              <w:rPr>
                <w:rFonts w:ascii="Rockwell" w:hAnsi="Rockwell" w:cs="Arial"/>
                <w:sz w:val="26"/>
                <w:szCs w:val="26"/>
              </w:rPr>
              <w:t>et  déontologiques</w:t>
            </w:r>
            <w:proofErr w:type="gramEnd"/>
            <w:r>
              <w:rPr>
                <w:rFonts w:ascii="Rockwell" w:hAnsi="Rockwell" w:cs="Arial"/>
                <w:sz w:val="26"/>
                <w:szCs w:val="26"/>
              </w:rPr>
              <w:t xml:space="preserve"> dans le traitement de l’information</w:t>
            </w:r>
          </w:p>
        </w:tc>
      </w:tr>
      <w:tr w:rsidR="00733207" w14:paraId="53012D06" w14:textId="77777777">
        <w:trPr>
          <w:trHeight w:val="851"/>
          <w:jc w:val="center"/>
        </w:trPr>
        <w:tc>
          <w:tcPr>
            <w:tcW w:w="797" w:type="dxa"/>
          </w:tcPr>
          <w:p w14:paraId="23CED1BE" w14:textId="77777777" w:rsidR="00733207" w:rsidRDefault="00912BAE">
            <w:pPr>
              <w:spacing w:after="0" w:line="360" w:lineRule="auto"/>
              <w:jc w:val="both"/>
              <w:rPr>
                <w:rFonts w:ascii="Rockwell" w:hAnsi="Rockwell"/>
                <w:b/>
                <w:sz w:val="26"/>
                <w:szCs w:val="26"/>
              </w:rPr>
            </w:pPr>
            <w:r>
              <w:rPr>
                <w:rFonts w:ascii="Rockwell" w:hAnsi="Rockwell"/>
                <w:b/>
                <w:sz w:val="26"/>
                <w:szCs w:val="26"/>
              </w:rPr>
              <w:t>11</w:t>
            </w:r>
          </w:p>
        </w:tc>
        <w:tc>
          <w:tcPr>
            <w:tcW w:w="11818" w:type="dxa"/>
            <w:vAlign w:val="center"/>
          </w:tcPr>
          <w:p w14:paraId="50511E38"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 xml:space="preserve">Décision n°2023-022/CSC </w:t>
            </w:r>
            <w:r>
              <w:rPr>
                <w:rFonts w:ascii="Rockwell" w:hAnsi="Rockwell" w:cs="Arial"/>
                <w:sz w:val="26"/>
                <w:szCs w:val="26"/>
              </w:rPr>
              <w:t>du</w:t>
            </w:r>
            <w:r>
              <w:rPr>
                <w:rFonts w:ascii="Rockwell" w:hAnsi="Rockwell" w:cs="Arial"/>
                <w:b/>
                <w:sz w:val="26"/>
                <w:szCs w:val="26"/>
              </w:rPr>
              <w:t xml:space="preserve"> 19 mai 2023 </w:t>
            </w:r>
            <w:r>
              <w:rPr>
                <w:rFonts w:ascii="Rockwell" w:hAnsi="Rockwell" w:cs="Arial"/>
                <w:sz w:val="26"/>
                <w:szCs w:val="26"/>
              </w:rPr>
              <w:t>portant mise en demeure du journal « </w:t>
            </w:r>
            <w:r>
              <w:rPr>
                <w:rFonts w:ascii="Rockwell" w:hAnsi="Rockwell" w:cs="Arial"/>
                <w:b/>
                <w:sz w:val="26"/>
                <w:szCs w:val="26"/>
              </w:rPr>
              <w:t>Le Pays </w:t>
            </w:r>
            <w:r>
              <w:rPr>
                <w:rFonts w:ascii="Rockwell" w:hAnsi="Rockwell" w:cs="Arial"/>
                <w:sz w:val="26"/>
                <w:szCs w:val="26"/>
              </w:rPr>
              <w:t>» de respecter les exigences professionnelles du traitement de l’information</w:t>
            </w:r>
          </w:p>
        </w:tc>
      </w:tr>
      <w:tr w:rsidR="00733207" w14:paraId="6561A084" w14:textId="77777777">
        <w:trPr>
          <w:trHeight w:val="851"/>
          <w:jc w:val="center"/>
        </w:trPr>
        <w:tc>
          <w:tcPr>
            <w:tcW w:w="797" w:type="dxa"/>
          </w:tcPr>
          <w:p w14:paraId="6F29217C" w14:textId="77777777" w:rsidR="00733207" w:rsidRDefault="00912BAE">
            <w:pPr>
              <w:spacing w:after="0" w:line="360" w:lineRule="auto"/>
              <w:jc w:val="both"/>
              <w:rPr>
                <w:rFonts w:ascii="Rockwell" w:hAnsi="Rockwell"/>
                <w:b/>
                <w:sz w:val="26"/>
                <w:szCs w:val="26"/>
              </w:rPr>
            </w:pPr>
            <w:r>
              <w:rPr>
                <w:rFonts w:ascii="Rockwell" w:hAnsi="Rockwell"/>
                <w:b/>
                <w:sz w:val="26"/>
                <w:szCs w:val="26"/>
              </w:rPr>
              <w:t>12</w:t>
            </w:r>
          </w:p>
        </w:tc>
        <w:tc>
          <w:tcPr>
            <w:tcW w:w="11818" w:type="dxa"/>
          </w:tcPr>
          <w:p w14:paraId="17F677E1"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Décision n°2023-027/</w:t>
            </w:r>
            <w:proofErr w:type="gramStart"/>
            <w:r>
              <w:rPr>
                <w:rFonts w:ascii="Rockwell" w:hAnsi="Rockwell" w:cs="Arial"/>
                <w:b/>
                <w:sz w:val="26"/>
                <w:szCs w:val="26"/>
              </w:rPr>
              <w:t xml:space="preserve">CSC </w:t>
            </w:r>
            <w:r>
              <w:rPr>
                <w:rFonts w:ascii="Rockwell" w:hAnsi="Rockwell" w:cs="Arial"/>
                <w:sz w:val="26"/>
                <w:szCs w:val="26"/>
              </w:rPr>
              <w:t xml:space="preserve"> du</w:t>
            </w:r>
            <w:proofErr w:type="gramEnd"/>
            <w:r>
              <w:rPr>
                <w:rFonts w:ascii="Rockwell" w:hAnsi="Rockwell" w:cs="Arial"/>
                <w:sz w:val="26"/>
                <w:szCs w:val="26"/>
              </w:rPr>
              <w:t xml:space="preserve"> </w:t>
            </w:r>
            <w:r>
              <w:rPr>
                <w:rFonts w:ascii="Rockwell" w:hAnsi="Rockwell" w:cs="Arial"/>
                <w:b/>
                <w:sz w:val="26"/>
                <w:szCs w:val="26"/>
              </w:rPr>
              <w:t xml:space="preserve">23 juin 2023 </w:t>
            </w:r>
            <w:r>
              <w:rPr>
                <w:rFonts w:ascii="Rockwell" w:hAnsi="Rockwell" w:cs="Arial"/>
                <w:sz w:val="26"/>
                <w:szCs w:val="26"/>
              </w:rPr>
              <w:t>portant suspension des programmes de la télévision « </w:t>
            </w:r>
            <w:r>
              <w:rPr>
                <w:rFonts w:ascii="Rockwell" w:hAnsi="Rockwell" w:cs="Arial"/>
                <w:b/>
                <w:sz w:val="26"/>
                <w:szCs w:val="26"/>
              </w:rPr>
              <w:t>La Chaîne info</w:t>
            </w:r>
            <w:r>
              <w:rPr>
                <w:rFonts w:ascii="Rockwell" w:hAnsi="Rockwell" w:cs="Arial"/>
                <w:sz w:val="26"/>
                <w:szCs w:val="26"/>
              </w:rPr>
              <w:t> », en abrégée « </w:t>
            </w:r>
            <w:r>
              <w:rPr>
                <w:rFonts w:ascii="Rockwell" w:hAnsi="Rockwell" w:cs="Arial"/>
                <w:b/>
                <w:sz w:val="26"/>
                <w:szCs w:val="26"/>
              </w:rPr>
              <w:t>LCI </w:t>
            </w:r>
            <w:r>
              <w:rPr>
                <w:rFonts w:ascii="Rockwell" w:hAnsi="Rockwell" w:cs="Arial"/>
                <w:sz w:val="26"/>
                <w:szCs w:val="26"/>
              </w:rPr>
              <w:t>», des bouquets de tout distributeur de services audiovisuels à péage pour une durée de trois (03) mois au Burkina Faso</w:t>
            </w:r>
          </w:p>
        </w:tc>
      </w:tr>
      <w:tr w:rsidR="00733207" w14:paraId="339DA357" w14:textId="77777777">
        <w:trPr>
          <w:trHeight w:val="851"/>
          <w:jc w:val="center"/>
        </w:trPr>
        <w:tc>
          <w:tcPr>
            <w:tcW w:w="797" w:type="dxa"/>
          </w:tcPr>
          <w:p w14:paraId="6D57E77B" w14:textId="77777777" w:rsidR="00733207" w:rsidRDefault="00912BAE">
            <w:pPr>
              <w:spacing w:after="0" w:line="360" w:lineRule="auto"/>
              <w:jc w:val="both"/>
              <w:rPr>
                <w:rFonts w:ascii="Rockwell" w:hAnsi="Rockwell"/>
                <w:b/>
                <w:sz w:val="26"/>
                <w:szCs w:val="26"/>
              </w:rPr>
            </w:pPr>
            <w:r>
              <w:rPr>
                <w:rFonts w:ascii="Rockwell" w:hAnsi="Rockwell"/>
                <w:b/>
                <w:sz w:val="26"/>
                <w:szCs w:val="26"/>
              </w:rPr>
              <w:t>13</w:t>
            </w:r>
          </w:p>
        </w:tc>
        <w:tc>
          <w:tcPr>
            <w:tcW w:w="11818" w:type="dxa"/>
          </w:tcPr>
          <w:p w14:paraId="6058395E"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 xml:space="preserve">Décision n°2023-041/CSC </w:t>
            </w:r>
            <w:r>
              <w:rPr>
                <w:rFonts w:ascii="Rockwell" w:hAnsi="Rockwell" w:cs="Arial"/>
                <w:sz w:val="26"/>
                <w:szCs w:val="26"/>
              </w:rPr>
              <w:t>portant suspension de l’émission de santé « </w:t>
            </w:r>
            <w:proofErr w:type="spellStart"/>
            <w:r>
              <w:rPr>
                <w:rFonts w:ascii="Rockwell" w:hAnsi="Rockwell" w:cs="Arial"/>
                <w:b/>
                <w:sz w:val="26"/>
                <w:szCs w:val="26"/>
              </w:rPr>
              <w:t>yeebd</w:t>
            </w:r>
            <w:proofErr w:type="spellEnd"/>
            <w:r>
              <w:rPr>
                <w:rFonts w:ascii="Rockwell" w:hAnsi="Rockwell" w:cs="Arial"/>
                <w:b/>
                <w:sz w:val="26"/>
                <w:szCs w:val="26"/>
              </w:rPr>
              <w:t xml:space="preserve"> </w:t>
            </w:r>
            <w:proofErr w:type="spellStart"/>
            <w:r>
              <w:rPr>
                <w:rFonts w:ascii="Rockwell" w:hAnsi="Rockwell" w:cs="Arial"/>
                <w:b/>
                <w:sz w:val="26"/>
                <w:szCs w:val="26"/>
              </w:rPr>
              <w:t>wamdé</w:t>
            </w:r>
            <w:proofErr w:type="spellEnd"/>
            <w:r>
              <w:rPr>
                <w:rFonts w:ascii="Rockwell" w:hAnsi="Rockwell" w:cs="Arial"/>
                <w:sz w:val="26"/>
                <w:szCs w:val="26"/>
              </w:rPr>
              <w:t> » et de toutes les émissions similaires sur les antennes de la radio « </w:t>
            </w:r>
            <w:r>
              <w:rPr>
                <w:rFonts w:ascii="Rockwell" w:hAnsi="Rockwell" w:cs="Arial"/>
                <w:b/>
                <w:sz w:val="26"/>
                <w:szCs w:val="26"/>
              </w:rPr>
              <w:t>Optima FM</w:t>
            </w:r>
            <w:r>
              <w:rPr>
                <w:rFonts w:ascii="Rockwell" w:hAnsi="Rockwell" w:cs="Arial"/>
                <w:sz w:val="26"/>
                <w:szCs w:val="26"/>
              </w:rPr>
              <w:t> » pour une durée de trois (03) mois</w:t>
            </w:r>
          </w:p>
        </w:tc>
      </w:tr>
      <w:tr w:rsidR="00733207" w14:paraId="111F3815" w14:textId="77777777">
        <w:trPr>
          <w:trHeight w:val="851"/>
          <w:jc w:val="center"/>
        </w:trPr>
        <w:tc>
          <w:tcPr>
            <w:tcW w:w="797" w:type="dxa"/>
          </w:tcPr>
          <w:p w14:paraId="4190126D" w14:textId="77777777" w:rsidR="00733207" w:rsidRDefault="00912BAE">
            <w:pPr>
              <w:spacing w:after="0" w:line="360" w:lineRule="auto"/>
              <w:jc w:val="both"/>
              <w:rPr>
                <w:rFonts w:ascii="Rockwell" w:hAnsi="Rockwell"/>
                <w:b/>
                <w:sz w:val="26"/>
                <w:szCs w:val="26"/>
              </w:rPr>
            </w:pPr>
            <w:r>
              <w:rPr>
                <w:rFonts w:ascii="Rockwell" w:hAnsi="Rockwell"/>
                <w:b/>
                <w:sz w:val="26"/>
                <w:szCs w:val="26"/>
              </w:rPr>
              <w:t>14</w:t>
            </w:r>
          </w:p>
        </w:tc>
        <w:tc>
          <w:tcPr>
            <w:tcW w:w="11818" w:type="dxa"/>
          </w:tcPr>
          <w:p w14:paraId="4F1FC6EC"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Décision n°2023-050/CSC</w:t>
            </w:r>
            <w:r>
              <w:rPr>
                <w:rFonts w:ascii="Rockwell" w:hAnsi="Rockwell" w:cs="Arial"/>
                <w:sz w:val="26"/>
                <w:szCs w:val="26"/>
              </w:rPr>
              <w:t xml:space="preserve"> du </w:t>
            </w:r>
            <w:r>
              <w:rPr>
                <w:rFonts w:ascii="Rockwell" w:hAnsi="Rockwell" w:cs="Arial"/>
                <w:b/>
                <w:sz w:val="26"/>
                <w:szCs w:val="26"/>
              </w:rPr>
              <w:t xml:space="preserve">28 décembre 2023 </w:t>
            </w:r>
            <w:r>
              <w:rPr>
                <w:rFonts w:ascii="Rockwell" w:hAnsi="Rockwell" w:cs="Arial"/>
                <w:sz w:val="26"/>
                <w:szCs w:val="26"/>
              </w:rPr>
              <w:t>portant suspension de l’émission intitulé « </w:t>
            </w:r>
            <w:proofErr w:type="spellStart"/>
            <w:r>
              <w:rPr>
                <w:rFonts w:ascii="Rockwell" w:hAnsi="Rockwell" w:cs="Arial"/>
                <w:b/>
                <w:sz w:val="26"/>
                <w:szCs w:val="26"/>
              </w:rPr>
              <w:t>Laafi</w:t>
            </w:r>
            <w:proofErr w:type="spellEnd"/>
            <w:r>
              <w:rPr>
                <w:rFonts w:ascii="Rockwell" w:hAnsi="Rockwell" w:cs="Arial"/>
                <w:b/>
                <w:sz w:val="26"/>
                <w:szCs w:val="26"/>
              </w:rPr>
              <w:t xml:space="preserve"> </w:t>
            </w:r>
            <w:proofErr w:type="spellStart"/>
            <w:r>
              <w:rPr>
                <w:rFonts w:ascii="Rockwell" w:hAnsi="Rockwell" w:cs="Arial"/>
                <w:b/>
                <w:sz w:val="26"/>
                <w:szCs w:val="26"/>
              </w:rPr>
              <w:t>Sonsga</w:t>
            </w:r>
            <w:proofErr w:type="spellEnd"/>
            <w:r>
              <w:rPr>
                <w:rFonts w:ascii="Rockwell" w:hAnsi="Rockwell" w:cs="Arial"/>
                <w:sz w:val="26"/>
                <w:szCs w:val="26"/>
              </w:rPr>
              <w:t xml:space="preserve"> » et de toutes les émissions relatives à la promotion des tradipraticiens et des produits de la pharmacopée traditionnelle sur les antennes de la télévision TVZ </w:t>
            </w:r>
            <w:proofErr w:type="spellStart"/>
            <w:r>
              <w:rPr>
                <w:rFonts w:ascii="Rockwell" w:hAnsi="Rockwell" w:cs="Arial"/>
                <w:sz w:val="26"/>
                <w:szCs w:val="26"/>
              </w:rPr>
              <w:t>Africa</w:t>
            </w:r>
            <w:proofErr w:type="spellEnd"/>
            <w:r>
              <w:rPr>
                <w:rFonts w:ascii="Rockwell" w:hAnsi="Rockwell" w:cs="Arial"/>
                <w:sz w:val="26"/>
                <w:szCs w:val="26"/>
              </w:rPr>
              <w:t xml:space="preserve"> pour une durée de trois (o3) mois</w:t>
            </w:r>
          </w:p>
        </w:tc>
      </w:tr>
      <w:tr w:rsidR="00733207" w14:paraId="0BEE318F" w14:textId="77777777">
        <w:trPr>
          <w:trHeight w:val="851"/>
          <w:jc w:val="center"/>
        </w:trPr>
        <w:tc>
          <w:tcPr>
            <w:tcW w:w="797" w:type="dxa"/>
          </w:tcPr>
          <w:p w14:paraId="75B74A21" w14:textId="77777777" w:rsidR="00733207" w:rsidRDefault="00912BAE">
            <w:pPr>
              <w:spacing w:after="0" w:line="360" w:lineRule="auto"/>
              <w:jc w:val="both"/>
              <w:rPr>
                <w:rFonts w:ascii="Rockwell" w:hAnsi="Rockwell"/>
                <w:b/>
                <w:sz w:val="26"/>
                <w:szCs w:val="26"/>
              </w:rPr>
            </w:pPr>
            <w:r>
              <w:rPr>
                <w:rFonts w:ascii="Rockwell" w:hAnsi="Rockwell"/>
                <w:b/>
                <w:sz w:val="26"/>
                <w:szCs w:val="26"/>
              </w:rPr>
              <w:lastRenderedPageBreak/>
              <w:t>15</w:t>
            </w:r>
          </w:p>
        </w:tc>
        <w:tc>
          <w:tcPr>
            <w:tcW w:w="11818" w:type="dxa"/>
          </w:tcPr>
          <w:p w14:paraId="13A3BF4A" w14:textId="77777777" w:rsidR="00733207" w:rsidRDefault="00912BAE">
            <w:pPr>
              <w:spacing w:after="0" w:line="360" w:lineRule="auto"/>
              <w:jc w:val="both"/>
              <w:rPr>
                <w:rFonts w:ascii="Rockwell" w:hAnsi="Rockwell" w:cs="Arial"/>
                <w:b/>
                <w:sz w:val="26"/>
                <w:szCs w:val="26"/>
              </w:rPr>
            </w:pPr>
            <w:r>
              <w:rPr>
                <w:rFonts w:ascii="Rockwell" w:hAnsi="Rockwell" w:cs="Arial"/>
                <w:b/>
                <w:sz w:val="26"/>
                <w:szCs w:val="26"/>
              </w:rPr>
              <w:t>Décision n°2023-051/CSC</w:t>
            </w:r>
            <w:r>
              <w:rPr>
                <w:rFonts w:ascii="Rockwell" w:hAnsi="Rockwell" w:cs="Arial"/>
                <w:sz w:val="26"/>
                <w:szCs w:val="26"/>
              </w:rPr>
              <w:t xml:space="preserve"> du </w:t>
            </w:r>
            <w:r>
              <w:rPr>
                <w:rFonts w:ascii="Rockwell" w:hAnsi="Rockwell" w:cs="Arial"/>
                <w:b/>
                <w:sz w:val="26"/>
                <w:szCs w:val="26"/>
              </w:rPr>
              <w:t xml:space="preserve">28 décembre 2023 </w:t>
            </w:r>
            <w:r>
              <w:rPr>
                <w:rFonts w:ascii="Rockwell" w:hAnsi="Rockwell" w:cs="Arial"/>
                <w:sz w:val="26"/>
                <w:szCs w:val="26"/>
              </w:rPr>
              <w:t xml:space="preserve">portant mise en demeure de la radio Al </w:t>
            </w:r>
            <w:proofErr w:type="spellStart"/>
            <w:r>
              <w:rPr>
                <w:rFonts w:ascii="Rockwell" w:hAnsi="Rockwell" w:cs="Arial"/>
                <w:sz w:val="26"/>
                <w:szCs w:val="26"/>
              </w:rPr>
              <w:t>Fadjir</w:t>
            </w:r>
            <w:proofErr w:type="spellEnd"/>
            <w:r>
              <w:rPr>
                <w:rFonts w:ascii="Rockwell" w:hAnsi="Rockwell" w:cs="Arial"/>
                <w:sz w:val="26"/>
                <w:szCs w:val="26"/>
              </w:rPr>
              <w:t xml:space="preserve"> de respecter la règlementation relative à la publicité sur la pharmacopée traditionnelle</w:t>
            </w:r>
          </w:p>
        </w:tc>
      </w:tr>
      <w:tr w:rsidR="00733207" w14:paraId="4E5E3FFC" w14:textId="77777777">
        <w:trPr>
          <w:trHeight w:val="851"/>
          <w:jc w:val="center"/>
        </w:trPr>
        <w:tc>
          <w:tcPr>
            <w:tcW w:w="12615" w:type="dxa"/>
            <w:gridSpan w:val="2"/>
            <w:shd w:val="clear" w:color="auto" w:fill="8EAADB" w:themeFill="accent1" w:themeFillTint="99"/>
          </w:tcPr>
          <w:p w14:paraId="4BEFECDA" w14:textId="77777777" w:rsidR="00733207" w:rsidRDefault="00912BAE">
            <w:pPr>
              <w:spacing w:after="0" w:line="360" w:lineRule="auto"/>
              <w:jc w:val="center"/>
              <w:rPr>
                <w:rFonts w:ascii="Rockwell" w:hAnsi="Rockwell" w:cs="Arial"/>
                <w:b/>
                <w:sz w:val="32"/>
                <w:szCs w:val="32"/>
              </w:rPr>
            </w:pPr>
            <w:r>
              <w:rPr>
                <w:rFonts w:ascii="Rockwell" w:hAnsi="Rockwell" w:cs="Arial"/>
                <w:b/>
                <w:sz w:val="32"/>
                <w:szCs w:val="32"/>
              </w:rPr>
              <w:t xml:space="preserve">A R </w:t>
            </w:r>
            <w:proofErr w:type="spellStart"/>
            <w:r>
              <w:rPr>
                <w:rFonts w:ascii="Rockwell" w:hAnsi="Rockwell" w:cs="Arial"/>
                <w:b/>
                <w:sz w:val="32"/>
                <w:szCs w:val="32"/>
              </w:rPr>
              <w:t>R</w:t>
            </w:r>
            <w:proofErr w:type="spellEnd"/>
            <w:r>
              <w:rPr>
                <w:rFonts w:ascii="Rockwell" w:hAnsi="Rockwell" w:cs="Arial"/>
                <w:b/>
                <w:sz w:val="32"/>
                <w:szCs w:val="32"/>
              </w:rPr>
              <w:t xml:space="preserve"> E T E S</w:t>
            </w:r>
          </w:p>
        </w:tc>
      </w:tr>
      <w:tr w:rsidR="00733207" w14:paraId="591225F0" w14:textId="77777777">
        <w:trPr>
          <w:trHeight w:val="851"/>
          <w:jc w:val="center"/>
        </w:trPr>
        <w:tc>
          <w:tcPr>
            <w:tcW w:w="797" w:type="dxa"/>
          </w:tcPr>
          <w:p w14:paraId="10C989C1" w14:textId="77777777" w:rsidR="00733207" w:rsidRDefault="00912BAE">
            <w:pPr>
              <w:spacing w:after="0" w:line="360" w:lineRule="auto"/>
              <w:jc w:val="both"/>
              <w:rPr>
                <w:rFonts w:ascii="Rockwell" w:hAnsi="Rockwell"/>
                <w:b/>
                <w:sz w:val="24"/>
                <w:szCs w:val="24"/>
              </w:rPr>
            </w:pPr>
            <w:r>
              <w:rPr>
                <w:rFonts w:ascii="Rockwell" w:hAnsi="Rockwell"/>
                <w:b/>
                <w:sz w:val="24"/>
                <w:szCs w:val="24"/>
              </w:rPr>
              <w:t>01</w:t>
            </w:r>
          </w:p>
        </w:tc>
        <w:tc>
          <w:tcPr>
            <w:tcW w:w="11818" w:type="dxa"/>
          </w:tcPr>
          <w:p w14:paraId="1EB67779"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n°2023-001/CSC/CAB </w:t>
            </w:r>
            <w:r>
              <w:rPr>
                <w:rFonts w:ascii="Rockwell" w:hAnsi="Rockwell" w:cs="Arial"/>
                <w:sz w:val="26"/>
                <w:szCs w:val="26"/>
              </w:rPr>
              <w:t xml:space="preserve">du </w:t>
            </w:r>
            <w:r>
              <w:rPr>
                <w:rFonts w:ascii="Rockwell" w:hAnsi="Rockwell" w:cs="Arial"/>
                <w:b/>
                <w:sz w:val="26"/>
                <w:szCs w:val="26"/>
              </w:rPr>
              <w:t>05 janvier 2023</w:t>
            </w:r>
            <w:r>
              <w:rPr>
                <w:rFonts w:ascii="Rockwell" w:hAnsi="Rockwell" w:cs="Arial"/>
                <w:sz w:val="26"/>
                <w:szCs w:val="26"/>
              </w:rPr>
              <w:t xml:space="preserve"> portant nomination des membres des commissions spécialisées du Conseil supérieur de la communication</w:t>
            </w:r>
          </w:p>
        </w:tc>
      </w:tr>
      <w:tr w:rsidR="00733207" w14:paraId="22692FF7" w14:textId="77777777">
        <w:trPr>
          <w:trHeight w:val="851"/>
          <w:jc w:val="center"/>
        </w:trPr>
        <w:tc>
          <w:tcPr>
            <w:tcW w:w="797" w:type="dxa"/>
          </w:tcPr>
          <w:p w14:paraId="28463EE2" w14:textId="77777777" w:rsidR="00733207" w:rsidRDefault="00912BAE">
            <w:pPr>
              <w:spacing w:after="0" w:line="360" w:lineRule="auto"/>
              <w:jc w:val="both"/>
              <w:rPr>
                <w:rFonts w:ascii="Rockwell" w:hAnsi="Rockwell"/>
                <w:b/>
                <w:sz w:val="24"/>
                <w:szCs w:val="24"/>
              </w:rPr>
            </w:pPr>
            <w:r>
              <w:rPr>
                <w:rFonts w:ascii="Rockwell" w:hAnsi="Rockwell"/>
                <w:b/>
                <w:sz w:val="24"/>
                <w:szCs w:val="24"/>
              </w:rPr>
              <w:t>02</w:t>
            </w:r>
          </w:p>
        </w:tc>
        <w:tc>
          <w:tcPr>
            <w:tcW w:w="11818" w:type="dxa"/>
          </w:tcPr>
          <w:p w14:paraId="29E71DA6"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n°2023-012/CSC </w:t>
            </w:r>
            <w:r>
              <w:rPr>
                <w:rFonts w:ascii="Rockwell" w:hAnsi="Rockwell" w:cs="Arial"/>
                <w:sz w:val="26"/>
                <w:szCs w:val="26"/>
              </w:rPr>
              <w:t xml:space="preserve">du </w:t>
            </w:r>
            <w:r>
              <w:rPr>
                <w:rFonts w:ascii="Rockwell" w:hAnsi="Rockwell" w:cs="Arial"/>
                <w:b/>
                <w:sz w:val="26"/>
                <w:szCs w:val="26"/>
              </w:rPr>
              <w:t>05 juin 2023</w:t>
            </w:r>
            <w:r>
              <w:rPr>
                <w:rFonts w:ascii="Rockwell" w:hAnsi="Rockwell" w:cs="Arial"/>
                <w:sz w:val="26"/>
                <w:szCs w:val="26"/>
              </w:rPr>
              <w:t xml:space="preserve"> portant retrait de l’autorisation d’exploitation de la </w:t>
            </w:r>
            <w:r>
              <w:rPr>
                <w:rFonts w:ascii="Rockwell" w:hAnsi="Rockwell" w:cs="Arial"/>
                <w:b/>
                <w:sz w:val="26"/>
                <w:szCs w:val="26"/>
              </w:rPr>
              <w:t>Radio</w:t>
            </w:r>
            <w:r>
              <w:rPr>
                <w:rFonts w:ascii="Rockwell" w:hAnsi="Rockwell" w:cs="Arial"/>
                <w:sz w:val="26"/>
                <w:szCs w:val="26"/>
              </w:rPr>
              <w:t xml:space="preserve"> « </w:t>
            </w:r>
            <w:r>
              <w:rPr>
                <w:rFonts w:ascii="Rockwell" w:hAnsi="Rockwell" w:cs="Arial"/>
                <w:b/>
                <w:sz w:val="26"/>
                <w:szCs w:val="26"/>
              </w:rPr>
              <w:t>Voix du Sahel</w:t>
            </w:r>
            <w:r>
              <w:rPr>
                <w:rFonts w:ascii="Rockwell" w:hAnsi="Rockwell" w:cs="Arial"/>
                <w:sz w:val="26"/>
                <w:szCs w:val="26"/>
              </w:rPr>
              <w:t> »</w:t>
            </w:r>
          </w:p>
        </w:tc>
      </w:tr>
      <w:tr w:rsidR="00733207" w14:paraId="05DF3F6B" w14:textId="77777777">
        <w:trPr>
          <w:trHeight w:val="851"/>
          <w:jc w:val="center"/>
        </w:trPr>
        <w:tc>
          <w:tcPr>
            <w:tcW w:w="797" w:type="dxa"/>
          </w:tcPr>
          <w:p w14:paraId="3861D539" w14:textId="77777777" w:rsidR="00733207" w:rsidRDefault="00912BAE">
            <w:pPr>
              <w:spacing w:after="0" w:line="360" w:lineRule="auto"/>
              <w:jc w:val="both"/>
              <w:rPr>
                <w:rFonts w:ascii="Rockwell" w:hAnsi="Rockwell"/>
                <w:b/>
                <w:sz w:val="24"/>
                <w:szCs w:val="24"/>
              </w:rPr>
            </w:pPr>
            <w:r>
              <w:rPr>
                <w:rFonts w:ascii="Rockwell" w:hAnsi="Rockwell"/>
                <w:b/>
                <w:sz w:val="24"/>
                <w:szCs w:val="24"/>
              </w:rPr>
              <w:t>03</w:t>
            </w:r>
          </w:p>
        </w:tc>
        <w:tc>
          <w:tcPr>
            <w:tcW w:w="11818" w:type="dxa"/>
          </w:tcPr>
          <w:p w14:paraId="1C3DB1EB"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n°2023-013/CSC </w:t>
            </w:r>
            <w:r>
              <w:rPr>
                <w:rFonts w:ascii="Rockwell" w:hAnsi="Rockwell" w:cs="Arial"/>
                <w:sz w:val="26"/>
                <w:szCs w:val="26"/>
              </w:rPr>
              <w:t xml:space="preserve">du </w:t>
            </w:r>
            <w:r>
              <w:rPr>
                <w:rFonts w:ascii="Rockwell" w:hAnsi="Rockwell" w:cs="Arial"/>
                <w:b/>
                <w:sz w:val="26"/>
                <w:szCs w:val="26"/>
              </w:rPr>
              <w:t>05 juin 2023</w:t>
            </w:r>
            <w:r>
              <w:rPr>
                <w:rFonts w:ascii="Rockwell" w:hAnsi="Rockwell" w:cs="Arial"/>
                <w:sz w:val="26"/>
                <w:szCs w:val="26"/>
              </w:rPr>
              <w:t xml:space="preserve"> portant retrait de l’autorisation d’exploitation de la </w:t>
            </w:r>
            <w:r>
              <w:rPr>
                <w:rFonts w:ascii="Rockwell" w:hAnsi="Rockwell" w:cs="Arial"/>
                <w:b/>
                <w:sz w:val="26"/>
                <w:szCs w:val="26"/>
              </w:rPr>
              <w:t xml:space="preserve">Radio </w:t>
            </w:r>
            <w:proofErr w:type="spellStart"/>
            <w:r>
              <w:rPr>
                <w:rFonts w:ascii="Rockwell" w:hAnsi="Rockwell" w:cs="Arial"/>
                <w:b/>
                <w:sz w:val="26"/>
                <w:szCs w:val="26"/>
              </w:rPr>
              <w:t>Sirebaï</w:t>
            </w:r>
            <w:proofErr w:type="spellEnd"/>
          </w:p>
        </w:tc>
      </w:tr>
      <w:tr w:rsidR="00733207" w14:paraId="58217F51" w14:textId="77777777">
        <w:trPr>
          <w:trHeight w:val="851"/>
          <w:jc w:val="center"/>
        </w:trPr>
        <w:tc>
          <w:tcPr>
            <w:tcW w:w="797" w:type="dxa"/>
          </w:tcPr>
          <w:p w14:paraId="6090A471" w14:textId="77777777" w:rsidR="00733207" w:rsidRDefault="00912BAE">
            <w:pPr>
              <w:spacing w:after="0" w:line="360" w:lineRule="auto"/>
              <w:jc w:val="both"/>
              <w:rPr>
                <w:rFonts w:ascii="Rockwell" w:hAnsi="Rockwell"/>
                <w:b/>
                <w:sz w:val="24"/>
                <w:szCs w:val="24"/>
              </w:rPr>
            </w:pPr>
            <w:r>
              <w:rPr>
                <w:rFonts w:ascii="Rockwell" w:hAnsi="Rockwell"/>
                <w:b/>
                <w:sz w:val="24"/>
                <w:szCs w:val="24"/>
              </w:rPr>
              <w:t>04</w:t>
            </w:r>
          </w:p>
        </w:tc>
        <w:tc>
          <w:tcPr>
            <w:tcW w:w="11818" w:type="dxa"/>
          </w:tcPr>
          <w:p w14:paraId="28016236"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n°2023-014/CSC </w:t>
            </w:r>
            <w:r>
              <w:rPr>
                <w:rFonts w:ascii="Rockwell" w:hAnsi="Rockwell" w:cs="Arial"/>
                <w:sz w:val="26"/>
                <w:szCs w:val="26"/>
              </w:rPr>
              <w:t xml:space="preserve">du </w:t>
            </w:r>
            <w:r>
              <w:rPr>
                <w:rFonts w:ascii="Rockwell" w:hAnsi="Rockwell" w:cs="Arial"/>
                <w:b/>
                <w:sz w:val="26"/>
                <w:szCs w:val="26"/>
              </w:rPr>
              <w:t>05 juin 2023</w:t>
            </w:r>
            <w:r>
              <w:rPr>
                <w:rFonts w:ascii="Rockwell" w:hAnsi="Rockwell" w:cs="Arial"/>
                <w:sz w:val="26"/>
                <w:szCs w:val="26"/>
              </w:rPr>
              <w:t xml:space="preserve"> portant retrait de l’autorisation d’exploitation de la </w:t>
            </w:r>
            <w:r>
              <w:rPr>
                <w:rFonts w:ascii="Rockwell" w:hAnsi="Rockwell" w:cs="Arial"/>
                <w:b/>
                <w:sz w:val="26"/>
                <w:szCs w:val="26"/>
              </w:rPr>
              <w:t xml:space="preserve">Radio </w:t>
            </w:r>
            <w:proofErr w:type="spellStart"/>
            <w:r>
              <w:rPr>
                <w:rFonts w:ascii="Rockwell" w:hAnsi="Rockwell" w:cs="Arial"/>
                <w:b/>
                <w:sz w:val="26"/>
                <w:szCs w:val="26"/>
              </w:rPr>
              <w:t>Nôbiel</w:t>
            </w:r>
            <w:proofErr w:type="spellEnd"/>
          </w:p>
        </w:tc>
      </w:tr>
      <w:tr w:rsidR="00733207" w14:paraId="1AEC9C0A" w14:textId="77777777">
        <w:trPr>
          <w:trHeight w:val="851"/>
          <w:jc w:val="center"/>
        </w:trPr>
        <w:tc>
          <w:tcPr>
            <w:tcW w:w="797" w:type="dxa"/>
          </w:tcPr>
          <w:p w14:paraId="181E2E21" w14:textId="77777777" w:rsidR="00733207" w:rsidRDefault="00912BAE">
            <w:pPr>
              <w:spacing w:after="0" w:line="360" w:lineRule="auto"/>
              <w:jc w:val="both"/>
              <w:rPr>
                <w:rFonts w:ascii="Rockwell" w:hAnsi="Rockwell"/>
                <w:b/>
                <w:sz w:val="24"/>
                <w:szCs w:val="24"/>
              </w:rPr>
            </w:pPr>
            <w:r>
              <w:rPr>
                <w:rFonts w:ascii="Rockwell" w:hAnsi="Rockwell"/>
                <w:b/>
                <w:sz w:val="24"/>
                <w:szCs w:val="24"/>
              </w:rPr>
              <w:t>05</w:t>
            </w:r>
          </w:p>
        </w:tc>
        <w:tc>
          <w:tcPr>
            <w:tcW w:w="11818" w:type="dxa"/>
          </w:tcPr>
          <w:p w14:paraId="58DC6A73"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n°2023-015/CSC </w:t>
            </w:r>
            <w:r>
              <w:rPr>
                <w:rFonts w:ascii="Rockwell" w:hAnsi="Rockwell" w:cs="Arial"/>
                <w:sz w:val="26"/>
                <w:szCs w:val="26"/>
              </w:rPr>
              <w:t xml:space="preserve">du </w:t>
            </w:r>
            <w:r>
              <w:rPr>
                <w:rFonts w:ascii="Rockwell" w:hAnsi="Rockwell" w:cs="Arial"/>
                <w:b/>
                <w:sz w:val="26"/>
                <w:szCs w:val="26"/>
              </w:rPr>
              <w:t>05 juin 2023</w:t>
            </w:r>
            <w:r>
              <w:rPr>
                <w:rFonts w:ascii="Rockwell" w:hAnsi="Rockwell" w:cs="Arial"/>
                <w:sz w:val="26"/>
                <w:szCs w:val="26"/>
              </w:rPr>
              <w:t xml:space="preserve"> portant retrait de l’autorisation d’exploitation de la </w:t>
            </w:r>
            <w:r>
              <w:rPr>
                <w:rFonts w:ascii="Rockwell" w:hAnsi="Rockwell" w:cs="Arial"/>
                <w:b/>
                <w:sz w:val="26"/>
                <w:szCs w:val="26"/>
              </w:rPr>
              <w:t>Radio FM Dédougou</w:t>
            </w:r>
          </w:p>
        </w:tc>
      </w:tr>
      <w:tr w:rsidR="00733207" w14:paraId="55101DA7" w14:textId="77777777">
        <w:trPr>
          <w:trHeight w:val="851"/>
          <w:jc w:val="center"/>
        </w:trPr>
        <w:tc>
          <w:tcPr>
            <w:tcW w:w="797" w:type="dxa"/>
          </w:tcPr>
          <w:p w14:paraId="022AF272" w14:textId="77777777" w:rsidR="00733207" w:rsidRDefault="00912BAE">
            <w:pPr>
              <w:spacing w:after="0" w:line="360" w:lineRule="auto"/>
              <w:jc w:val="both"/>
              <w:rPr>
                <w:rFonts w:ascii="Rockwell" w:hAnsi="Rockwell"/>
                <w:b/>
                <w:sz w:val="24"/>
                <w:szCs w:val="24"/>
              </w:rPr>
            </w:pPr>
            <w:r>
              <w:rPr>
                <w:rFonts w:ascii="Rockwell" w:hAnsi="Rockwell"/>
                <w:b/>
                <w:sz w:val="24"/>
                <w:szCs w:val="24"/>
              </w:rPr>
              <w:t>06</w:t>
            </w:r>
          </w:p>
        </w:tc>
        <w:tc>
          <w:tcPr>
            <w:tcW w:w="11818" w:type="dxa"/>
          </w:tcPr>
          <w:p w14:paraId="44A3A57A"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n°2023-017/CSC </w:t>
            </w:r>
            <w:r>
              <w:rPr>
                <w:rFonts w:ascii="Rockwell" w:hAnsi="Rockwell" w:cs="Arial"/>
                <w:sz w:val="26"/>
                <w:szCs w:val="26"/>
              </w:rPr>
              <w:t xml:space="preserve">du </w:t>
            </w:r>
            <w:r>
              <w:rPr>
                <w:rFonts w:ascii="Rockwell" w:hAnsi="Rockwell" w:cs="Arial"/>
                <w:b/>
                <w:sz w:val="26"/>
                <w:szCs w:val="26"/>
              </w:rPr>
              <w:t>10 juillet 2023</w:t>
            </w:r>
            <w:r>
              <w:rPr>
                <w:rFonts w:ascii="Rockwell" w:hAnsi="Rockwell" w:cs="Arial"/>
                <w:sz w:val="26"/>
                <w:szCs w:val="26"/>
              </w:rPr>
              <w:t xml:space="preserve"> portant Cahier des Charges de la Radiodiffusion Télévision du Burkina (</w:t>
            </w:r>
            <w:r>
              <w:rPr>
                <w:rFonts w:ascii="Rockwell" w:hAnsi="Rockwell" w:cs="Arial"/>
                <w:b/>
                <w:sz w:val="26"/>
                <w:szCs w:val="26"/>
              </w:rPr>
              <w:t>RTB</w:t>
            </w:r>
            <w:r>
              <w:rPr>
                <w:rFonts w:ascii="Rockwell" w:hAnsi="Rockwell" w:cs="Arial"/>
                <w:sz w:val="26"/>
                <w:szCs w:val="26"/>
              </w:rPr>
              <w:t>)</w:t>
            </w:r>
          </w:p>
        </w:tc>
      </w:tr>
      <w:tr w:rsidR="00733207" w14:paraId="516D7C39" w14:textId="77777777">
        <w:trPr>
          <w:trHeight w:val="851"/>
          <w:jc w:val="center"/>
        </w:trPr>
        <w:tc>
          <w:tcPr>
            <w:tcW w:w="797" w:type="dxa"/>
          </w:tcPr>
          <w:p w14:paraId="664E6276" w14:textId="77777777" w:rsidR="00733207" w:rsidRDefault="00912BAE">
            <w:pPr>
              <w:spacing w:after="0" w:line="360" w:lineRule="auto"/>
              <w:jc w:val="both"/>
              <w:rPr>
                <w:rFonts w:ascii="Rockwell" w:hAnsi="Rockwell"/>
                <w:b/>
                <w:sz w:val="24"/>
                <w:szCs w:val="24"/>
              </w:rPr>
            </w:pPr>
            <w:r>
              <w:rPr>
                <w:rFonts w:ascii="Rockwell" w:hAnsi="Rockwell"/>
                <w:b/>
                <w:sz w:val="24"/>
                <w:szCs w:val="24"/>
              </w:rPr>
              <w:t>07</w:t>
            </w:r>
          </w:p>
        </w:tc>
        <w:tc>
          <w:tcPr>
            <w:tcW w:w="11818" w:type="dxa"/>
          </w:tcPr>
          <w:p w14:paraId="68243E0E"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n°2023-018/CSC </w:t>
            </w:r>
            <w:r>
              <w:rPr>
                <w:rFonts w:ascii="Rockwell" w:hAnsi="Rockwell" w:cs="Arial"/>
                <w:sz w:val="26"/>
                <w:szCs w:val="26"/>
              </w:rPr>
              <w:t xml:space="preserve">du </w:t>
            </w:r>
            <w:r>
              <w:rPr>
                <w:rFonts w:ascii="Rockwell" w:hAnsi="Rockwell" w:cs="Arial"/>
                <w:b/>
                <w:sz w:val="26"/>
                <w:szCs w:val="26"/>
              </w:rPr>
              <w:t>16 août 2023</w:t>
            </w:r>
            <w:r>
              <w:rPr>
                <w:rFonts w:ascii="Rockwell" w:hAnsi="Rockwell" w:cs="Arial"/>
                <w:sz w:val="26"/>
                <w:szCs w:val="26"/>
              </w:rPr>
              <w:t xml:space="preserve"> portant retrait de l’autorisation d’exploitation de la </w:t>
            </w:r>
            <w:r>
              <w:rPr>
                <w:rFonts w:ascii="Rockwell" w:hAnsi="Rockwell" w:cs="Arial"/>
                <w:b/>
                <w:sz w:val="26"/>
                <w:szCs w:val="26"/>
              </w:rPr>
              <w:t>Radio Fada FM</w:t>
            </w:r>
          </w:p>
        </w:tc>
      </w:tr>
      <w:tr w:rsidR="00733207" w14:paraId="4C3E893A" w14:textId="77777777">
        <w:trPr>
          <w:trHeight w:val="851"/>
          <w:jc w:val="center"/>
        </w:trPr>
        <w:tc>
          <w:tcPr>
            <w:tcW w:w="797" w:type="dxa"/>
          </w:tcPr>
          <w:p w14:paraId="70436814" w14:textId="77777777" w:rsidR="00733207" w:rsidRDefault="00912BAE">
            <w:pPr>
              <w:spacing w:after="0" w:line="360" w:lineRule="auto"/>
              <w:jc w:val="both"/>
              <w:rPr>
                <w:rFonts w:ascii="Rockwell" w:hAnsi="Rockwell"/>
                <w:b/>
                <w:sz w:val="24"/>
                <w:szCs w:val="24"/>
              </w:rPr>
            </w:pPr>
            <w:r>
              <w:rPr>
                <w:rFonts w:ascii="Rockwell" w:hAnsi="Rockwell"/>
                <w:b/>
                <w:sz w:val="24"/>
                <w:szCs w:val="24"/>
              </w:rPr>
              <w:lastRenderedPageBreak/>
              <w:t>08</w:t>
            </w:r>
          </w:p>
        </w:tc>
        <w:tc>
          <w:tcPr>
            <w:tcW w:w="11818" w:type="dxa"/>
          </w:tcPr>
          <w:p w14:paraId="64FCAB25"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n°2023-022/CSC/CAB </w:t>
            </w:r>
            <w:r>
              <w:rPr>
                <w:rFonts w:ascii="Rockwell" w:hAnsi="Rockwell" w:cs="Arial"/>
                <w:sz w:val="26"/>
                <w:szCs w:val="26"/>
              </w:rPr>
              <w:t>du</w:t>
            </w:r>
            <w:r>
              <w:rPr>
                <w:rFonts w:ascii="Rockwell" w:hAnsi="Rockwell" w:cs="Arial"/>
                <w:b/>
                <w:sz w:val="26"/>
                <w:szCs w:val="26"/>
              </w:rPr>
              <w:t xml:space="preserve"> 27 novembre 2023 </w:t>
            </w:r>
            <w:r>
              <w:rPr>
                <w:rFonts w:ascii="Rockwell" w:hAnsi="Rockwell" w:cs="Arial"/>
                <w:sz w:val="26"/>
                <w:szCs w:val="26"/>
              </w:rPr>
              <w:t xml:space="preserve">Portant reconduction de l’autorisation d’exploitation de services de radiodiffusion sonore à caractère institutionnel à </w:t>
            </w:r>
            <w:r>
              <w:rPr>
                <w:rFonts w:ascii="Rockwell" w:hAnsi="Rockwell" w:cs="Arial"/>
                <w:b/>
                <w:sz w:val="26"/>
                <w:szCs w:val="26"/>
              </w:rPr>
              <w:t>l’Assemblée Législative de Transition</w:t>
            </w:r>
            <w:r>
              <w:rPr>
                <w:rFonts w:ascii="Rockwell" w:hAnsi="Rockwell" w:cs="Arial"/>
                <w:sz w:val="26"/>
                <w:szCs w:val="26"/>
              </w:rPr>
              <w:t>, à titre de régularisation</w:t>
            </w:r>
          </w:p>
        </w:tc>
      </w:tr>
      <w:tr w:rsidR="00733207" w14:paraId="6BC2BE63" w14:textId="77777777">
        <w:trPr>
          <w:trHeight w:val="851"/>
          <w:jc w:val="center"/>
        </w:trPr>
        <w:tc>
          <w:tcPr>
            <w:tcW w:w="797" w:type="dxa"/>
          </w:tcPr>
          <w:p w14:paraId="1623474C" w14:textId="77777777" w:rsidR="00733207" w:rsidRDefault="00912BAE">
            <w:pPr>
              <w:spacing w:after="0" w:line="360" w:lineRule="auto"/>
              <w:jc w:val="both"/>
              <w:rPr>
                <w:rFonts w:ascii="Rockwell" w:hAnsi="Rockwell"/>
                <w:b/>
                <w:sz w:val="24"/>
                <w:szCs w:val="24"/>
              </w:rPr>
            </w:pPr>
            <w:r>
              <w:rPr>
                <w:rFonts w:ascii="Rockwell" w:hAnsi="Rockwell"/>
                <w:b/>
                <w:sz w:val="24"/>
                <w:szCs w:val="24"/>
              </w:rPr>
              <w:t>09</w:t>
            </w:r>
          </w:p>
        </w:tc>
        <w:tc>
          <w:tcPr>
            <w:tcW w:w="11818" w:type="dxa"/>
          </w:tcPr>
          <w:p w14:paraId="6272DE30" w14:textId="77777777" w:rsidR="00733207" w:rsidRDefault="00912BAE">
            <w:pPr>
              <w:spacing w:after="0" w:line="360" w:lineRule="auto"/>
              <w:jc w:val="both"/>
              <w:rPr>
                <w:rFonts w:ascii="Rockwell" w:hAnsi="Rockwell" w:cs="Arial"/>
                <w:b/>
                <w:sz w:val="24"/>
                <w:szCs w:val="24"/>
              </w:rPr>
            </w:pPr>
            <w:r>
              <w:rPr>
                <w:rFonts w:ascii="Rockwell" w:hAnsi="Rockwell" w:cs="Arial"/>
                <w:b/>
                <w:sz w:val="26"/>
                <w:szCs w:val="26"/>
              </w:rPr>
              <w:t xml:space="preserve">Arrêté n°2023-025/CSC </w:t>
            </w:r>
            <w:r>
              <w:rPr>
                <w:rFonts w:ascii="Rockwell" w:hAnsi="Rockwell" w:cs="Arial"/>
                <w:sz w:val="26"/>
                <w:szCs w:val="26"/>
              </w:rPr>
              <w:t xml:space="preserve">du </w:t>
            </w:r>
            <w:r>
              <w:rPr>
                <w:rFonts w:ascii="Rockwell" w:hAnsi="Rockwell" w:cs="Arial"/>
                <w:b/>
                <w:sz w:val="26"/>
                <w:szCs w:val="26"/>
              </w:rPr>
              <w:t>22 décembre 2023</w:t>
            </w:r>
            <w:r>
              <w:rPr>
                <w:rFonts w:ascii="Rockwell" w:hAnsi="Rockwell" w:cs="Arial"/>
                <w:sz w:val="26"/>
                <w:szCs w:val="26"/>
              </w:rPr>
              <w:t xml:space="preserve"> portant retrait de l’autorisation d’exploitation de service de radiodiffusion télévisuelle à la société de radiodiffusion Télévisuelle privée commerciale </w:t>
            </w:r>
            <w:r>
              <w:rPr>
                <w:rFonts w:ascii="Rockwell" w:hAnsi="Rockwell" w:cs="Arial"/>
                <w:b/>
                <w:sz w:val="26"/>
                <w:szCs w:val="26"/>
              </w:rPr>
              <w:t>SKY SARL</w:t>
            </w:r>
          </w:p>
        </w:tc>
      </w:tr>
      <w:tr w:rsidR="00733207" w14:paraId="3E2CDD58" w14:textId="77777777">
        <w:trPr>
          <w:trHeight w:val="851"/>
          <w:jc w:val="center"/>
        </w:trPr>
        <w:tc>
          <w:tcPr>
            <w:tcW w:w="797" w:type="dxa"/>
          </w:tcPr>
          <w:p w14:paraId="290ECBD6" w14:textId="77777777" w:rsidR="00733207" w:rsidRDefault="00912BAE">
            <w:pPr>
              <w:spacing w:after="0" w:line="360" w:lineRule="auto"/>
              <w:jc w:val="both"/>
              <w:rPr>
                <w:rFonts w:ascii="Rockwell" w:hAnsi="Rockwell"/>
                <w:b/>
                <w:sz w:val="24"/>
                <w:szCs w:val="24"/>
              </w:rPr>
            </w:pPr>
            <w:r>
              <w:rPr>
                <w:rFonts w:ascii="Rockwell" w:hAnsi="Rockwell"/>
                <w:b/>
                <w:sz w:val="24"/>
                <w:szCs w:val="24"/>
              </w:rPr>
              <w:t>10</w:t>
            </w:r>
          </w:p>
        </w:tc>
        <w:tc>
          <w:tcPr>
            <w:tcW w:w="11818" w:type="dxa"/>
          </w:tcPr>
          <w:p w14:paraId="37AE8B90" w14:textId="77777777" w:rsidR="00733207" w:rsidRDefault="00912BAE">
            <w:pPr>
              <w:spacing w:after="0" w:line="360" w:lineRule="auto"/>
              <w:jc w:val="both"/>
              <w:rPr>
                <w:rFonts w:ascii="Rockwell" w:hAnsi="Rockwell" w:cs="Arial"/>
                <w:b/>
                <w:sz w:val="26"/>
                <w:szCs w:val="26"/>
              </w:rPr>
            </w:pPr>
            <w:r>
              <w:rPr>
                <w:rFonts w:ascii="Rockwell" w:eastAsia="Times New Roman" w:hAnsi="Rockwell"/>
                <w:b/>
                <w:iCs/>
                <w:sz w:val="26"/>
                <w:szCs w:val="26"/>
                <w:lang w:eastAsia="fr-FR"/>
              </w:rPr>
              <w:t xml:space="preserve">Arrêté N° 2023-027 /CSC </w:t>
            </w:r>
            <w:r>
              <w:rPr>
                <w:rFonts w:ascii="Rockwell" w:eastAsia="Times New Roman" w:hAnsi="Rockwell"/>
                <w:iCs/>
                <w:sz w:val="26"/>
                <w:szCs w:val="26"/>
                <w:lang w:eastAsia="fr-FR"/>
              </w:rPr>
              <w:t>du</w:t>
            </w:r>
            <w:r>
              <w:rPr>
                <w:rFonts w:ascii="Rockwell" w:eastAsia="Times New Roman" w:hAnsi="Rockwell"/>
                <w:b/>
                <w:iCs/>
                <w:sz w:val="26"/>
                <w:szCs w:val="26"/>
                <w:lang w:eastAsia="fr-FR"/>
              </w:rPr>
              <w:t xml:space="preserve"> 29 décembre 2023 </w:t>
            </w:r>
            <w:r>
              <w:rPr>
                <w:rFonts w:ascii="Rockwell" w:eastAsia="Times New Roman" w:hAnsi="Rockwell"/>
                <w:iCs/>
                <w:sz w:val="26"/>
                <w:szCs w:val="26"/>
                <w:lang w:eastAsia="fr-FR"/>
              </w:rPr>
              <w:t>portant</w:t>
            </w:r>
            <w:r>
              <w:rPr>
                <w:rFonts w:ascii="Rockwell" w:eastAsia="Times New Roman" w:hAnsi="Rockwell"/>
                <w:bCs/>
                <w:iCs/>
                <w:sz w:val="26"/>
                <w:szCs w:val="26"/>
                <w:lang w:eastAsia="fr-FR"/>
              </w:rPr>
              <w:t xml:space="preserve"> reconduction de l’</w:t>
            </w:r>
            <w:r>
              <w:rPr>
                <w:rFonts w:ascii="Rockwell" w:eastAsia="Times New Roman" w:hAnsi="Rockwell"/>
                <w:sz w:val="26"/>
                <w:szCs w:val="26"/>
                <w:lang w:eastAsia="fr-FR"/>
              </w:rPr>
              <w:t xml:space="preserve">autorisation d’exploitation de services de radiodiffusion sonore à caractère communautaire à </w:t>
            </w:r>
            <w:r>
              <w:rPr>
                <w:rFonts w:ascii="Rockwell" w:eastAsia="Times New Roman" w:hAnsi="Rockwell"/>
                <w:b/>
                <w:color w:val="000000"/>
                <w:sz w:val="26"/>
                <w:szCs w:val="26"/>
                <w:lang w:eastAsia="fr-FR"/>
              </w:rPr>
              <w:t>l’Association Action Communautaire</w:t>
            </w:r>
            <w:r>
              <w:rPr>
                <w:rFonts w:ascii="Rockwell" w:eastAsia="Times New Roman" w:hAnsi="Rockwell"/>
                <w:b/>
                <w:iCs/>
                <w:sz w:val="26"/>
                <w:szCs w:val="26"/>
                <w:lang w:eastAsia="fr-FR"/>
              </w:rPr>
              <w:t xml:space="preserve"> </w:t>
            </w:r>
            <w:r>
              <w:rPr>
                <w:rFonts w:ascii="Rockwell" w:eastAsia="Times New Roman" w:hAnsi="Rockwell"/>
                <w:b/>
                <w:color w:val="000000"/>
                <w:sz w:val="26"/>
                <w:szCs w:val="26"/>
                <w:lang w:eastAsia="fr-FR"/>
              </w:rPr>
              <w:t>de Développement du Centre Nord</w:t>
            </w:r>
            <w:r>
              <w:rPr>
                <w:rFonts w:ascii="Rockwell" w:eastAsia="Times New Roman" w:hAnsi="Rockwell"/>
                <w:color w:val="000000"/>
                <w:sz w:val="26"/>
                <w:szCs w:val="26"/>
                <w:lang w:eastAsia="fr-FR"/>
              </w:rPr>
              <w:t xml:space="preserve"> (</w:t>
            </w:r>
            <w:r>
              <w:rPr>
                <w:rFonts w:ascii="Rockwell" w:eastAsia="Times New Roman" w:hAnsi="Rockwell"/>
                <w:b/>
                <w:color w:val="000000"/>
                <w:sz w:val="26"/>
                <w:szCs w:val="26"/>
                <w:lang w:eastAsia="fr-FR"/>
              </w:rPr>
              <w:t>ACD/CN</w:t>
            </w:r>
            <w:r>
              <w:rPr>
                <w:rFonts w:ascii="Rockwell" w:eastAsia="Times New Roman" w:hAnsi="Rockwell"/>
                <w:color w:val="000000"/>
                <w:sz w:val="26"/>
                <w:szCs w:val="26"/>
                <w:lang w:eastAsia="fr-FR"/>
              </w:rPr>
              <w:t xml:space="preserve">), </w:t>
            </w:r>
            <w:r>
              <w:rPr>
                <w:rFonts w:ascii="Rockwell" w:eastAsia="Times New Roman" w:hAnsi="Rockwell"/>
                <w:b/>
                <w:color w:val="000000"/>
                <w:sz w:val="26"/>
                <w:szCs w:val="26"/>
                <w:lang w:eastAsia="fr-FR"/>
              </w:rPr>
              <w:t>à titre</w:t>
            </w:r>
            <w:r>
              <w:rPr>
                <w:rFonts w:ascii="Rockwell" w:eastAsia="Times New Roman" w:hAnsi="Rockwell"/>
                <w:color w:val="000000"/>
                <w:sz w:val="26"/>
                <w:szCs w:val="26"/>
                <w:lang w:eastAsia="fr-FR"/>
              </w:rPr>
              <w:t xml:space="preserve"> </w:t>
            </w:r>
            <w:r>
              <w:rPr>
                <w:rFonts w:ascii="Rockwell" w:eastAsia="Times New Roman" w:hAnsi="Rockwell"/>
                <w:b/>
                <w:color w:val="000000"/>
                <w:sz w:val="26"/>
                <w:szCs w:val="26"/>
                <w:lang w:eastAsia="fr-FR"/>
              </w:rPr>
              <w:t>de régularisation</w:t>
            </w:r>
          </w:p>
        </w:tc>
      </w:tr>
      <w:tr w:rsidR="00733207" w14:paraId="39933A94" w14:textId="77777777">
        <w:trPr>
          <w:trHeight w:val="851"/>
          <w:jc w:val="center"/>
        </w:trPr>
        <w:tc>
          <w:tcPr>
            <w:tcW w:w="797" w:type="dxa"/>
          </w:tcPr>
          <w:p w14:paraId="5A343E20" w14:textId="77777777" w:rsidR="00733207" w:rsidRDefault="00912BAE">
            <w:pPr>
              <w:spacing w:after="0" w:line="360" w:lineRule="auto"/>
              <w:jc w:val="both"/>
              <w:rPr>
                <w:rFonts w:ascii="Rockwell" w:hAnsi="Rockwell"/>
                <w:b/>
                <w:sz w:val="24"/>
                <w:szCs w:val="24"/>
              </w:rPr>
            </w:pPr>
            <w:r>
              <w:rPr>
                <w:rFonts w:ascii="Rockwell" w:hAnsi="Rockwell"/>
                <w:b/>
                <w:sz w:val="24"/>
                <w:szCs w:val="24"/>
              </w:rPr>
              <w:t>11</w:t>
            </w:r>
          </w:p>
        </w:tc>
        <w:tc>
          <w:tcPr>
            <w:tcW w:w="11818" w:type="dxa"/>
          </w:tcPr>
          <w:p w14:paraId="21404491" w14:textId="77777777" w:rsidR="00733207" w:rsidRDefault="00912BAE">
            <w:pPr>
              <w:spacing w:after="0" w:line="360" w:lineRule="auto"/>
              <w:jc w:val="both"/>
              <w:rPr>
                <w:rFonts w:ascii="Rockwell" w:hAnsi="Rockwell" w:cs="Arial"/>
                <w:b/>
                <w:sz w:val="26"/>
                <w:szCs w:val="26"/>
              </w:rPr>
            </w:pPr>
            <w:r>
              <w:rPr>
                <w:rFonts w:ascii="Rockwell" w:eastAsia="Times New Roman" w:hAnsi="Rockwell"/>
                <w:b/>
                <w:iCs/>
                <w:sz w:val="26"/>
                <w:szCs w:val="26"/>
                <w:lang w:eastAsia="fr-FR"/>
              </w:rPr>
              <w:t xml:space="preserve">Arrêté N°2023-028/CSC </w:t>
            </w:r>
            <w:r>
              <w:rPr>
                <w:rFonts w:ascii="Rockwell" w:eastAsia="Times New Roman" w:hAnsi="Rockwell"/>
                <w:iCs/>
                <w:sz w:val="26"/>
                <w:szCs w:val="26"/>
                <w:lang w:eastAsia="fr-FR"/>
              </w:rPr>
              <w:t>du</w:t>
            </w:r>
            <w:r>
              <w:rPr>
                <w:rFonts w:ascii="Rockwell" w:eastAsia="Times New Roman" w:hAnsi="Rockwell"/>
                <w:b/>
                <w:iCs/>
                <w:sz w:val="26"/>
                <w:szCs w:val="26"/>
                <w:lang w:eastAsia="fr-FR"/>
              </w:rPr>
              <w:t xml:space="preserve"> 29 décembre 2023 </w:t>
            </w:r>
            <w:r>
              <w:rPr>
                <w:rFonts w:ascii="Rockwell" w:eastAsia="Times New Roman" w:hAnsi="Rockwell"/>
                <w:iCs/>
                <w:sz w:val="26"/>
                <w:szCs w:val="26"/>
                <w:lang w:eastAsia="fr-FR"/>
              </w:rPr>
              <w:t>portant</w:t>
            </w:r>
            <w:r>
              <w:rPr>
                <w:rFonts w:ascii="Rockwell" w:eastAsia="Times New Roman" w:hAnsi="Rockwell"/>
                <w:bCs/>
                <w:iCs/>
                <w:sz w:val="26"/>
                <w:szCs w:val="26"/>
                <w:lang w:eastAsia="fr-FR"/>
              </w:rPr>
              <w:t xml:space="preserve"> autorisation d’exploitation de fréquence relai à </w:t>
            </w:r>
            <w:r>
              <w:rPr>
                <w:rFonts w:ascii="Rockwell" w:eastAsia="Times New Roman" w:hAnsi="Rockwell"/>
                <w:b/>
                <w:color w:val="000000"/>
                <w:sz w:val="26"/>
                <w:szCs w:val="26"/>
                <w:lang w:eastAsia="fr-FR"/>
              </w:rPr>
              <w:t>l’Association Action Communautaire</w:t>
            </w:r>
            <w:r>
              <w:rPr>
                <w:rFonts w:ascii="Rockwell" w:eastAsia="Times New Roman" w:hAnsi="Rockwell"/>
                <w:b/>
                <w:iCs/>
                <w:sz w:val="26"/>
                <w:szCs w:val="26"/>
                <w:lang w:eastAsia="fr-FR"/>
              </w:rPr>
              <w:t xml:space="preserve"> </w:t>
            </w:r>
            <w:r>
              <w:rPr>
                <w:rFonts w:ascii="Rockwell" w:eastAsia="Times New Roman" w:hAnsi="Rockwell"/>
                <w:b/>
                <w:color w:val="000000"/>
                <w:sz w:val="26"/>
                <w:szCs w:val="26"/>
                <w:lang w:eastAsia="fr-FR"/>
              </w:rPr>
              <w:t>de Développement du Centre Nord (ACD/CN)</w:t>
            </w:r>
          </w:p>
        </w:tc>
      </w:tr>
      <w:tr w:rsidR="00733207" w14:paraId="160E8077" w14:textId="77777777">
        <w:trPr>
          <w:trHeight w:val="851"/>
          <w:jc w:val="center"/>
        </w:trPr>
        <w:tc>
          <w:tcPr>
            <w:tcW w:w="797" w:type="dxa"/>
          </w:tcPr>
          <w:p w14:paraId="603B19AE" w14:textId="77777777" w:rsidR="00733207" w:rsidRDefault="00912BAE">
            <w:pPr>
              <w:spacing w:after="0" w:line="360" w:lineRule="auto"/>
              <w:jc w:val="both"/>
              <w:rPr>
                <w:rFonts w:ascii="Rockwell" w:hAnsi="Rockwell"/>
                <w:b/>
                <w:i/>
                <w:sz w:val="24"/>
                <w:szCs w:val="24"/>
              </w:rPr>
            </w:pPr>
            <w:r>
              <w:rPr>
                <w:rFonts w:ascii="Rockwell" w:hAnsi="Rockwell"/>
                <w:b/>
                <w:i/>
                <w:sz w:val="24"/>
                <w:szCs w:val="24"/>
              </w:rPr>
              <w:t>12</w:t>
            </w:r>
          </w:p>
        </w:tc>
        <w:tc>
          <w:tcPr>
            <w:tcW w:w="11818" w:type="dxa"/>
          </w:tcPr>
          <w:p w14:paraId="565500DA" w14:textId="77777777" w:rsidR="00733207" w:rsidRDefault="00912BAE">
            <w:pPr>
              <w:spacing w:after="0" w:line="360" w:lineRule="auto"/>
              <w:jc w:val="both"/>
              <w:rPr>
                <w:rFonts w:ascii="Rockwell" w:hAnsi="Rockwell" w:cs="Arial"/>
                <w:b/>
                <w:sz w:val="26"/>
                <w:szCs w:val="26"/>
              </w:rPr>
            </w:pPr>
            <w:r>
              <w:rPr>
                <w:rFonts w:ascii="Rockwell" w:eastAsia="Times New Roman" w:hAnsi="Rockwell"/>
                <w:b/>
                <w:iCs/>
                <w:sz w:val="26"/>
                <w:szCs w:val="26"/>
                <w:lang w:eastAsia="fr-FR"/>
              </w:rPr>
              <w:t>Arrêté N°2023-029/CSC</w:t>
            </w:r>
            <w:r>
              <w:rPr>
                <w:rFonts w:ascii="Rockwell" w:eastAsia="Times New Roman" w:hAnsi="Rockwell"/>
                <w:iCs/>
                <w:sz w:val="26"/>
                <w:szCs w:val="26"/>
                <w:lang w:eastAsia="fr-FR"/>
              </w:rPr>
              <w:t xml:space="preserve"> du</w:t>
            </w:r>
            <w:r>
              <w:rPr>
                <w:rFonts w:ascii="Rockwell" w:eastAsia="Times New Roman" w:hAnsi="Rockwell"/>
                <w:b/>
                <w:iCs/>
                <w:sz w:val="26"/>
                <w:szCs w:val="26"/>
                <w:lang w:eastAsia="fr-FR"/>
              </w:rPr>
              <w:t xml:space="preserve"> 29 décembre 2023 </w:t>
            </w:r>
            <w:r>
              <w:rPr>
                <w:rFonts w:ascii="Rockwell" w:eastAsia="Times New Roman" w:hAnsi="Rockwell"/>
                <w:iCs/>
                <w:sz w:val="26"/>
                <w:szCs w:val="26"/>
                <w:lang w:eastAsia="fr-FR"/>
              </w:rPr>
              <w:t>portan</w:t>
            </w:r>
            <w:r>
              <w:rPr>
                <w:rFonts w:ascii="Rockwell" w:eastAsia="Times New Roman" w:hAnsi="Rockwell"/>
                <w:b/>
                <w:iCs/>
                <w:sz w:val="26"/>
                <w:szCs w:val="26"/>
                <w:lang w:eastAsia="fr-FR"/>
              </w:rPr>
              <w:t>t</w:t>
            </w:r>
            <w:r>
              <w:rPr>
                <w:rFonts w:ascii="Rockwell" w:eastAsia="Times New Roman" w:hAnsi="Rockwell"/>
                <w:bCs/>
                <w:iCs/>
                <w:sz w:val="26"/>
                <w:szCs w:val="26"/>
                <w:lang w:eastAsia="fr-FR"/>
              </w:rPr>
              <w:t xml:space="preserve"> autorisation d’exploitation de fréquence relai à </w:t>
            </w:r>
            <w:r>
              <w:rPr>
                <w:rFonts w:ascii="Rockwell" w:eastAsia="Times New Roman" w:hAnsi="Rockwell"/>
                <w:b/>
                <w:color w:val="000000"/>
                <w:sz w:val="26"/>
                <w:szCs w:val="26"/>
                <w:lang w:eastAsia="fr-FR"/>
              </w:rPr>
              <w:t>l’Association Action Communautaire</w:t>
            </w:r>
            <w:r>
              <w:rPr>
                <w:rFonts w:ascii="Rockwell" w:eastAsia="Times New Roman" w:hAnsi="Rockwell"/>
                <w:b/>
                <w:iCs/>
                <w:sz w:val="26"/>
                <w:szCs w:val="26"/>
                <w:lang w:eastAsia="fr-FR"/>
              </w:rPr>
              <w:t xml:space="preserve"> </w:t>
            </w:r>
            <w:r>
              <w:rPr>
                <w:rFonts w:ascii="Rockwell" w:eastAsia="Times New Roman" w:hAnsi="Rockwell"/>
                <w:b/>
                <w:color w:val="000000"/>
                <w:sz w:val="26"/>
                <w:szCs w:val="26"/>
                <w:lang w:eastAsia="fr-FR"/>
              </w:rPr>
              <w:t>de Développement du Centre Nord (ACD/CN)</w:t>
            </w:r>
          </w:p>
        </w:tc>
      </w:tr>
      <w:tr w:rsidR="00733207" w14:paraId="07626A9D" w14:textId="77777777">
        <w:trPr>
          <w:trHeight w:val="728"/>
          <w:jc w:val="center"/>
        </w:trPr>
        <w:tc>
          <w:tcPr>
            <w:tcW w:w="12615" w:type="dxa"/>
            <w:gridSpan w:val="2"/>
            <w:shd w:val="clear" w:color="auto" w:fill="8EAADB" w:themeFill="accent1" w:themeFillTint="99"/>
          </w:tcPr>
          <w:p w14:paraId="456323D5" w14:textId="61B86B95" w:rsidR="00733207" w:rsidRDefault="00912BAE">
            <w:pPr>
              <w:spacing w:after="0" w:line="360" w:lineRule="auto"/>
              <w:jc w:val="center"/>
              <w:rPr>
                <w:rFonts w:ascii="Rockwell" w:hAnsi="Rockwell" w:cs="Arial"/>
                <w:b/>
                <w:sz w:val="32"/>
                <w:szCs w:val="32"/>
                <w:lang w:val="en-US"/>
              </w:rPr>
            </w:pPr>
            <w:r>
              <w:rPr>
                <w:rFonts w:ascii="Rockwell" w:hAnsi="Rockwell" w:cs="Arial"/>
                <w:b/>
                <w:sz w:val="32"/>
                <w:szCs w:val="32"/>
                <w:lang w:val="en-US"/>
              </w:rPr>
              <w:t>RECOMMANDATION</w:t>
            </w:r>
          </w:p>
        </w:tc>
      </w:tr>
      <w:tr w:rsidR="00733207" w14:paraId="673FC90B" w14:textId="77777777">
        <w:trPr>
          <w:trHeight w:val="1250"/>
          <w:jc w:val="center"/>
        </w:trPr>
        <w:tc>
          <w:tcPr>
            <w:tcW w:w="797" w:type="dxa"/>
          </w:tcPr>
          <w:p w14:paraId="65A0C068" w14:textId="77777777" w:rsidR="00733207" w:rsidRDefault="00912BAE">
            <w:pPr>
              <w:spacing w:after="0" w:line="360" w:lineRule="auto"/>
              <w:jc w:val="both"/>
              <w:rPr>
                <w:rFonts w:ascii="Rockwell" w:hAnsi="Rockwell"/>
                <w:b/>
                <w:sz w:val="24"/>
                <w:szCs w:val="24"/>
              </w:rPr>
            </w:pPr>
            <w:r>
              <w:rPr>
                <w:rFonts w:ascii="Rockwell" w:hAnsi="Rockwell"/>
                <w:b/>
                <w:sz w:val="24"/>
                <w:szCs w:val="24"/>
              </w:rPr>
              <w:t>01</w:t>
            </w:r>
          </w:p>
        </w:tc>
        <w:tc>
          <w:tcPr>
            <w:tcW w:w="11818" w:type="dxa"/>
          </w:tcPr>
          <w:p w14:paraId="63023889" w14:textId="77777777" w:rsidR="00733207" w:rsidRDefault="00912BAE">
            <w:pPr>
              <w:spacing w:after="0" w:line="360" w:lineRule="auto"/>
              <w:jc w:val="both"/>
              <w:rPr>
                <w:rFonts w:ascii="Rockwell" w:hAnsi="Rockwell" w:cs="Arial"/>
                <w:b/>
                <w:sz w:val="26"/>
                <w:szCs w:val="26"/>
              </w:rPr>
            </w:pPr>
            <w:r>
              <w:rPr>
                <w:rFonts w:ascii="Rockwell" w:eastAsia="Times New Roman" w:hAnsi="Rockwell" w:cs="Arial"/>
                <w:b/>
                <w:iCs/>
                <w:sz w:val="26"/>
                <w:szCs w:val="26"/>
                <w:lang w:eastAsia="fr-FR"/>
              </w:rPr>
              <w:t>Recommandation N° 2023-001/CSC</w:t>
            </w:r>
            <w:r>
              <w:rPr>
                <w:rFonts w:ascii="Rockwell" w:eastAsia="Times New Roman" w:hAnsi="Rockwell" w:cs="Arial"/>
                <w:iCs/>
                <w:sz w:val="26"/>
                <w:szCs w:val="26"/>
                <w:lang w:eastAsia="fr-FR"/>
              </w:rPr>
              <w:t xml:space="preserve"> du</w:t>
            </w:r>
            <w:r>
              <w:rPr>
                <w:rFonts w:ascii="Rockwell" w:eastAsia="Times New Roman" w:hAnsi="Rockwell" w:cs="Arial"/>
                <w:b/>
                <w:iCs/>
                <w:sz w:val="26"/>
                <w:szCs w:val="26"/>
                <w:lang w:eastAsia="fr-FR"/>
              </w:rPr>
              <w:t xml:space="preserve"> 21 février 2023 </w:t>
            </w:r>
            <w:r>
              <w:rPr>
                <w:rFonts w:ascii="Rockwell" w:eastAsia="Times New Roman" w:hAnsi="Rockwell" w:cs="Arial"/>
                <w:iCs/>
                <w:sz w:val="26"/>
                <w:szCs w:val="26"/>
                <w:lang w:eastAsia="fr-FR"/>
              </w:rPr>
              <w:t>portant sur la conduite des émissions d’expression directe</w:t>
            </w:r>
          </w:p>
        </w:tc>
      </w:tr>
      <w:tr w:rsidR="00733207" w14:paraId="36F2A9D6" w14:textId="77777777">
        <w:trPr>
          <w:trHeight w:val="782"/>
          <w:jc w:val="center"/>
        </w:trPr>
        <w:tc>
          <w:tcPr>
            <w:tcW w:w="12615" w:type="dxa"/>
            <w:gridSpan w:val="2"/>
            <w:shd w:val="clear" w:color="auto" w:fill="8EAADB" w:themeFill="accent1" w:themeFillTint="99"/>
          </w:tcPr>
          <w:p w14:paraId="15108CB5" w14:textId="560BAF76" w:rsidR="00733207" w:rsidRPr="004B02E8" w:rsidRDefault="004B02E8">
            <w:pPr>
              <w:spacing w:after="0" w:line="360" w:lineRule="auto"/>
              <w:jc w:val="center"/>
              <w:rPr>
                <w:rFonts w:ascii="Rockwell" w:eastAsia="Times New Roman" w:hAnsi="Rockwell" w:cs="Arial"/>
                <w:b/>
                <w:iCs/>
                <w:sz w:val="32"/>
                <w:szCs w:val="26"/>
                <w:lang w:val="en-US" w:eastAsia="fr-FR"/>
              </w:rPr>
            </w:pPr>
            <w:r w:rsidRPr="004B02E8">
              <w:rPr>
                <w:rFonts w:ascii="Rockwell" w:eastAsia="Times New Roman" w:hAnsi="Rockwell" w:cs="Arial"/>
                <w:b/>
                <w:iCs/>
                <w:sz w:val="32"/>
                <w:szCs w:val="26"/>
                <w:lang w:val="en-US" w:eastAsia="fr-FR"/>
              </w:rPr>
              <w:lastRenderedPageBreak/>
              <w:t>COMMUNIQUE</w:t>
            </w:r>
            <w:bookmarkStart w:id="768" w:name="_GoBack"/>
            <w:bookmarkEnd w:id="768"/>
            <w:r w:rsidRPr="004B02E8">
              <w:rPr>
                <w:rFonts w:ascii="Rockwell" w:eastAsia="Times New Roman" w:hAnsi="Rockwell" w:cs="Arial"/>
                <w:b/>
                <w:iCs/>
                <w:sz w:val="32"/>
                <w:szCs w:val="26"/>
                <w:lang w:val="en-US" w:eastAsia="fr-FR"/>
              </w:rPr>
              <w:t xml:space="preserve">S </w:t>
            </w:r>
          </w:p>
        </w:tc>
      </w:tr>
      <w:tr w:rsidR="00733207" w14:paraId="45FB3127" w14:textId="77777777">
        <w:trPr>
          <w:trHeight w:val="851"/>
          <w:jc w:val="center"/>
        </w:trPr>
        <w:tc>
          <w:tcPr>
            <w:tcW w:w="797" w:type="dxa"/>
          </w:tcPr>
          <w:p w14:paraId="166A456B" w14:textId="77777777" w:rsidR="00733207" w:rsidRDefault="00912BAE">
            <w:pPr>
              <w:spacing w:after="0" w:line="360" w:lineRule="auto"/>
              <w:jc w:val="both"/>
              <w:rPr>
                <w:rFonts w:ascii="Rockwell" w:hAnsi="Rockwell"/>
                <w:b/>
                <w:sz w:val="24"/>
                <w:szCs w:val="24"/>
              </w:rPr>
            </w:pPr>
            <w:r>
              <w:rPr>
                <w:rFonts w:ascii="Rockwell" w:hAnsi="Rockwell"/>
                <w:b/>
                <w:sz w:val="24"/>
                <w:szCs w:val="24"/>
              </w:rPr>
              <w:t>01</w:t>
            </w:r>
          </w:p>
        </w:tc>
        <w:tc>
          <w:tcPr>
            <w:tcW w:w="11818" w:type="dxa"/>
          </w:tcPr>
          <w:p w14:paraId="05F5E913" w14:textId="77777777" w:rsidR="00733207" w:rsidRDefault="00912BAE">
            <w:pPr>
              <w:spacing w:after="0" w:line="360" w:lineRule="auto"/>
              <w:jc w:val="both"/>
              <w:rPr>
                <w:rFonts w:ascii="Rockwell" w:eastAsia="Times New Roman" w:hAnsi="Rockwell" w:cs="Arial"/>
                <w:b/>
                <w:iCs/>
                <w:sz w:val="26"/>
                <w:szCs w:val="26"/>
                <w:lang w:eastAsia="fr-FR"/>
              </w:rPr>
            </w:pPr>
            <w:r>
              <w:rPr>
                <w:rFonts w:ascii="Rockwell" w:eastAsia="Times New Roman" w:hAnsi="Rockwell" w:cs="Arial"/>
                <w:b/>
                <w:iCs/>
                <w:sz w:val="26"/>
                <w:szCs w:val="26"/>
                <w:lang w:eastAsia="fr-FR"/>
              </w:rPr>
              <w:t xml:space="preserve">Communiqué N° 2023-001/CSC/SG/DAD </w:t>
            </w:r>
            <w:r>
              <w:rPr>
                <w:rFonts w:ascii="Rockwell" w:eastAsia="Times New Roman" w:hAnsi="Rockwell" w:cs="Arial"/>
                <w:iCs/>
                <w:sz w:val="26"/>
                <w:szCs w:val="26"/>
                <w:lang w:eastAsia="fr-FR"/>
              </w:rPr>
              <w:t xml:space="preserve">du </w:t>
            </w:r>
            <w:r>
              <w:rPr>
                <w:rFonts w:ascii="Rockwell" w:eastAsia="Times New Roman" w:hAnsi="Rockwell" w:cs="Arial"/>
                <w:b/>
                <w:iCs/>
                <w:sz w:val="26"/>
                <w:szCs w:val="26"/>
                <w:lang w:eastAsia="fr-FR"/>
              </w:rPr>
              <w:t xml:space="preserve">22 février 2023 </w:t>
            </w:r>
            <w:r>
              <w:rPr>
                <w:rFonts w:ascii="Rockwell" w:eastAsia="Times New Roman" w:hAnsi="Rockwell" w:cs="Arial"/>
                <w:iCs/>
                <w:sz w:val="26"/>
                <w:szCs w:val="26"/>
                <w:lang w:eastAsia="fr-FR"/>
              </w:rPr>
              <w:t>relatif aux correspondants de presse étrangère aux envoyés spéciaux et aux journalistes indépendants</w:t>
            </w:r>
          </w:p>
        </w:tc>
      </w:tr>
      <w:tr w:rsidR="00733207" w14:paraId="27B709E3" w14:textId="77777777">
        <w:trPr>
          <w:trHeight w:val="851"/>
          <w:jc w:val="center"/>
        </w:trPr>
        <w:tc>
          <w:tcPr>
            <w:tcW w:w="797" w:type="dxa"/>
          </w:tcPr>
          <w:p w14:paraId="5099884C" w14:textId="77777777" w:rsidR="00733207" w:rsidRDefault="00912BAE">
            <w:pPr>
              <w:spacing w:after="0" w:line="360" w:lineRule="auto"/>
              <w:jc w:val="both"/>
              <w:rPr>
                <w:rFonts w:ascii="Rockwell" w:hAnsi="Rockwell"/>
                <w:b/>
                <w:sz w:val="24"/>
                <w:szCs w:val="24"/>
              </w:rPr>
            </w:pPr>
            <w:r>
              <w:rPr>
                <w:rFonts w:ascii="Rockwell" w:hAnsi="Rockwell"/>
                <w:b/>
                <w:sz w:val="24"/>
                <w:szCs w:val="24"/>
              </w:rPr>
              <w:t>02</w:t>
            </w:r>
          </w:p>
        </w:tc>
        <w:tc>
          <w:tcPr>
            <w:tcW w:w="11818" w:type="dxa"/>
          </w:tcPr>
          <w:p w14:paraId="2D0EB15D" w14:textId="77777777" w:rsidR="00733207" w:rsidRDefault="00912BAE">
            <w:pPr>
              <w:spacing w:after="0" w:line="360" w:lineRule="auto"/>
              <w:jc w:val="both"/>
              <w:rPr>
                <w:rFonts w:ascii="Rockwell" w:eastAsia="Times New Roman" w:hAnsi="Rockwell" w:cs="Arial"/>
                <w:b/>
                <w:iCs/>
                <w:sz w:val="26"/>
                <w:szCs w:val="26"/>
                <w:lang w:eastAsia="fr-FR"/>
              </w:rPr>
            </w:pPr>
            <w:r>
              <w:rPr>
                <w:rFonts w:ascii="Rockwell" w:eastAsia="Times New Roman" w:hAnsi="Rockwell" w:cs="Arial"/>
                <w:b/>
                <w:iCs/>
                <w:sz w:val="26"/>
                <w:szCs w:val="26"/>
                <w:lang w:eastAsia="fr-FR"/>
              </w:rPr>
              <w:t xml:space="preserve">Communiqué N° 2023-002/CSC/SG/DAD </w:t>
            </w:r>
            <w:r>
              <w:rPr>
                <w:rFonts w:ascii="Rockwell" w:eastAsia="Times New Roman" w:hAnsi="Rockwell" w:cs="Arial"/>
                <w:iCs/>
                <w:sz w:val="26"/>
                <w:szCs w:val="26"/>
                <w:lang w:eastAsia="fr-FR"/>
              </w:rPr>
              <w:t xml:space="preserve">du </w:t>
            </w:r>
            <w:r>
              <w:rPr>
                <w:rFonts w:ascii="Rockwell" w:eastAsia="Times New Roman" w:hAnsi="Rockwell" w:cs="Arial"/>
                <w:b/>
                <w:iCs/>
                <w:sz w:val="26"/>
                <w:szCs w:val="26"/>
                <w:lang w:eastAsia="fr-FR"/>
              </w:rPr>
              <w:t xml:space="preserve">22 février 2023 </w:t>
            </w:r>
            <w:r>
              <w:rPr>
                <w:rFonts w:ascii="Rockwell" w:eastAsia="Times New Roman" w:hAnsi="Rockwell" w:cs="Arial"/>
                <w:iCs/>
                <w:sz w:val="26"/>
                <w:szCs w:val="26"/>
                <w:lang w:eastAsia="fr-FR"/>
              </w:rPr>
              <w:t>relatif au changement de format de parution</w:t>
            </w:r>
          </w:p>
        </w:tc>
      </w:tr>
      <w:tr w:rsidR="00733207" w14:paraId="1BA06A42" w14:textId="77777777">
        <w:trPr>
          <w:trHeight w:val="851"/>
          <w:jc w:val="center"/>
        </w:trPr>
        <w:tc>
          <w:tcPr>
            <w:tcW w:w="797" w:type="dxa"/>
          </w:tcPr>
          <w:p w14:paraId="34031FC9" w14:textId="77777777" w:rsidR="00733207" w:rsidRDefault="00912BAE">
            <w:pPr>
              <w:spacing w:after="0" w:line="360" w:lineRule="auto"/>
              <w:jc w:val="both"/>
              <w:rPr>
                <w:rFonts w:ascii="Rockwell" w:hAnsi="Rockwell"/>
                <w:b/>
                <w:sz w:val="24"/>
                <w:szCs w:val="24"/>
              </w:rPr>
            </w:pPr>
            <w:r>
              <w:rPr>
                <w:rFonts w:ascii="Rockwell" w:hAnsi="Rockwell"/>
                <w:b/>
                <w:sz w:val="24"/>
                <w:szCs w:val="24"/>
              </w:rPr>
              <w:t>03</w:t>
            </w:r>
          </w:p>
        </w:tc>
        <w:tc>
          <w:tcPr>
            <w:tcW w:w="11818" w:type="dxa"/>
          </w:tcPr>
          <w:p w14:paraId="76E71F15" w14:textId="77777777" w:rsidR="00733207" w:rsidRDefault="00912BAE">
            <w:pPr>
              <w:spacing w:after="0" w:line="360" w:lineRule="auto"/>
              <w:jc w:val="both"/>
              <w:rPr>
                <w:rFonts w:ascii="Rockwell" w:eastAsia="Times New Roman" w:hAnsi="Rockwell" w:cs="Arial"/>
                <w:b/>
                <w:iCs/>
                <w:sz w:val="26"/>
                <w:szCs w:val="26"/>
                <w:lang w:eastAsia="fr-FR"/>
              </w:rPr>
            </w:pPr>
            <w:r>
              <w:rPr>
                <w:rFonts w:ascii="Rockwell" w:eastAsia="Times New Roman" w:hAnsi="Rockwell" w:cs="Arial"/>
                <w:b/>
                <w:iCs/>
                <w:sz w:val="26"/>
                <w:szCs w:val="26"/>
                <w:lang w:eastAsia="fr-FR"/>
              </w:rPr>
              <w:t xml:space="preserve">Communiqué N° 2023-003/CSC/SG/DAD </w:t>
            </w:r>
            <w:r>
              <w:rPr>
                <w:rFonts w:ascii="Rockwell" w:eastAsia="Times New Roman" w:hAnsi="Rockwell" w:cs="Arial"/>
                <w:iCs/>
                <w:sz w:val="26"/>
                <w:szCs w:val="26"/>
                <w:lang w:eastAsia="fr-FR"/>
              </w:rPr>
              <w:t xml:space="preserve">du </w:t>
            </w:r>
            <w:r>
              <w:rPr>
                <w:rFonts w:ascii="Rockwell" w:eastAsia="Times New Roman" w:hAnsi="Rockwell" w:cs="Arial"/>
                <w:b/>
                <w:iCs/>
                <w:sz w:val="26"/>
                <w:szCs w:val="26"/>
                <w:lang w:eastAsia="fr-FR"/>
              </w:rPr>
              <w:t xml:space="preserve">22 février 2023 </w:t>
            </w:r>
            <w:r>
              <w:rPr>
                <w:rFonts w:ascii="Rockwell" w:eastAsia="Times New Roman" w:hAnsi="Rockwell" w:cs="Arial"/>
                <w:iCs/>
                <w:sz w:val="26"/>
                <w:szCs w:val="26"/>
                <w:lang w:eastAsia="fr-FR"/>
              </w:rPr>
              <w:t>relatif au dépôt de copies de récépissé au CSC</w:t>
            </w:r>
          </w:p>
        </w:tc>
      </w:tr>
      <w:tr w:rsidR="00733207" w14:paraId="30FB778C" w14:textId="77777777">
        <w:trPr>
          <w:trHeight w:val="851"/>
          <w:jc w:val="center"/>
        </w:trPr>
        <w:tc>
          <w:tcPr>
            <w:tcW w:w="797" w:type="dxa"/>
          </w:tcPr>
          <w:p w14:paraId="741922BE" w14:textId="77777777" w:rsidR="00733207" w:rsidRDefault="00912BAE">
            <w:pPr>
              <w:spacing w:after="0" w:line="360" w:lineRule="auto"/>
              <w:jc w:val="both"/>
              <w:rPr>
                <w:rFonts w:ascii="Rockwell" w:hAnsi="Rockwell"/>
                <w:b/>
                <w:sz w:val="24"/>
                <w:szCs w:val="24"/>
              </w:rPr>
            </w:pPr>
            <w:r>
              <w:rPr>
                <w:rFonts w:ascii="Rockwell" w:hAnsi="Rockwell"/>
                <w:b/>
                <w:sz w:val="24"/>
                <w:szCs w:val="24"/>
              </w:rPr>
              <w:t>04</w:t>
            </w:r>
          </w:p>
        </w:tc>
        <w:tc>
          <w:tcPr>
            <w:tcW w:w="11818" w:type="dxa"/>
          </w:tcPr>
          <w:p w14:paraId="0356B8C8" w14:textId="77777777" w:rsidR="00733207" w:rsidRDefault="00912BAE">
            <w:pPr>
              <w:spacing w:after="0" w:line="360" w:lineRule="auto"/>
              <w:jc w:val="both"/>
              <w:rPr>
                <w:rFonts w:ascii="Rockwell" w:eastAsia="Times New Roman" w:hAnsi="Rockwell" w:cs="Arial"/>
                <w:b/>
                <w:iCs/>
                <w:sz w:val="26"/>
                <w:szCs w:val="26"/>
                <w:lang w:eastAsia="fr-FR"/>
              </w:rPr>
            </w:pPr>
            <w:r>
              <w:rPr>
                <w:rFonts w:ascii="Rockwell" w:eastAsia="Times New Roman" w:hAnsi="Rockwell" w:cs="Arial"/>
                <w:b/>
                <w:iCs/>
                <w:sz w:val="26"/>
                <w:szCs w:val="26"/>
                <w:lang w:eastAsia="fr-FR"/>
              </w:rPr>
              <w:t xml:space="preserve">Communiqué N° 2023-004/CSC/SG/DAD </w:t>
            </w:r>
            <w:r>
              <w:rPr>
                <w:rFonts w:ascii="Rockwell" w:eastAsia="Times New Roman" w:hAnsi="Rockwell" w:cs="Arial"/>
                <w:iCs/>
                <w:sz w:val="26"/>
                <w:szCs w:val="26"/>
                <w:lang w:eastAsia="fr-FR"/>
              </w:rPr>
              <w:t xml:space="preserve">du </w:t>
            </w:r>
            <w:r>
              <w:rPr>
                <w:rFonts w:ascii="Rockwell" w:eastAsia="Times New Roman" w:hAnsi="Rockwell" w:cs="Arial"/>
                <w:b/>
                <w:iCs/>
                <w:sz w:val="26"/>
                <w:szCs w:val="26"/>
                <w:lang w:eastAsia="fr-FR"/>
              </w:rPr>
              <w:t xml:space="preserve">22 février 2023 </w:t>
            </w:r>
            <w:r>
              <w:rPr>
                <w:rFonts w:ascii="Rockwell" w:eastAsia="Times New Roman" w:hAnsi="Rockwell" w:cs="Arial"/>
                <w:iCs/>
                <w:sz w:val="26"/>
                <w:szCs w:val="26"/>
                <w:lang w:eastAsia="fr-FR"/>
              </w:rPr>
              <w:t>relatif au respect du dépôt légal</w:t>
            </w:r>
          </w:p>
        </w:tc>
      </w:tr>
    </w:tbl>
    <w:p w14:paraId="3A25F3C0" w14:textId="77777777" w:rsidR="00733207" w:rsidRDefault="00733207">
      <w:pPr>
        <w:jc w:val="both"/>
        <w:rPr>
          <w:rFonts w:ascii="Rockwell" w:hAnsi="Rockwell"/>
          <w:b/>
          <w:i/>
          <w:sz w:val="32"/>
          <w:szCs w:val="32"/>
        </w:rPr>
      </w:pPr>
    </w:p>
    <w:p w14:paraId="5D04E7F0" w14:textId="77777777" w:rsidR="00733207" w:rsidRDefault="00733207">
      <w:pPr>
        <w:jc w:val="both"/>
        <w:rPr>
          <w:rFonts w:ascii="Rockwell" w:hAnsi="Rockwell"/>
          <w:b/>
          <w:i/>
          <w:sz w:val="32"/>
          <w:szCs w:val="32"/>
        </w:rPr>
      </w:pPr>
    </w:p>
    <w:p w14:paraId="2042BE34" w14:textId="77777777" w:rsidR="00733207" w:rsidRDefault="00733207">
      <w:pPr>
        <w:jc w:val="both"/>
        <w:rPr>
          <w:rFonts w:ascii="Rockwell" w:hAnsi="Rockwell"/>
          <w:b/>
          <w:i/>
          <w:sz w:val="32"/>
          <w:szCs w:val="32"/>
        </w:rPr>
      </w:pPr>
    </w:p>
    <w:p w14:paraId="540428F1" w14:textId="77777777" w:rsidR="00733207" w:rsidRDefault="00733207">
      <w:pPr>
        <w:framePr w:hSpace="141" w:wrap="around" w:hAnchor="margin" w:xAlign="center" w:y="-1410"/>
        <w:jc w:val="both"/>
        <w:rPr>
          <w:rFonts w:ascii="Rockwell" w:hAnsi="Rockwell"/>
          <w:b/>
          <w:i/>
          <w:sz w:val="32"/>
          <w:szCs w:val="32"/>
        </w:rPr>
        <w:sectPr w:rsidR="00733207">
          <w:pgSz w:w="16838" w:h="11906" w:orient="landscape"/>
          <w:pgMar w:top="1417" w:right="1417" w:bottom="1417" w:left="1417" w:header="708" w:footer="708" w:gutter="0"/>
          <w:cols w:space="708"/>
          <w:docGrid w:linePitch="360"/>
        </w:sectPr>
      </w:pPr>
    </w:p>
    <w:p w14:paraId="593E5833" w14:textId="77777777" w:rsidR="00733207" w:rsidRDefault="00733207">
      <w:pPr>
        <w:jc w:val="both"/>
        <w:rPr>
          <w:rFonts w:ascii="Rockwell" w:hAnsi="Rockwell"/>
          <w:b/>
          <w:i/>
          <w:sz w:val="32"/>
          <w:szCs w:val="32"/>
        </w:rPr>
      </w:pPr>
    </w:p>
    <w:sectPr w:rsidR="00733207">
      <w:footerReference w:type="default" r:id="rId166"/>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3" w:author="hp" w:date="2024-08-06T16:09:00Z" w:initials="h">
    <w:p w14:paraId="4E97CC55" w14:textId="77777777" w:rsidR="00E06378" w:rsidRDefault="00E06378">
      <w:pPr>
        <w:pStyle w:val="Commentaire"/>
      </w:pPr>
      <w:r>
        <w:rPr>
          <w:rStyle w:val="Marquedecommentaire"/>
        </w:rPr>
        <w:t>Partie à supprimer intégralement</w:t>
      </w:r>
    </w:p>
  </w:comment>
  <w:comment w:id="33" w:author="hp" w:date="2024-08-06T16:12:00Z" w:initials="h">
    <w:p w14:paraId="7D9E005D" w14:textId="77777777" w:rsidR="00E06378" w:rsidRDefault="00E06378">
      <w:pPr>
        <w:pStyle w:val="Commentaire"/>
      </w:pPr>
      <w:r>
        <w:rPr>
          <w:rStyle w:val="Marquedecommentaire"/>
        </w:rPr>
        <w:t>Prendre en compte les sigles et abréviations dans le corps du document. Par exemple CSC</w:t>
      </w:r>
    </w:p>
  </w:comment>
  <w:comment w:id="34" w:author="hp" w:date="2024-08-06T16:37:00Z" w:initials="h">
    <w:p w14:paraId="228E3A62" w14:textId="77777777" w:rsidR="00E06378" w:rsidRDefault="00E06378">
      <w:pPr>
        <w:pStyle w:val="Commentaire"/>
      </w:pPr>
      <w:r>
        <w:t>Titre modifié, à prendre en compte dans la table des matières et sommaire</w:t>
      </w:r>
    </w:p>
  </w:comment>
  <w:comment w:id="138" w:author="hp" w:date="2024-08-07T11:40:00Z" w:initials="h">
    <w:p w14:paraId="1A7D264D" w14:textId="77777777" w:rsidR="00E06378" w:rsidRDefault="00E06378">
      <w:pPr>
        <w:pStyle w:val="Commentaire"/>
      </w:pPr>
      <w:r>
        <w:rPr>
          <w:rStyle w:val="Marquedecommentaire"/>
        </w:rPr>
        <w:t>Harmoniser le début des titres des paragraphes (majuscules ou minuscules)</w:t>
      </w:r>
    </w:p>
  </w:comment>
  <w:comment w:id="333" w:author="hp" w:date="2024-08-07T13:16:00Z" w:initials="h">
    <w:p w14:paraId="44BA818E" w14:textId="77777777" w:rsidR="00E06378" w:rsidRDefault="00E06378">
      <w:pPr>
        <w:pStyle w:val="Commentaire"/>
      </w:pPr>
      <w:r>
        <w:t>Voir la pagination à partir de la page 106</w:t>
      </w:r>
    </w:p>
  </w:comment>
  <w:comment w:id="372" w:author="hp" w:date="2024-08-07T13:34:00Z" w:initials="h">
    <w:p w14:paraId="37AAE721" w14:textId="77777777" w:rsidR="00E06378" w:rsidRDefault="00E06378">
      <w:pPr>
        <w:pStyle w:val="Commentaire"/>
      </w:pPr>
      <w:r>
        <w:t>Quelle a été la suite ?</w:t>
      </w:r>
    </w:p>
  </w:comment>
  <w:comment w:id="377" w:author="hp" w:date="2024-08-07T13:36:00Z" w:initials="h">
    <w:p w14:paraId="2B13F5E4" w14:textId="77777777" w:rsidR="00E06378" w:rsidRDefault="00E06378">
      <w:pPr>
        <w:pStyle w:val="Commentaire"/>
      </w:pPr>
      <w:proofErr w:type="spellStart"/>
      <w:r>
        <w:t>Verifiez</w:t>
      </w:r>
      <w:proofErr w:type="spellEnd"/>
      <w:r>
        <w:t xml:space="preserve"> si le chiffre exact est 60 ou 70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97CC55" w15:done="0"/>
  <w15:commentEx w15:paraId="7D9E005D" w15:done="0"/>
  <w15:commentEx w15:paraId="228E3A62" w15:done="0"/>
  <w15:commentEx w15:paraId="1A7D264D" w15:done="0"/>
  <w15:commentEx w15:paraId="44BA818E" w15:done="0"/>
  <w15:commentEx w15:paraId="37AAE721" w15:done="0"/>
  <w15:commentEx w15:paraId="2B13F5E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97CC55" w16cid:durableId="2AEACCB0"/>
  <w16cid:commentId w16cid:paraId="7D9E005D" w16cid:durableId="2AEACCB1"/>
  <w16cid:commentId w16cid:paraId="228E3A62" w16cid:durableId="2AEACCB2"/>
  <w16cid:commentId w16cid:paraId="1A7D264D" w16cid:durableId="2AEACCB3"/>
  <w16cid:commentId w16cid:paraId="44BA818E" w16cid:durableId="2AEACCB4"/>
  <w16cid:commentId w16cid:paraId="37AAE721" w16cid:durableId="2AEACC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3CCCD" w14:textId="77777777" w:rsidR="00BE636D" w:rsidRDefault="00BE636D">
      <w:pPr>
        <w:spacing w:line="240" w:lineRule="auto"/>
      </w:pPr>
      <w:r>
        <w:separator/>
      </w:r>
    </w:p>
  </w:endnote>
  <w:endnote w:type="continuationSeparator" w:id="0">
    <w:p w14:paraId="2EA58429" w14:textId="77777777" w:rsidR="00BE636D" w:rsidRDefault="00BE63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Rockwell">
    <w:panose1 w:val="02060603020205020403"/>
    <w:charset w:val="00"/>
    <w:family w:val="roman"/>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 w:name="等线 Light">
    <w:altName w:val="Segoe Print"/>
    <w:charset w:val="00"/>
    <w:family w:val="auto"/>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19F" w:csb1="00000000"/>
  </w:font>
  <w:font w:name="Tw Cen MT Condensed Extra Bold">
    <w:panose1 w:val="020B0803020202020204"/>
    <w:charset w:val="00"/>
    <w:family w:val="swiss"/>
    <w:pitch w:val="variable"/>
    <w:sig w:usb0="00000007" w:usb1="00000000" w:usb2="00000000" w:usb3="00000000" w:csb0="00000003" w:csb1="00000000"/>
  </w:font>
  <w:font w:name="Bahnschrift SemiBold SemiConden">
    <w:panose1 w:val="020B0502040204020203"/>
    <w:charset w:val="00"/>
    <w:family w:val="swiss"/>
    <w:pitch w:val="variable"/>
    <w:sig w:usb0="A00002C7" w:usb1="00000002" w:usb2="00000000" w:usb3="00000000" w:csb0="0000019F" w:csb1="00000000"/>
  </w:font>
  <w:font w:name="Bahnschrift Light">
    <w:panose1 w:val="020B0502040204020203"/>
    <w:charset w:val="00"/>
    <w:family w:val="swiss"/>
    <w:pitch w:val="variable"/>
    <w:sig w:usb0="A00002C7" w:usb1="00000002" w:usb2="00000000" w:usb3="00000000" w:csb0="0000019F" w:csb1="00000000"/>
  </w:font>
  <w:font w:name="Bodoni MT Poster Compressed">
    <w:panose1 w:val="02070706080601050204"/>
    <w:charset w:val="00"/>
    <w:family w:val="roman"/>
    <w:pitch w:val="variable"/>
    <w:sig w:usb0="00000007" w:usb1="00000000" w:usb2="00000000" w:usb3="00000000" w:csb0="00000011" w:csb1="00000000"/>
  </w:font>
  <w:font w:name="+mn-ea">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947287" w14:textId="77777777" w:rsidR="00E06378" w:rsidRDefault="00E06378">
    <w:pPr>
      <w:pStyle w:val="Pieddepage"/>
      <w:jc w:val="right"/>
    </w:pPr>
    <w:r>
      <w:rPr>
        <w:noProof/>
        <w:lang w:eastAsia="fr-FR"/>
      </w:rPr>
      <mc:AlternateContent>
        <mc:Choice Requires="wps">
          <w:drawing>
            <wp:anchor distT="0" distB="0" distL="114300" distR="114300" simplePos="0" relativeHeight="251666432" behindDoc="0" locked="0" layoutInCell="1" allowOverlap="1" wp14:anchorId="52918499" wp14:editId="3398CE14">
              <wp:simplePos x="0" y="0"/>
              <wp:positionH relativeFrom="margin">
                <wp:align>right</wp:align>
              </wp:positionH>
              <wp:positionV relativeFrom="paragraph">
                <wp:posOffset>0</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9992"/>
                          </w:sdtPr>
                          <w:sdtContent>
                            <w:p w14:paraId="7D0FB1D8" w14:textId="67021FBD" w:rsidR="00E06378" w:rsidRDefault="00E06378">
                              <w:pPr>
                                <w:pStyle w:val="Pieddepage"/>
                                <w:jc w:val="right"/>
                              </w:pPr>
                              <w:r>
                                <w:fldChar w:fldCharType="begin"/>
                              </w:r>
                              <w:r>
                                <w:instrText>PAGE   \* MERGEFORMAT</w:instrText>
                              </w:r>
                              <w:r>
                                <w:fldChar w:fldCharType="separate"/>
                              </w:r>
                              <w:r>
                                <w:rPr>
                                  <w:noProof/>
                                </w:rPr>
                                <w:t>40</w:t>
                              </w:r>
                              <w:r>
                                <w:fldChar w:fldCharType="end"/>
                              </w:r>
                            </w:p>
                          </w:sdtContent>
                        </w:sdt>
                        <w:p w14:paraId="684A4456" w14:textId="77777777" w:rsidR="00E06378" w:rsidRDefault="00E0637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2918499" id="_x0000_t202" coordsize="21600,21600" o:spt="202" path="m,l,21600r21600,l21600,xe">
              <v:stroke joinstyle="miter"/>
              <v:path gradientshapeok="t" o:connecttype="rect"/>
            </v:shapetype>
            <v:shape id="Text Box 12" o:spid="_x0000_s1038" type="#_x0000_t202" style="position:absolute;left:0;text-align:left;margin-left:92.8pt;margin-top:0;width:2in;height:2in;z-index:2516664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CoF&#10;we1SAgAACwUAAA4AAAAAAAAAAAAAAAAALgIAAGRycy9lMm9Eb2MueG1sUEsBAi0AFAAGAAgAAAAh&#10;AHGq0bnXAAAABQEAAA8AAAAAAAAAAAAAAAAArAQAAGRycy9kb3ducmV2LnhtbFBLBQYAAAAABAAE&#10;APMAAACwBQAAAAA=&#10;" filled="f" stroked="f" strokeweight=".5pt">
              <v:textbox style="mso-fit-shape-to-text:t" inset="0,0,0,0">
                <w:txbxContent>
                  <w:sdt>
                    <w:sdtPr>
                      <w:id w:val="147479992"/>
                    </w:sdtPr>
                    <w:sdtContent>
                      <w:p w14:paraId="7D0FB1D8" w14:textId="67021FBD" w:rsidR="00E06378" w:rsidRDefault="00E06378">
                        <w:pPr>
                          <w:pStyle w:val="Pieddepage"/>
                          <w:jc w:val="right"/>
                        </w:pPr>
                        <w:r>
                          <w:fldChar w:fldCharType="begin"/>
                        </w:r>
                        <w:r>
                          <w:instrText>PAGE   \* MERGEFORMAT</w:instrText>
                        </w:r>
                        <w:r>
                          <w:fldChar w:fldCharType="separate"/>
                        </w:r>
                        <w:r>
                          <w:rPr>
                            <w:noProof/>
                          </w:rPr>
                          <w:t>40</w:t>
                        </w:r>
                        <w:r>
                          <w:fldChar w:fldCharType="end"/>
                        </w:r>
                      </w:p>
                    </w:sdtContent>
                  </w:sdt>
                  <w:p w14:paraId="684A4456" w14:textId="77777777" w:rsidR="00E06378" w:rsidRDefault="00E06378"/>
                </w:txbxContent>
              </v:textbox>
              <w10:wrap anchorx="margin"/>
            </v:shape>
          </w:pict>
        </mc:Fallback>
      </mc:AlternateContent>
    </w:r>
  </w:p>
  <w:p w14:paraId="6FFA5D9C" w14:textId="77777777" w:rsidR="00E06378" w:rsidRDefault="00E06378">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68101" w14:textId="77777777" w:rsidR="00E06378" w:rsidRDefault="00E06378">
    <w:pPr>
      <w:pStyle w:val="Pieddepage"/>
    </w:pPr>
    <w:r>
      <w:rPr>
        <w:noProof/>
        <w:lang w:eastAsia="fr-FR"/>
      </w:rPr>
      <mc:AlternateContent>
        <mc:Choice Requires="wps">
          <w:drawing>
            <wp:anchor distT="0" distB="0" distL="114300" distR="114300" simplePos="0" relativeHeight="251671552" behindDoc="0" locked="0" layoutInCell="1" allowOverlap="1" wp14:anchorId="0826AFB5" wp14:editId="4F2F6F72">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51942C" w14:textId="2D7AB3A0" w:rsidR="00E06378" w:rsidRDefault="00E06378">
                          <w:pPr>
                            <w:pStyle w:val="Pieddepage"/>
                          </w:pPr>
                          <w:r>
                            <w:fldChar w:fldCharType="begin"/>
                          </w:r>
                          <w:r>
                            <w:instrText xml:space="preserve"> PAGE  \* MERGEFORMAT </w:instrText>
                          </w:r>
                          <w:r>
                            <w:fldChar w:fldCharType="separate"/>
                          </w:r>
                          <w:r>
                            <w:rPr>
                              <w:noProof/>
                            </w:rPr>
                            <w:t>92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26AFB5" id="_x0000_t202" coordsize="21600,21600" o:spt="202" path="m,l,21600r21600,l21600,xe">
              <v:stroke joinstyle="miter"/>
              <v:path gradientshapeok="t" o:connecttype="rect"/>
            </v:shapetype>
            <v:shape id="Text Box 2" o:spid="_x0000_s1039" type="#_x0000_t202" style="position:absolute;margin-left:92.8pt;margin-top:0;width:2in;height:2in;z-index:25167155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3XvSylQCAAAQBQAADgAAAAAAAAAAAAAAAAAuAgAAZHJzL2Uyb0RvYy54bWxQSwECLQAUAAYACAAA&#10;ACEAcarRudcAAAAFAQAADwAAAAAAAAAAAAAAAACuBAAAZHJzL2Rvd25yZXYueG1sUEsFBgAAAAAE&#10;AAQA8wAAALIFAAAAAA==&#10;" filled="f" stroked="f" strokeweight=".5pt">
              <v:textbox style="mso-fit-shape-to-text:t" inset="0,0,0,0">
                <w:txbxContent>
                  <w:p w14:paraId="5551942C" w14:textId="2D7AB3A0" w:rsidR="00E06378" w:rsidRDefault="00E06378">
                    <w:pPr>
                      <w:pStyle w:val="Pieddepage"/>
                    </w:pPr>
                    <w:r>
                      <w:fldChar w:fldCharType="begin"/>
                    </w:r>
                    <w:r>
                      <w:instrText xml:space="preserve"> PAGE  \* MERGEFORMAT </w:instrText>
                    </w:r>
                    <w:r>
                      <w:fldChar w:fldCharType="separate"/>
                    </w:r>
                    <w:r>
                      <w:rPr>
                        <w:noProof/>
                      </w:rPr>
                      <w:t>92</w:t>
                    </w:r>
                    <w:r>
                      <w:fldChar w:fldCharType="end"/>
                    </w:r>
                  </w:p>
                </w:txbxContent>
              </v:textbox>
              <w10:wrap anchorx="margin"/>
            </v:shape>
          </w:pict>
        </mc:Fallback>
      </mc:AlternateContent>
    </w:r>
    <w:sdt>
      <w:sdtPr>
        <w:id w:val="-1219129042"/>
      </w:sdtP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87A6F" w14:textId="77777777" w:rsidR="00E06378" w:rsidRDefault="00E06378">
    <w:pPr>
      <w:pStyle w:val="Pieddepage"/>
    </w:pPr>
    <w:r>
      <w:rPr>
        <w:noProof/>
        <w:lang w:eastAsia="fr-FR"/>
      </w:rPr>
      <mc:AlternateContent>
        <mc:Choice Requires="wps">
          <w:drawing>
            <wp:anchor distT="0" distB="0" distL="114300" distR="114300" simplePos="0" relativeHeight="251665408" behindDoc="0" locked="0" layoutInCell="0" allowOverlap="1" wp14:anchorId="69D34732" wp14:editId="695F40BF">
              <wp:simplePos x="0" y="0"/>
              <wp:positionH relativeFrom="margin">
                <wp:align>right</wp:align>
              </wp:positionH>
              <wp:positionV relativeFrom="paragraph">
                <wp:posOffset>0</wp:posOffset>
              </wp:positionV>
              <wp:extent cx="368300" cy="274320"/>
              <wp:effectExtent l="9525" t="9525" r="12700" b="11430"/>
              <wp:wrapNone/>
              <wp:docPr id="71" name="Carré corné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ln>
                    </wps:spPr>
                    <wps:txbx>
                      <w:txbxContent>
                        <w:p w14:paraId="171DF259" w14:textId="13DB92D1" w:rsidR="00E06378" w:rsidRDefault="00E06378">
                          <w:pPr>
                            <w:jc w:val="center"/>
                          </w:pPr>
                          <w:r>
                            <w:fldChar w:fldCharType="begin"/>
                          </w:r>
                          <w:r>
                            <w:instrText>PAGE    \* MERGEFORMAT</w:instrText>
                          </w:r>
                          <w:r>
                            <w:fldChar w:fldCharType="separate"/>
                          </w:r>
                          <w:r w:rsidRPr="00261767">
                            <w:rPr>
                              <w:noProof/>
                              <w:sz w:val="16"/>
                              <w:szCs w:val="16"/>
                            </w:rPr>
                            <w:t>109</w:t>
                          </w:r>
                          <w:r>
                            <w:rPr>
                              <w:sz w:val="16"/>
                              <w:szCs w:val="16"/>
                            </w:rPr>
                            <w:fldChar w:fldCharType="end"/>
                          </w:r>
                        </w:p>
                      </w:txbxContent>
                    </wps:txbx>
                    <wps:bodyPr rot="0" vert="horz" wrap="square" lIns="0" tIns="0" rIns="0" bIns="0" anchor="t" anchorCtr="0" upright="1">
                      <a:noAutofit/>
                    </wps:bodyPr>
                  </wps:wsp>
                </a:graphicData>
              </a:graphic>
            </wp:anchor>
          </w:drawing>
        </mc:Choice>
        <mc:Fallback>
          <w:pict>
            <v:shapetype w14:anchorId="69D3473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71" o:spid="_x0000_s1040" type="#_x0000_t65" style="position:absolute;margin-left:-22.2pt;margin-top:0;width:29pt;height:21.6pt;z-index:251665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" o:allowincell="f" adj="14135" strokecolor="gray" strokeweight=".25pt">
              <v:textbox inset="0,0,0,0">
                <w:txbxContent>
                  <w:p w14:paraId="171DF259" w14:textId="13DB92D1" w:rsidR="00E06378" w:rsidRDefault="00E06378">
                    <w:pPr>
                      <w:jc w:val="center"/>
                    </w:pPr>
                    <w:r>
                      <w:fldChar w:fldCharType="begin"/>
                    </w:r>
                    <w:r>
                      <w:instrText>PAGE    \* MERGEFORMAT</w:instrText>
                    </w:r>
                    <w:r>
                      <w:fldChar w:fldCharType="separate"/>
                    </w:r>
                    <w:r w:rsidRPr="00261767">
                      <w:rPr>
                        <w:noProof/>
                        <w:sz w:val="16"/>
                        <w:szCs w:val="16"/>
                      </w:rPr>
                      <w:t>109</w:t>
                    </w:r>
                    <w:r>
                      <w:rPr>
                        <w:sz w:val="16"/>
                        <w:szCs w:val="16"/>
                      </w:rPr>
                      <w:fldChar w:fldCharType="end"/>
                    </w:r>
                  </w:p>
                </w:txbxContent>
              </v:textbox>
              <w10:wrap anchorx="margin"/>
            </v:shape>
          </w:pict>
        </mc:Fallback>
      </mc:AlternateContent>
    </w:r>
  </w:p>
  <w:p w14:paraId="5BD23E98" w14:textId="77777777" w:rsidR="00E06378" w:rsidRDefault="00E06378">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941398"/>
      <w:docPartObj>
        <w:docPartGallery w:val="Page Numbers (Bottom of Page)"/>
        <w:docPartUnique/>
      </w:docPartObj>
    </w:sdtPr>
    <w:sdtContent>
      <w:p w14:paraId="1D8C10EE" w14:textId="3863F34E" w:rsidR="00102E79" w:rsidRDefault="00102E79">
        <w:pPr>
          <w:pStyle w:val="Pieddepage"/>
          <w:jc w:val="right"/>
        </w:pPr>
        <w:r>
          <w:fldChar w:fldCharType="begin"/>
        </w:r>
        <w:r>
          <w:instrText>PAGE   \* MERGEFORMAT</w:instrText>
        </w:r>
        <w:r>
          <w:fldChar w:fldCharType="separate"/>
        </w:r>
        <w:r>
          <w:t>2</w:t>
        </w:r>
        <w:r>
          <w:fldChar w:fldCharType="end"/>
        </w:r>
      </w:p>
    </w:sdtContent>
  </w:sdt>
  <w:p w14:paraId="54D30432" w14:textId="5215C41A" w:rsidR="00E06378" w:rsidRDefault="00E06378">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CAC67" w14:textId="77777777" w:rsidR="00E06378" w:rsidRDefault="00E06378">
    <w:pPr>
      <w:pStyle w:val="Pieddepage"/>
      <w:jc w:val="right"/>
    </w:pPr>
    <w:r>
      <w:rPr>
        <w:noProof/>
        <w:lang w:eastAsia="fr-FR"/>
      </w:rPr>
      <mc:AlternateContent>
        <mc:Choice Requires="wps">
          <w:drawing>
            <wp:anchor distT="0" distB="0" distL="114300" distR="114300" simplePos="0" relativeHeight="251668480" behindDoc="0" locked="0" layoutInCell="1" allowOverlap="1" wp14:anchorId="1A6ABAA9" wp14:editId="0B87AA8F">
              <wp:simplePos x="0" y="0"/>
              <wp:positionH relativeFrom="margin">
                <wp:align>right</wp:align>
              </wp:positionH>
              <wp:positionV relativeFrom="paragraph">
                <wp:posOffset>0</wp:posOffset>
              </wp:positionV>
              <wp:extent cx="1828800" cy="18288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6508"/>
                          </w:sdtPr>
                          <w:sdtContent>
                            <w:p w14:paraId="60262AF5" w14:textId="3F494543" w:rsidR="00E06378" w:rsidRDefault="00E06378">
                              <w:pPr>
                                <w:pStyle w:val="Pieddepage"/>
                                <w:jc w:val="right"/>
                              </w:pPr>
                              <w:r>
                                <w:fldChar w:fldCharType="begin"/>
                              </w:r>
                              <w:r>
                                <w:instrText>PAGE   \* MERGEFORMAT</w:instrText>
                              </w:r>
                              <w:r>
                                <w:fldChar w:fldCharType="separate"/>
                              </w:r>
                              <w:r>
                                <w:rPr>
                                  <w:noProof/>
                                </w:rPr>
                                <w:t>164</w:t>
                              </w:r>
                              <w:r>
                                <w:fldChar w:fldCharType="end"/>
                              </w:r>
                            </w:p>
                          </w:sdtContent>
                        </w:sdt>
                        <w:p w14:paraId="40D338BC" w14:textId="77777777" w:rsidR="00E06378" w:rsidRDefault="00E0637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A6ABAA9" id="_x0000_t202" coordsize="21600,21600" o:spt="202" path="m,l,21600r21600,l21600,xe">
              <v:stroke joinstyle="miter"/>
              <v:path gradientshapeok="t" o:connecttype="rect"/>
            </v:shapetype>
            <v:shape id="Text Box 14" o:spid="_x0000_s1041" type="#_x0000_t202" style="position:absolute;left:0;text-align:left;margin-left:92.8pt;margin-top:0;width:2in;height:2in;z-index:25166848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p2agBVQCAAASBQAADgAAAAAAAAAAAAAAAAAuAgAAZHJzL2Uyb0RvYy54bWxQSwECLQAUAAYACAAA&#10;ACEAcarRudcAAAAFAQAADwAAAAAAAAAAAAAAAACuBAAAZHJzL2Rvd25yZXYueG1sUEsFBgAAAAAE&#10;AAQA8wAAALIFAAAAAA==&#10;" filled="f" stroked="f" strokeweight=".5pt">
              <v:textbox style="mso-fit-shape-to-text:t" inset="0,0,0,0">
                <w:txbxContent>
                  <w:sdt>
                    <w:sdtPr>
                      <w:id w:val="147476508"/>
                    </w:sdtPr>
                    <w:sdtContent>
                      <w:p w14:paraId="60262AF5" w14:textId="3F494543" w:rsidR="00E06378" w:rsidRDefault="00E06378">
                        <w:pPr>
                          <w:pStyle w:val="Pieddepage"/>
                          <w:jc w:val="right"/>
                        </w:pPr>
                        <w:r>
                          <w:fldChar w:fldCharType="begin"/>
                        </w:r>
                        <w:r>
                          <w:instrText>PAGE   \* MERGEFORMAT</w:instrText>
                        </w:r>
                        <w:r>
                          <w:fldChar w:fldCharType="separate"/>
                        </w:r>
                        <w:r>
                          <w:rPr>
                            <w:noProof/>
                          </w:rPr>
                          <w:t>164</w:t>
                        </w:r>
                        <w:r>
                          <w:fldChar w:fldCharType="end"/>
                        </w:r>
                      </w:p>
                    </w:sdtContent>
                  </w:sdt>
                  <w:p w14:paraId="40D338BC" w14:textId="77777777" w:rsidR="00E06378" w:rsidRDefault="00E06378"/>
                </w:txbxContent>
              </v:textbox>
              <w10:wrap anchorx="margin"/>
            </v:shape>
          </w:pict>
        </mc:Fallback>
      </mc:AlternateContent>
    </w:r>
  </w:p>
  <w:p w14:paraId="04FEDE36" w14:textId="77777777" w:rsidR="00E06378" w:rsidRDefault="00E06378">
    <w:pPr>
      <w:pStyle w:val="Pieddepag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4E549" w14:textId="77777777" w:rsidR="00E06378" w:rsidRDefault="00E06378">
    <w:pPr>
      <w:pStyle w:val="Pieddepage"/>
      <w:jc w:val="right"/>
    </w:pPr>
    <w:r>
      <w:rPr>
        <w:noProof/>
        <w:lang w:eastAsia="fr-FR"/>
      </w:rPr>
      <mc:AlternateContent>
        <mc:Choice Requires="wps">
          <w:drawing>
            <wp:anchor distT="0" distB="0" distL="114300" distR="114300" simplePos="0" relativeHeight="251669504" behindDoc="0" locked="0" layoutInCell="1" allowOverlap="1" wp14:anchorId="6EA6D629" wp14:editId="1172D52A">
              <wp:simplePos x="0" y="0"/>
              <wp:positionH relativeFrom="margin">
                <wp:align>right</wp:align>
              </wp:positionH>
              <wp:positionV relativeFrom="paragraph">
                <wp:posOffset>0</wp:posOffset>
              </wp:positionV>
              <wp:extent cx="1828800" cy="18288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0150"/>
                          </w:sdtPr>
                          <w:sdtContent>
                            <w:p w14:paraId="126E1F43" w14:textId="5A520C48" w:rsidR="00E06378" w:rsidRDefault="00E06378">
                              <w:pPr>
                                <w:pStyle w:val="Pieddepage"/>
                                <w:jc w:val="right"/>
                              </w:pPr>
                              <w:r>
                                <w:fldChar w:fldCharType="begin"/>
                              </w:r>
                              <w:r>
                                <w:instrText>PAGE   \* MERGEFORMAT</w:instrText>
                              </w:r>
                              <w:r>
                                <w:fldChar w:fldCharType="separate"/>
                              </w:r>
                              <w:r>
                                <w:rPr>
                                  <w:noProof/>
                                </w:rPr>
                                <w:t>171</w:t>
                              </w:r>
                              <w:r>
                                <w:fldChar w:fldCharType="end"/>
                              </w:r>
                            </w:p>
                          </w:sdtContent>
                        </w:sdt>
                        <w:p w14:paraId="7457E055" w14:textId="77777777" w:rsidR="00E06378" w:rsidRDefault="00E06378"/>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EA6D629" id="_x0000_t202" coordsize="21600,21600" o:spt="202" path="m,l,21600r21600,l21600,xe">
              <v:stroke joinstyle="miter"/>
              <v:path gradientshapeok="t" o:connecttype="rect"/>
            </v:shapetype>
            <v:shape id="Text Box 15" o:spid="_x0000_s1042" type="#_x0000_t202" style="position:absolute;left:0;text-align:left;margin-left:92.8pt;margin-top:0;width:2in;height:2in;z-index:25166950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" filled="f" stroked="f" strokeweight=".5pt">
              <v:textbox style="mso-fit-shape-to-text:t" inset="0,0,0,0">
                <w:txbxContent>
                  <w:sdt>
                    <w:sdtPr>
                      <w:id w:val="147480150"/>
                    </w:sdtPr>
                    <w:sdtContent>
                      <w:p w14:paraId="126E1F43" w14:textId="5A520C48" w:rsidR="00E06378" w:rsidRDefault="00E06378">
                        <w:pPr>
                          <w:pStyle w:val="Pieddepage"/>
                          <w:jc w:val="right"/>
                        </w:pPr>
                        <w:r>
                          <w:fldChar w:fldCharType="begin"/>
                        </w:r>
                        <w:r>
                          <w:instrText>PAGE   \* MERGEFORMAT</w:instrText>
                        </w:r>
                        <w:r>
                          <w:fldChar w:fldCharType="separate"/>
                        </w:r>
                        <w:r>
                          <w:rPr>
                            <w:noProof/>
                          </w:rPr>
                          <w:t>171</w:t>
                        </w:r>
                        <w:r>
                          <w:fldChar w:fldCharType="end"/>
                        </w:r>
                      </w:p>
                    </w:sdtContent>
                  </w:sdt>
                  <w:p w14:paraId="7457E055" w14:textId="77777777" w:rsidR="00E06378" w:rsidRDefault="00E06378"/>
                </w:txbxContent>
              </v:textbox>
              <w10:wrap anchorx="margin"/>
            </v:shape>
          </w:pict>
        </mc:Fallback>
      </mc:AlternateContent>
    </w:r>
  </w:p>
  <w:p w14:paraId="70ECF968" w14:textId="77777777" w:rsidR="00E06378" w:rsidRDefault="00E06378">
    <w:pPr>
      <w:pStyle w:val="Pieddepag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D8B2" w14:textId="77777777" w:rsidR="00E06378" w:rsidRDefault="00E06378">
    <w:pPr>
      <w:pStyle w:val="Pieddepage"/>
    </w:pPr>
    <w:r>
      <w:rPr>
        <w:noProof/>
        <w:lang w:eastAsia="fr-FR"/>
      </w:rPr>
      <mc:AlternateContent>
        <mc:Choice Requires="wps">
          <w:drawing>
            <wp:anchor distT="0" distB="0" distL="114300" distR="114300" simplePos="0" relativeHeight="251670528" behindDoc="0" locked="0" layoutInCell="1" allowOverlap="1" wp14:anchorId="7D685FE1" wp14:editId="283340B6">
              <wp:simplePos x="0" y="0"/>
              <wp:positionH relativeFrom="margin">
                <wp:align>right</wp:align>
              </wp:positionH>
              <wp:positionV relativeFrom="paragraph">
                <wp:posOffset>0</wp:posOffset>
              </wp:positionV>
              <wp:extent cx="1828800" cy="18288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E4DD51" w14:textId="086C68DC" w:rsidR="00E06378" w:rsidRDefault="00E06378">
                          <w:pPr>
                            <w:pStyle w:val="Pieddepage"/>
                          </w:pPr>
                          <w:r>
                            <w:fldChar w:fldCharType="begin"/>
                          </w:r>
                          <w:r>
                            <w:instrText xml:space="preserve"> PAGE  \* MERGEFORMAT </w:instrText>
                          </w:r>
                          <w:r>
                            <w:fldChar w:fldCharType="separate"/>
                          </w:r>
                          <w:r>
                            <w:rPr>
                              <w:noProof/>
                            </w:rPr>
                            <w:t>183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685FE1" id="_x0000_t202" coordsize="21600,21600" o:spt="202" path="m,l,21600r21600,l21600,xe">
              <v:stroke joinstyle="miter"/>
              <v:path gradientshapeok="t" o:connecttype="rect"/>
            </v:shapetype>
            <v:shape id="Text Box 37" o:spid="_x0000_s1043" type="#_x0000_t202" style="position:absolute;margin-left:92.8pt;margin-top:0;width:2in;height:2in;z-index:25167052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D/BkuFVAgAAEgUAAA4AAAAAAAAAAAAAAAAALgIAAGRycy9lMm9Eb2MueG1sUEsBAi0AFAAGAAgA&#10;AAAhAHGq0bnXAAAABQEAAA8AAAAAAAAAAAAAAAAArwQAAGRycy9kb3ducmV2LnhtbFBLBQYAAAAA&#10;BAAEAPMAAACzBQAAAAA=&#10;" filled="f" stroked="f" strokeweight=".5pt">
              <v:textbox style="mso-fit-shape-to-text:t" inset="0,0,0,0">
                <w:txbxContent>
                  <w:p w14:paraId="1DE4DD51" w14:textId="086C68DC" w:rsidR="00E06378" w:rsidRDefault="00E06378">
                    <w:pPr>
                      <w:pStyle w:val="Pieddepage"/>
                    </w:pPr>
                    <w:r>
                      <w:fldChar w:fldCharType="begin"/>
                    </w:r>
                    <w:r>
                      <w:instrText xml:space="preserve"> PAGE  \* MERGEFORMAT </w:instrText>
                    </w:r>
                    <w:r>
                      <w:fldChar w:fldCharType="separate"/>
                    </w:r>
                    <w:r>
                      <w:rPr>
                        <w:noProof/>
                      </w:rPr>
                      <w:t>183</w:t>
                    </w:r>
                    <w:r>
                      <w:fldChar w:fldCharType="end"/>
                    </w:r>
                  </w:p>
                </w:txbxContent>
              </v:textbox>
              <w10:wrap anchorx="margin"/>
            </v:shape>
          </w:pict>
        </mc:Fallback>
      </mc:AlternateContent>
    </w:r>
    <w:sdt>
      <w:sdtPr>
        <w:id w:val="-497430485"/>
      </w:sdtP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612F4" w14:textId="77777777" w:rsidR="00E06378" w:rsidRDefault="00E06378">
    <w:pPr>
      <w:pStyle w:val="Pieddepage"/>
    </w:pPr>
    <w:r>
      <w:pict w14:anchorId="55AF2EB1">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2049" type="#_x0000_t65" style="position:absolute;margin-left:-44.4pt;margin-top:0;width:29pt;height:21.6pt;z-index:251664384;mso-position-horizontal:right;mso-position-horizontal-relative:margin;mso-width-relative:page;mso-height-relative:page" o:allowincell="f" adj="14135" strokecolor="gray" strokeweight=".25pt">
          <v:textbox inset="0,0,0,0">
            <w:txbxContent>
              <w:p w14:paraId="252BEDA0" w14:textId="7CF31202" w:rsidR="00E06378" w:rsidRDefault="00E06378">
                <w:pPr>
                  <w:jc w:val="center"/>
                </w:pPr>
                <w:r>
                  <w:fldChar w:fldCharType="begin"/>
                </w:r>
                <w:r>
                  <w:instrText>PAGE    \* MERGEFORMAT</w:instrText>
                </w:r>
                <w:r>
                  <w:fldChar w:fldCharType="separate"/>
                </w:r>
                <w:r w:rsidRPr="00261767">
                  <w:rPr>
                    <w:noProof/>
                    <w:sz w:val="16"/>
                    <w:szCs w:val="16"/>
                  </w:rPr>
                  <w:t>235</w:t>
                </w:r>
                <w:r>
                  <w:rPr>
                    <w:sz w:val="16"/>
                    <w:szCs w:val="16"/>
                  </w:rP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DFCC8" w14:textId="77777777" w:rsidR="00BE636D" w:rsidRDefault="00BE636D">
      <w:pPr>
        <w:spacing w:after="0"/>
      </w:pPr>
      <w:r>
        <w:separator/>
      </w:r>
    </w:p>
  </w:footnote>
  <w:footnote w:type="continuationSeparator" w:id="0">
    <w:p w14:paraId="5A4D1260" w14:textId="77777777" w:rsidR="00BE636D" w:rsidRDefault="00BE636D">
      <w:pPr>
        <w:spacing w:after="0"/>
      </w:pPr>
      <w:r>
        <w:continuationSeparator/>
      </w:r>
    </w:p>
  </w:footnote>
  <w:footnote w:id="1">
    <w:p w14:paraId="4A52193E" w14:textId="77777777" w:rsidR="00E06378" w:rsidRDefault="00E06378">
      <w:pPr>
        <w:pStyle w:val="Notedebasdepage"/>
        <w:rPr>
          <w:rFonts w:ascii="Rockwell" w:hAnsi="Rockwell"/>
          <w:i/>
          <w:sz w:val="18"/>
          <w:szCs w:val="18"/>
        </w:rPr>
      </w:pPr>
      <w:r>
        <w:rPr>
          <w:rStyle w:val="Appelnotedebasdep"/>
        </w:rPr>
        <w:footnoteRef/>
      </w:r>
      <w:r>
        <w:t xml:space="preserve"> </w:t>
      </w:r>
      <w:r>
        <w:rPr>
          <w:rFonts w:ascii="Rockwell" w:hAnsi="Rockwell"/>
          <w:i/>
          <w:sz w:val="18"/>
          <w:szCs w:val="18"/>
        </w:rPr>
        <w:t>Loi organique n°015-2013/AN du 14 mai 2013 portant attributions, composition, organisation et fonctionnement du CSC et de son modificatif, la loi organique n°044-2018/AN du 22 mars 2018.</w:t>
      </w:r>
    </w:p>
    <w:p w14:paraId="4A9F3B89" w14:textId="77777777" w:rsidR="00E06378" w:rsidRDefault="00E06378">
      <w:pPr>
        <w:pStyle w:val="Notedebasdepage"/>
        <w:rPr>
          <w:i/>
          <w:sz w:val="6"/>
          <w:szCs w:val="6"/>
        </w:rPr>
      </w:pPr>
    </w:p>
  </w:footnote>
  <w:footnote w:id="2">
    <w:p w14:paraId="59BBD2B5" w14:textId="77777777" w:rsidR="00E06378" w:rsidRDefault="00E06378">
      <w:pPr>
        <w:pStyle w:val="Notedebasdepage"/>
        <w:rPr>
          <w:rFonts w:ascii="Rockwell" w:hAnsi="Rockwell"/>
          <w:i/>
          <w:sz w:val="18"/>
          <w:szCs w:val="18"/>
        </w:rPr>
      </w:pPr>
      <w:r>
        <w:rPr>
          <w:rStyle w:val="Appelnotedebasdep"/>
          <w:sz w:val="18"/>
          <w:szCs w:val="18"/>
        </w:rPr>
        <w:footnoteRef/>
      </w:r>
      <w:r>
        <w:rPr>
          <w:sz w:val="18"/>
          <w:szCs w:val="18"/>
        </w:rPr>
        <w:t xml:space="preserve"> </w:t>
      </w:r>
      <w:r>
        <w:rPr>
          <w:rFonts w:ascii="Rockwell" w:hAnsi="Rockwell"/>
          <w:i/>
          <w:sz w:val="18"/>
          <w:szCs w:val="18"/>
        </w:rPr>
        <w:t>Loi organique n°041-2023/ALT du 21 novembre 2023 portant attributions, composition, organisation et fonctionnement du CSC.</w:t>
      </w:r>
    </w:p>
  </w:footnote>
  <w:footnote w:id="3">
    <w:p w14:paraId="158F3EBA" w14:textId="77777777" w:rsidR="00E06378" w:rsidRDefault="00E06378">
      <w:pPr>
        <w:pStyle w:val="Notedebasdepage"/>
        <w:rPr>
          <w:rFonts w:ascii="Times New Roman" w:eastAsia="Times New Roman" w:hAnsi="Times New Roman" w:cs="Times New Roman"/>
          <w:i/>
          <w:sz w:val="18"/>
          <w:szCs w:val="18"/>
        </w:rPr>
      </w:pPr>
      <w:r>
        <w:rPr>
          <w:rStyle w:val="Appelnotedebasdep"/>
          <w:rFonts w:ascii="Times New Roman" w:hAnsi="Times New Roman" w:cs="Times New Roman"/>
          <w:sz w:val="22"/>
          <w:szCs w:val="22"/>
        </w:rPr>
        <w:footnoteRef/>
      </w:r>
      <w:r>
        <w:rPr>
          <w:rFonts w:ascii="Times New Roman" w:hAnsi="Times New Roman" w:cs="Times New Roman"/>
          <w:sz w:val="22"/>
          <w:szCs w:val="22"/>
        </w:rPr>
        <w:t xml:space="preserve"> </w:t>
      </w:r>
      <w:r>
        <w:rPr>
          <w:rFonts w:ascii="Times New Roman" w:hAnsi="Times New Roman" w:cs="Times New Roman"/>
          <w:i/>
          <w:sz w:val="18"/>
          <w:szCs w:val="18"/>
        </w:rPr>
        <w:t xml:space="preserve">Loi </w:t>
      </w:r>
      <w:r>
        <w:rPr>
          <w:rFonts w:ascii="Times New Roman" w:eastAsia="Times New Roman" w:hAnsi="Times New Roman" w:cs="Times New Roman"/>
          <w:i/>
          <w:sz w:val="18"/>
          <w:szCs w:val="18"/>
        </w:rPr>
        <w:t xml:space="preserve">organique N° 015-2013/AN portant attributions, composition, organisation et fonctionnement du Conseil supérieur de la communication stipule, article 2 ; </w:t>
      </w:r>
    </w:p>
    <w:p w14:paraId="3366184C" w14:textId="77777777" w:rsidR="00E06378" w:rsidRDefault="00E06378">
      <w:pPr>
        <w:pStyle w:val="Notedebasdepage"/>
        <w:rPr>
          <w:rFonts w:ascii="Times New Roman" w:eastAsia="Times New Roman" w:hAnsi="Times New Roman" w:cs="Times New Roman"/>
          <w:i/>
          <w:sz w:val="6"/>
          <w:szCs w:val="6"/>
        </w:rPr>
      </w:pPr>
    </w:p>
    <w:p w14:paraId="6EBEF452" w14:textId="77777777" w:rsidR="00E06378" w:rsidRDefault="00E06378">
      <w:pPr>
        <w:pStyle w:val="Notedebasdepage"/>
        <w:rPr>
          <w:rFonts w:ascii="Times New Roman" w:hAnsi="Times New Roman" w:cs="Times New Roman"/>
          <w:i/>
        </w:rPr>
      </w:pPr>
      <w:r>
        <w:rPr>
          <w:rFonts w:ascii="Times New Roman" w:hAnsi="Times New Roman" w:cs="Times New Roman"/>
          <w:i/>
          <w:sz w:val="18"/>
          <w:szCs w:val="18"/>
        </w:rPr>
        <w:t>Loi n° 080-2015/CNT du 23 novembre 2015 portant règlementation de la publicité au Burkina Faso, article 4</w:t>
      </w:r>
    </w:p>
  </w:footnote>
  <w:footnote w:id="4">
    <w:p w14:paraId="2EAFF064" w14:textId="77777777" w:rsidR="00E06378" w:rsidRDefault="00E06378">
      <w:pPr>
        <w:pStyle w:val="Notedebasdepage"/>
        <w:jc w:val="both"/>
        <w:rPr>
          <w:rFonts w:ascii="Rockwell" w:hAnsi="Rockwell"/>
          <w:i/>
          <w:sz w:val="18"/>
          <w:szCs w:val="18"/>
        </w:rPr>
      </w:pPr>
      <w:r>
        <w:rPr>
          <w:rStyle w:val="Appelnotedebasdep"/>
        </w:rPr>
        <w:footnoteRef/>
      </w:r>
      <w:r>
        <w:t xml:space="preserve"> </w:t>
      </w:r>
      <w:r>
        <w:rPr>
          <w:rFonts w:ascii="Rockwell" w:hAnsi="Rockwell"/>
          <w:i/>
          <w:sz w:val="18"/>
          <w:szCs w:val="18"/>
        </w:rPr>
        <w:t>Lois 057 et 058 portant respectivement régime juridique de la presse écrite et de la presse en ligne</w:t>
      </w:r>
    </w:p>
    <w:p w14:paraId="2EA5F6E2" w14:textId="77777777" w:rsidR="00E06378" w:rsidRDefault="00E06378">
      <w:pPr>
        <w:pStyle w:val="Notedebasdepage"/>
        <w:rPr>
          <w:i/>
          <w:sz w:val="4"/>
          <w:szCs w:val="4"/>
        </w:rPr>
      </w:pPr>
    </w:p>
  </w:footnote>
  <w:footnote w:id="5">
    <w:p w14:paraId="2FFD0BAD" w14:textId="77777777" w:rsidR="00E06378" w:rsidRDefault="00E06378">
      <w:pPr>
        <w:pStyle w:val="Notedebasdepage"/>
        <w:jc w:val="both"/>
        <w:rPr>
          <w:i/>
        </w:rPr>
      </w:pPr>
      <w:r>
        <w:rPr>
          <w:rStyle w:val="Appelnotedebasdep"/>
          <w:sz w:val="18"/>
          <w:szCs w:val="18"/>
        </w:rPr>
        <w:footnoteRef/>
      </w:r>
      <w:r>
        <w:rPr>
          <w:sz w:val="18"/>
          <w:szCs w:val="18"/>
        </w:rPr>
        <w:t xml:space="preserve"> </w:t>
      </w:r>
      <w:r>
        <w:rPr>
          <w:i/>
          <w:sz w:val="18"/>
          <w:szCs w:val="18"/>
        </w:rPr>
        <w:t xml:space="preserve">Loi </w:t>
      </w:r>
      <w:r>
        <w:rPr>
          <w:rFonts w:ascii="Rockwell" w:hAnsi="Rockwell"/>
          <w:i/>
          <w:sz w:val="18"/>
          <w:szCs w:val="18"/>
        </w:rPr>
        <w:t>n° 080-2015/CNT du 23 novembre 2015 portant règlementation de la publicité au Burkina Faso et le décret n° 2017-0458/PRES/PM/MCRP/MINEFID/MCIA portant définition des conditions et des règles applicables à l’exercice des professions publicitaires</w:t>
      </w:r>
    </w:p>
  </w:footnote>
  <w:footnote w:id="6">
    <w:p w14:paraId="19B5C1F1" w14:textId="118A9F40" w:rsidR="00E06378" w:rsidRDefault="00E06378">
      <w:pPr>
        <w:pStyle w:val="Notedebasdepage"/>
        <w:rPr>
          <w:rFonts w:ascii="Rockwell" w:eastAsia="Calibri" w:hAnsi="Rockwell" w:cs="Times New Roman"/>
          <w:i/>
          <w:sz w:val="18"/>
          <w:szCs w:val="18"/>
          <w:lang w:eastAsia="fr-FR"/>
        </w:rPr>
      </w:pPr>
      <w:r>
        <w:rPr>
          <w:rStyle w:val="Appelnotedebasdep"/>
          <w:color w:val="0070C0"/>
        </w:rPr>
        <w:footnoteRef/>
      </w:r>
      <w:r>
        <w:rPr>
          <w:color w:val="0070C0"/>
        </w:rPr>
        <w:t xml:space="preserve"> </w:t>
      </w:r>
      <w:r>
        <w:rPr>
          <w:rFonts w:ascii="Rockwell" w:eastAsia="Calibri" w:hAnsi="Rockwell" w:cs="Times New Roman"/>
          <w:i/>
          <w:sz w:val="18"/>
          <w:szCs w:val="18"/>
          <w:lang w:eastAsia="fr-FR"/>
        </w:rPr>
        <w:t>MATDC, Communiqué administratif n°2020-00018/MATDC/SG/DGLPAP/DLFSPP DU 14 SEPTEMBRE 2020</w:t>
      </w:r>
      <w:r w:rsidR="00866BAD">
        <w:rPr>
          <w:rFonts w:ascii="Rockwell" w:eastAsia="Calibri" w:hAnsi="Rockwell" w:cs="Times New Roman"/>
          <w:i/>
          <w:sz w:val="18"/>
          <w:szCs w:val="18"/>
          <w:lang w:eastAsia="fr-FR"/>
        </w:rPr>
        <w:t>.</w:t>
      </w:r>
    </w:p>
    <w:p w14:paraId="6CDE0913" w14:textId="77777777" w:rsidR="00E06378" w:rsidRDefault="00E06378">
      <w:pPr>
        <w:pStyle w:val="Notedebasdepage"/>
      </w:pPr>
    </w:p>
  </w:footnote>
  <w:footnote w:id="7">
    <w:p w14:paraId="1D0F0588" w14:textId="77777777" w:rsidR="00E06378" w:rsidRDefault="00E06378">
      <w:pPr>
        <w:pStyle w:val="Notedebasdepage"/>
        <w:rPr>
          <w:i/>
          <w:sz w:val="18"/>
          <w:szCs w:val="18"/>
        </w:rPr>
      </w:pPr>
      <w:r>
        <w:rPr>
          <w:rStyle w:val="Appelnotedebasdep"/>
        </w:rPr>
        <w:footnoteRef/>
      </w:r>
      <w:r>
        <w:t xml:space="preserve"> </w:t>
      </w:r>
      <w:r>
        <w:rPr>
          <w:rFonts w:ascii="Rockwell" w:eastAsia="Times New Roman" w:hAnsi="Rockwell"/>
          <w:sz w:val="24"/>
          <w:szCs w:val="24"/>
        </w:rPr>
        <w:t xml:space="preserve"> </w:t>
      </w:r>
      <w:r>
        <w:rPr>
          <w:rFonts w:ascii="Rockwell" w:eastAsia="Times New Roman" w:hAnsi="Rockwell"/>
          <w:i/>
          <w:sz w:val="18"/>
          <w:szCs w:val="18"/>
        </w:rPr>
        <w:t>Loi n°057-2015/ CNT du 04 septembre 2015 portant régime juridique de la presse écrite au Burkina Faso</w:t>
      </w:r>
    </w:p>
  </w:footnote>
  <w:footnote w:id="8">
    <w:p w14:paraId="6453EDF9" w14:textId="77777777" w:rsidR="00E06378" w:rsidRDefault="00E06378">
      <w:pPr>
        <w:pStyle w:val="Notedebasdepage"/>
        <w:rPr>
          <w:color w:val="FF0000"/>
        </w:rPr>
      </w:pPr>
      <w:r>
        <w:rPr>
          <w:rStyle w:val="Appelnotedebasdep"/>
          <w:sz w:val="18"/>
          <w:szCs w:val="18"/>
        </w:rPr>
        <w:footnoteRef/>
      </w:r>
      <w:r>
        <w:rPr>
          <w:sz w:val="18"/>
          <w:szCs w:val="18"/>
        </w:rPr>
        <w:t xml:space="preserve"> </w:t>
      </w:r>
      <w:r>
        <w:rPr>
          <w:rFonts w:ascii="Rockwell" w:hAnsi="Rockwell"/>
          <w:i/>
          <w:sz w:val="18"/>
          <w:szCs w:val="18"/>
        </w:rPr>
        <w:t>La Constitution du 02 juin 1991</w:t>
      </w:r>
      <w:r>
        <w:rPr>
          <w:rFonts w:ascii="Rockwell" w:hAnsi="Rockwell"/>
          <w:i/>
          <w:sz w:val="22"/>
          <w:szCs w:val="22"/>
        </w:rPr>
        <w:t>.</w:t>
      </w:r>
    </w:p>
  </w:footnote>
  <w:footnote w:id="9">
    <w:p w14:paraId="02DD52CF" w14:textId="77777777" w:rsidR="00E06378" w:rsidRDefault="00E06378">
      <w:pPr>
        <w:pStyle w:val="Notedebasdepage"/>
        <w:numPr>
          <w:ilvl w:val="0"/>
          <w:numId w:val="1"/>
        </w:numPr>
        <w:ind w:left="426"/>
        <w:jc w:val="both"/>
        <w:rPr>
          <w:rFonts w:ascii="Rockwell" w:hAnsi="Rockwell"/>
          <w:i/>
          <w:sz w:val="18"/>
          <w:szCs w:val="18"/>
        </w:rPr>
      </w:pPr>
      <w:r>
        <w:rPr>
          <w:rStyle w:val="Appelnotedebasdep"/>
        </w:rPr>
        <w:footnoteRef/>
      </w:r>
      <w:r>
        <w:t xml:space="preserve"> </w:t>
      </w:r>
      <w:r>
        <w:rPr>
          <w:rFonts w:ascii="Rockwell" w:hAnsi="Rockwell"/>
          <w:i/>
          <w:sz w:val="18"/>
          <w:szCs w:val="18"/>
        </w:rPr>
        <w:t xml:space="preserve">La Charte de bonne conduite des médias confessionnels dans le contexte de la crise </w:t>
      </w:r>
    </w:p>
    <w:p w14:paraId="7FBE9182" w14:textId="77777777" w:rsidR="00E06378" w:rsidRDefault="00E06378">
      <w:pPr>
        <w:pStyle w:val="Notedebasdepage"/>
        <w:ind w:left="426"/>
        <w:jc w:val="both"/>
        <w:rPr>
          <w:rFonts w:ascii="Rockwell" w:hAnsi="Rockwell"/>
          <w:i/>
          <w:sz w:val="18"/>
          <w:szCs w:val="18"/>
        </w:rPr>
      </w:pPr>
      <w:r>
        <w:rPr>
          <w:i/>
          <w:sz w:val="18"/>
          <w:szCs w:val="18"/>
        </w:rPr>
        <w:t xml:space="preserve">   </w:t>
      </w:r>
      <w:proofErr w:type="gramStart"/>
      <w:r>
        <w:rPr>
          <w:rFonts w:ascii="Rockwell" w:hAnsi="Rockwell"/>
          <w:i/>
          <w:sz w:val="18"/>
          <w:szCs w:val="18"/>
        </w:rPr>
        <w:t>sécuritaire</w:t>
      </w:r>
      <w:proofErr w:type="gramEnd"/>
      <w:r>
        <w:rPr>
          <w:rFonts w:ascii="Rockwell" w:hAnsi="Rockwell"/>
          <w:i/>
          <w:sz w:val="18"/>
          <w:szCs w:val="18"/>
        </w:rPr>
        <w:t>, des tensions sociales et de la Transition politique ;</w:t>
      </w:r>
    </w:p>
    <w:p w14:paraId="4CE11EEA" w14:textId="77777777" w:rsidR="00E06378" w:rsidRDefault="00E06378">
      <w:pPr>
        <w:pStyle w:val="Notedebasdepage"/>
        <w:ind w:left="426"/>
        <w:jc w:val="both"/>
        <w:rPr>
          <w:rFonts w:ascii="Rockwell" w:hAnsi="Rockwell"/>
          <w:i/>
          <w:sz w:val="18"/>
          <w:szCs w:val="18"/>
        </w:rPr>
      </w:pPr>
    </w:p>
    <w:p w14:paraId="736BDD22" w14:textId="77777777" w:rsidR="00E06378" w:rsidRDefault="00E06378">
      <w:pPr>
        <w:pStyle w:val="Notedebasdepage"/>
        <w:numPr>
          <w:ilvl w:val="0"/>
          <w:numId w:val="1"/>
        </w:numPr>
        <w:ind w:left="426"/>
        <w:jc w:val="both"/>
        <w:rPr>
          <w:i/>
          <w:sz w:val="18"/>
          <w:szCs w:val="18"/>
        </w:rPr>
      </w:pPr>
      <w:r>
        <w:rPr>
          <w:rFonts w:ascii="Rockwell" w:hAnsi="Rockwell"/>
          <w:i/>
          <w:sz w:val="18"/>
          <w:szCs w:val="18"/>
        </w:rPr>
        <w:t xml:space="preserve">   Le Guide de gestion des contenus médiatiques à caractère confessionnel dans les médias non </w:t>
      </w:r>
    </w:p>
    <w:p w14:paraId="0C0F514C" w14:textId="77777777" w:rsidR="00E06378" w:rsidRDefault="00E06378">
      <w:pPr>
        <w:pStyle w:val="Notedebasdepage"/>
        <w:ind w:left="426"/>
        <w:jc w:val="both"/>
        <w:rPr>
          <w:i/>
        </w:rPr>
      </w:pPr>
      <w:r>
        <w:rPr>
          <w:rFonts w:ascii="Rockwell" w:hAnsi="Rockwell"/>
          <w:i/>
          <w:sz w:val="18"/>
          <w:szCs w:val="18"/>
        </w:rPr>
        <w:t xml:space="preserve">   </w:t>
      </w:r>
      <w:proofErr w:type="gramStart"/>
      <w:r>
        <w:rPr>
          <w:rFonts w:ascii="Rockwell" w:hAnsi="Rockwell"/>
          <w:i/>
          <w:sz w:val="18"/>
          <w:szCs w:val="18"/>
        </w:rPr>
        <w:t>confessionnels</w:t>
      </w:r>
      <w:proofErr w:type="gramEnd"/>
      <w:r>
        <w:rPr>
          <w:i/>
        </w:rPr>
        <w:t>.</w:t>
      </w:r>
    </w:p>
  </w:footnote>
  <w:footnote w:id="10">
    <w:p w14:paraId="42AE9279" w14:textId="77777777" w:rsidR="00E06378" w:rsidRDefault="00E06378">
      <w:pPr>
        <w:pStyle w:val="Notedebasdepage"/>
        <w:numPr>
          <w:ilvl w:val="0"/>
          <w:numId w:val="2"/>
        </w:numPr>
        <w:spacing w:line="276" w:lineRule="auto"/>
        <w:rPr>
          <w:rFonts w:ascii="Rockwell" w:hAnsi="Rockwell"/>
          <w:i/>
          <w:sz w:val="18"/>
          <w:szCs w:val="18"/>
        </w:rPr>
      </w:pPr>
      <w:r>
        <w:rPr>
          <w:rStyle w:val="Appelnotedebasdep"/>
          <w:rFonts w:ascii="Rockwell" w:hAnsi="Rockwell"/>
        </w:rPr>
        <w:footnoteRef/>
      </w:r>
      <w:r>
        <w:rPr>
          <w:rFonts w:ascii="Rockwell" w:hAnsi="Rockwell"/>
        </w:rPr>
        <w:t xml:space="preserve"> </w:t>
      </w:r>
      <w:proofErr w:type="gramStart"/>
      <w:r>
        <w:rPr>
          <w:rFonts w:ascii="Rockwell" w:hAnsi="Rockwell"/>
          <w:i/>
          <w:sz w:val="18"/>
          <w:szCs w:val="18"/>
        </w:rPr>
        <w:t>les</w:t>
      </w:r>
      <w:proofErr w:type="gramEnd"/>
      <w:r>
        <w:rPr>
          <w:rFonts w:ascii="Rockwell" w:hAnsi="Rockwell"/>
          <w:i/>
          <w:sz w:val="18"/>
          <w:szCs w:val="18"/>
        </w:rPr>
        <w:t xml:space="preserve"> dix (10) conseils aux citoyens burkinabè pour des comportements responsables sur les réseaux sociaux et dans les émissions d’expression directe ;</w:t>
      </w:r>
    </w:p>
    <w:p w14:paraId="3E35F8D5" w14:textId="77777777" w:rsidR="00E06378" w:rsidRDefault="00E06378">
      <w:pPr>
        <w:pStyle w:val="Notedebasdepage"/>
        <w:numPr>
          <w:ilvl w:val="0"/>
          <w:numId w:val="2"/>
        </w:numPr>
        <w:spacing w:line="276" w:lineRule="auto"/>
        <w:rPr>
          <w:rFonts w:ascii="Rockwell" w:hAnsi="Rockwell"/>
          <w:i/>
          <w:sz w:val="18"/>
          <w:szCs w:val="18"/>
        </w:rPr>
      </w:pPr>
      <w:proofErr w:type="gramStart"/>
      <w:r>
        <w:rPr>
          <w:rFonts w:ascii="Rockwell" w:hAnsi="Rockwell"/>
          <w:i/>
          <w:sz w:val="18"/>
          <w:szCs w:val="18"/>
        </w:rPr>
        <w:t>les</w:t>
      </w:r>
      <w:proofErr w:type="gramEnd"/>
      <w:r>
        <w:rPr>
          <w:rFonts w:ascii="Rockwell" w:hAnsi="Rockwell"/>
          <w:i/>
          <w:sz w:val="18"/>
          <w:szCs w:val="18"/>
        </w:rPr>
        <w:t xml:space="preserve"> sept (07) points d’attention à l’endroit des responsables des médias et des journalistes ;</w:t>
      </w:r>
    </w:p>
    <w:p w14:paraId="3797EB28" w14:textId="77777777" w:rsidR="00E06378" w:rsidRDefault="00E06378">
      <w:pPr>
        <w:pStyle w:val="Notedebasdepage"/>
        <w:numPr>
          <w:ilvl w:val="0"/>
          <w:numId w:val="2"/>
        </w:numPr>
        <w:spacing w:line="276" w:lineRule="auto"/>
        <w:rPr>
          <w:rFonts w:ascii="Rockwell" w:hAnsi="Rockwell"/>
          <w:sz w:val="18"/>
          <w:szCs w:val="18"/>
        </w:rPr>
      </w:pPr>
      <w:proofErr w:type="gramStart"/>
      <w:r>
        <w:rPr>
          <w:rFonts w:ascii="Rockwell" w:hAnsi="Rockwell"/>
          <w:i/>
          <w:sz w:val="18"/>
          <w:szCs w:val="18"/>
        </w:rPr>
        <w:t>le</w:t>
      </w:r>
      <w:proofErr w:type="gramEnd"/>
      <w:r>
        <w:rPr>
          <w:rFonts w:ascii="Rockwell" w:hAnsi="Rockwell"/>
          <w:i/>
          <w:sz w:val="18"/>
          <w:szCs w:val="18"/>
        </w:rPr>
        <w:t xml:space="preserve"> Guide de gestion des émissions à caractère confessionnel dans les médias non confessionnels </w:t>
      </w:r>
      <w:r>
        <w:rPr>
          <w:rFonts w:ascii="Rockwell" w:hAnsi="Rockwell"/>
          <w:sz w:val="18"/>
          <w:szCs w:val="18"/>
        </w:rPr>
        <w:t>;</w:t>
      </w:r>
    </w:p>
    <w:p w14:paraId="5A2526F6" w14:textId="77777777" w:rsidR="00E06378" w:rsidRDefault="00E06378">
      <w:pPr>
        <w:pStyle w:val="Notedebasdepage"/>
        <w:numPr>
          <w:ilvl w:val="0"/>
          <w:numId w:val="2"/>
        </w:numPr>
        <w:spacing w:line="276" w:lineRule="auto"/>
        <w:rPr>
          <w:rFonts w:ascii="Rockwell" w:hAnsi="Rockwell"/>
          <w:sz w:val="18"/>
          <w:szCs w:val="18"/>
        </w:rPr>
      </w:pPr>
      <w:proofErr w:type="gramStart"/>
      <w:r>
        <w:rPr>
          <w:rFonts w:ascii="Rockwell" w:eastAsia="Arial Narrow" w:hAnsi="Rockwell" w:cs="Times New Roman"/>
          <w:i/>
          <w:sz w:val="18"/>
          <w:szCs w:val="18"/>
        </w:rPr>
        <w:t>la</w:t>
      </w:r>
      <w:proofErr w:type="gramEnd"/>
      <w:r>
        <w:rPr>
          <w:rFonts w:ascii="Rockwell" w:eastAsia="Arial Narrow" w:hAnsi="Rockwell" w:cs="Times New Roman"/>
          <w:i/>
          <w:sz w:val="18"/>
          <w:szCs w:val="18"/>
        </w:rPr>
        <w:t xml:space="preserve"> Charte de bonne conduite des médias confessionnels dans un contexte de crise sécuritaire et de tensions sociales.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66012"/>
    <w:multiLevelType w:val="multilevel"/>
    <w:tmpl w:val="01166012"/>
    <w:lvl w:ilvl="0">
      <w:start w:val="1"/>
      <w:numFmt w:val="bullet"/>
      <w:lvlText w:val="-"/>
      <w:lvlJc w:val="left"/>
      <w:pPr>
        <w:ind w:left="360" w:hanging="360"/>
      </w:pPr>
      <w:rPr>
        <w:rFonts w:ascii="Times New Roman" w:eastAsia="Times New Roman" w:hAnsi="Times New Roman" w:cs="Times New Roman"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1832130"/>
    <w:multiLevelType w:val="multilevel"/>
    <w:tmpl w:val="01832130"/>
    <w:lvl w:ilvl="0">
      <w:start w:val="89"/>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DD33C5"/>
    <w:multiLevelType w:val="multilevel"/>
    <w:tmpl w:val="04DD33C5"/>
    <w:lvl w:ilvl="0">
      <w:numFmt w:val="bullet"/>
      <w:lvlText w:val="-"/>
      <w:lvlJc w:val="left"/>
      <w:pPr>
        <w:tabs>
          <w:tab w:val="left" w:pos="720"/>
        </w:tabs>
        <w:ind w:left="720" w:hanging="360"/>
      </w:pPr>
      <w:rPr>
        <w:rFonts w:ascii="Calibri" w:eastAsiaTheme="minorHAnsi" w:hAnsi="Calibri" w:cs="Calibri"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3" w15:restartNumberingAfterBreak="0">
    <w:nsid w:val="05762CF3"/>
    <w:multiLevelType w:val="multilevel"/>
    <w:tmpl w:val="05762CF3"/>
    <w:lvl w:ilvl="0">
      <w:numFmt w:val="bullet"/>
      <w:lvlText w:val="-"/>
      <w:lvlJc w:val="left"/>
      <w:pPr>
        <w:ind w:left="360" w:hanging="360"/>
      </w:pPr>
      <w:rPr>
        <w:rFonts w:ascii="Calibri" w:eastAsiaTheme="minorHAnsi" w:hAnsi="Calibri" w:cs="Calibri"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07A74C6D"/>
    <w:multiLevelType w:val="multilevel"/>
    <w:tmpl w:val="07A74C6D"/>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7D232C7"/>
    <w:multiLevelType w:val="multilevel"/>
    <w:tmpl w:val="07D232C7"/>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EE6111"/>
    <w:multiLevelType w:val="multilevel"/>
    <w:tmpl w:val="07EE6111"/>
    <w:lvl w:ilvl="0">
      <w:numFmt w:val="bullet"/>
      <w:lvlText w:val="-"/>
      <w:lvlJc w:val="left"/>
      <w:pPr>
        <w:ind w:left="107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93A18B2"/>
    <w:multiLevelType w:val="multilevel"/>
    <w:tmpl w:val="093A18B2"/>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A6A454F"/>
    <w:multiLevelType w:val="multilevel"/>
    <w:tmpl w:val="0A6A454F"/>
    <w:lvl w:ilvl="0">
      <w:start w:val="2"/>
      <w:numFmt w:val="decimal"/>
      <w:lvlText w:val="%1."/>
      <w:lvlJc w:val="left"/>
      <w:pPr>
        <w:ind w:left="420" w:hanging="420"/>
      </w:pPr>
      <w:rPr>
        <w:rFonts w:cstheme="majorBidi" w:hint="default"/>
      </w:rPr>
    </w:lvl>
    <w:lvl w:ilvl="1">
      <w:start w:val="3"/>
      <w:numFmt w:val="decimal"/>
      <w:lvlText w:val="%1.%2."/>
      <w:lvlJc w:val="left"/>
      <w:pPr>
        <w:ind w:left="862" w:hanging="720"/>
      </w:pPr>
      <w:rPr>
        <w:rFonts w:cstheme="majorBidi" w:hint="default"/>
      </w:rPr>
    </w:lvl>
    <w:lvl w:ilvl="2">
      <w:start w:val="1"/>
      <w:numFmt w:val="decimal"/>
      <w:lvlText w:val="%1.%2.%3."/>
      <w:lvlJc w:val="left"/>
      <w:pPr>
        <w:ind w:left="1080" w:hanging="1080"/>
      </w:pPr>
      <w:rPr>
        <w:rFonts w:cstheme="majorBidi" w:hint="default"/>
      </w:rPr>
    </w:lvl>
    <w:lvl w:ilvl="3">
      <w:start w:val="1"/>
      <w:numFmt w:val="decimal"/>
      <w:lvlText w:val="%1.%2.%3.%4."/>
      <w:lvlJc w:val="left"/>
      <w:pPr>
        <w:ind w:left="1080" w:hanging="1080"/>
      </w:pPr>
      <w:rPr>
        <w:rFonts w:cstheme="majorBidi" w:hint="default"/>
      </w:rPr>
    </w:lvl>
    <w:lvl w:ilvl="4">
      <w:start w:val="1"/>
      <w:numFmt w:val="decimal"/>
      <w:lvlText w:val="%1.%2.%3.%4.%5."/>
      <w:lvlJc w:val="left"/>
      <w:pPr>
        <w:ind w:left="1440" w:hanging="1440"/>
      </w:pPr>
      <w:rPr>
        <w:rFonts w:cstheme="majorBidi" w:hint="default"/>
      </w:rPr>
    </w:lvl>
    <w:lvl w:ilvl="5">
      <w:start w:val="1"/>
      <w:numFmt w:val="decimal"/>
      <w:lvlText w:val="%1.%2.%3.%4.%5.%6."/>
      <w:lvlJc w:val="left"/>
      <w:pPr>
        <w:ind w:left="1800" w:hanging="1800"/>
      </w:pPr>
      <w:rPr>
        <w:rFonts w:cstheme="majorBidi" w:hint="default"/>
      </w:rPr>
    </w:lvl>
    <w:lvl w:ilvl="6">
      <w:start w:val="1"/>
      <w:numFmt w:val="decimal"/>
      <w:lvlText w:val="%1.%2.%3.%4.%5.%6.%7."/>
      <w:lvlJc w:val="left"/>
      <w:pPr>
        <w:ind w:left="1800" w:hanging="1800"/>
      </w:pPr>
      <w:rPr>
        <w:rFonts w:cstheme="majorBidi" w:hint="default"/>
      </w:rPr>
    </w:lvl>
    <w:lvl w:ilvl="7">
      <w:start w:val="1"/>
      <w:numFmt w:val="decimal"/>
      <w:lvlText w:val="%1.%2.%3.%4.%5.%6.%7.%8."/>
      <w:lvlJc w:val="left"/>
      <w:pPr>
        <w:ind w:left="2160" w:hanging="2160"/>
      </w:pPr>
      <w:rPr>
        <w:rFonts w:cstheme="majorBidi" w:hint="default"/>
      </w:rPr>
    </w:lvl>
    <w:lvl w:ilvl="8">
      <w:start w:val="1"/>
      <w:numFmt w:val="decimal"/>
      <w:lvlText w:val="%1.%2.%3.%4.%5.%6.%7.%8.%9."/>
      <w:lvlJc w:val="left"/>
      <w:pPr>
        <w:ind w:left="2520" w:hanging="2520"/>
      </w:pPr>
      <w:rPr>
        <w:rFonts w:cstheme="majorBidi" w:hint="default"/>
      </w:rPr>
    </w:lvl>
  </w:abstractNum>
  <w:abstractNum w:abstractNumId="9" w15:restartNumberingAfterBreak="0">
    <w:nsid w:val="0CA54776"/>
    <w:multiLevelType w:val="multilevel"/>
    <w:tmpl w:val="0CA54776"/>
    <w:lvl w:ilvl="0">
      <w:start w:val="2"/>
      <w:numFmt w:val="decimal"/>
      <w:lvlText w:val="%1."/>
      <w:lvlJc w:val="left"/>
      <w:pPr>
        <w:ind w:left="450" w:hanging="45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10F83D1C"/>
    <w:multiLevelType w:val="multilevel"/>
    <w:tmpl w:val="10F83D1C"/>
    <w:lvl w:ilvl="0">
      <w:start w:val="1"/>
      <w:numFmt w:val="upperLetter"/>
      <w:lvlText w:val="%1."/>
      <w:lvlJc w:val="left"/>
      <w:pPr>
        <w:ind w:left="1437" w:hanging="360"/>
      </w:pPr>
      <w:rPr>
        <w:rFonts w:hint="default"/>
        <w:b/>
      </w:rPr>
    </w:lvl>
    <w:lvl w:ilvl="1">
      <w:start w:val="1"/>
      <w:numFmt w:val="lowerLetter"/>
      <w:lvlText w:val="%2."/>
      <w:lvlJc w:val="left"/>
      <w:pPr>
        <w:ind w:left="2157" w:hanging="360"/>
      </w:pPr>
    </w:lvl>
    <w:lvl w:ilvl="2">
      <w:start w:val="1"/>
      <w:numFmt w:val="lowerRoman"/>
      <w:lvlText w:val="%3."/>
      <w:lvlJc w:val="right"/>
      <w:pPr>
        <w:ind w:left="2877" w:hanging="180"/>
      </w:pPr>
    </w:lvl>
    <w:lvl w:ilvl="3">
      <w:start w:val="1"/>
      <w:numFmt w:val="decimal"/>
      <w:lvlText w:val="%4."/>
      <w:lvlJc w:val="left"/>
      <w:pPr>
        <w:ind w:left="3597" w:hanging="360"/>
      </w:pPr>
    </w:lvl>
    <w:lvl w:ilvl="4">
      <w:start w:val="1"/>
      <w:numFmt w:val="lowerLetter"/>
      <w:lvlText w:val="%5."/>
      <w:lvlJc w:val="left"/>
      <w:pPr>
        <w:ind w:left="4317" w:hanging="360"/>
      </w:pPr>
    </w:lvl>
    <w:lvl w:ilvl="5">
      <w:start w:val="1"/>
      <w:numFmt w:val="lowerRoman"/>
      <w:lvlText w:val="%6."/>
      <w:lvlJc w:val="right"/>
      <w:pPr>
        <w:ind w:left="5037" w:hanging="180"/>
      </w:pPr>
    </w:lvl>
    <w:lvl w:ilvl="6">
      <w:start w:val="1"/>
      <w:numFmt w:val="decimal"/>
      <w:lvlText w:val="%7."/>
      <w:lvlJc w:val="left"/>
      <w:pPr>
        <w:ind w:left="5757" w:hanging="360"/>
      </w:pPr>
    </w:lvl>
    <w:lvl w:ilvl="7">
      <w:start w:val="1"/>
      <w:numFmt w:val="lowerLetter"/>
      <w:lvlText w:val="%8."/>
      <w:lvlJc w:val="left"/>
      <w:pPr>
        <w:ind w:left="6477" w:hanging="360"/>
      </w:pPr>
    </w:lvl>
    <w:lvl w:ilvl="8">
      <w:start w:val="1"/>
      <w:numFmt w:val="lowerRoman"/>
      <w:lvlText w:val="%9."/>
      <w:lvlJc w:val="right"/>
      <w:pPr>
        <w:ind w:left="7197" w:hanging="180"/>
      </w:pPr>
    </w:lvl>
  </w:abstractNum>
  <w:abstractNum w:abstractNumId="11" w15:restartNumberingAfterBreak="0">
    <w:nsid w:val="11576632"/>
    <w:multiLevelType w:val="multilevel"/>
    <w:tmpl w:val="11576632"/>
    <w:lvl w:ilvl="0">
      <w:start w:val="1"/>
      <w:numFmt w:val="decimal"/>
      <w:lvlText w:val="%1."/>
      <w:lvlJc w:val="left"/>
      <w:pPr>
        <w:ind w:left="1080" w:hanging="36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14A107B7"/>
    <w:multiLevelType w:val="multilevel"/>
    <w:tmpl w:val="14A107B7"/>
    <w:lvl w:ilvl="0">
      <w:numFmt w:val="bullet"/>
      <w:lvlText w:val="-"/>
      <w:lvlJc w:val="left"/>
      <w:pPr>
        <w:ind w:left="1440" w:hanging="360"/>
      </w:pPr>
      <w:rPr>
        <w:rFonts w:ascii="Arial Narrow" w:eastAsia="Times New Roman" w:hAnsi="Arial Narrow"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 w15:restartNumberingAfterBreak="0">
    <w:nsid w:val="18D9617C"/>
    <w:multiLevelType w:val="multilevel"/>
    <w:tmpl w:val="18D9617C"/>
    <w:lvl w:ilvl="0">
      <w:start w:val="1"/>
      <w:numFmt w:val="decimal"/>
      <w:lvlText w:val="%1)"/>
      <w:lvlJc w:val="left"/>
      <w:pPr>
        <w:ind w:left="720" w:hanging="360"/>
      </w:pPr>
      <w:rPr>
        <w:rFonts w:ascii="Times New Roman" w:eastAsiaTheme="minorHAnsi" w:hAnsi="Times New Roman" w:cstheme="minorBid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8EB1526"/>
    <w:multiLevelType w:val="multilevel"/>
    <w:tmpl w:val="18EB1526"/>
    <w:lvl w:ilvl="0">
      <w:start w:val="1"/>
      <w:numFmt w:val="upperLetter"/>
      <w:lvlText w:val="%1."/>
      <w:lvlJc w:val="left"/>
      <w:pPr>
        <w:ind w:left="717" w:hanging="360"/>
      </w:pPr>
      <w:rPr>
        <w:rFonts w:hint="default"/>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1A2777A7"/>
    <w:multiLevelType w:val="multilevel"/>
    <w:tmpl w:val="1A2777A7"/>
    <w:lvl w:ilvl="0">
      <w:numFmt w:val="bullet"/>
      <w:lvlText w:val="-"/>
      <w:lvlJc w:val="left"/>
      <w:pPr>
        <w:ind w:left="720" w:hanging="360"/>
      </w:pPr>
      <w:rPr>
        <w:rFonts w:ascii="Arial" w:eastAsiaTheme="minorHAnsi" w:hAnsi="Arial" w:cs="Aria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A381887"/>
    <w:multiLevelType w:val="multilevel"/>
    <w:tmpl w:val="1A381887"/>
    <w:lvl w:ilvl="0">
      <w:numFmt w:val="bullet"/>
      <w:lvlText w:val="-"/>
      <w:lvlJc w:val="left"/>
      <w:pPr>
        <w:ind w:left="720" w:hanging="360"/>
      </w:pPr>
      <w:rPr>
        <w:rFonts w:ascii="Rockwell" w:eastAsia="Times New Roman" w:hAnsi="Rockwel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AB12DBF"/>
    <w:multiLevelType w:val="multilevel"/>
    <w:tmpl w:val="1AB12DBF"/>
    <w:lvl w:ilvl="0">
      <w:start w:val="1"/>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1D690942"/>
    <w:multiLevelType w:val="multilevel"/>
    <w:tmpl w:val="1D69094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3633B5"/>
    <w:multiLevelType w:val="multilevel"/>
    <w:tmpl w:val="1E3633B5"/>
    <w:lvl w:ilvl="0">
      <w:numFmt w:val="bullet"/>
      <w:lvlText w:val="-"/>
      <w:lvlJc w:val="left"/>
      <w:pPr>
        <w:ind w:left="720" w:hanging="360"/>
      </w:pPr>
      <w:rPr>
        <w:rFonts w:ascii="Rockwell" w:eastAsia="Times New Roman" w:hAnsi="Rockwel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1E87576C"/>
    <w:multiLevelType w:val="multilevel"/>
    <w:tmpl w:val="1E87576C"/>
    <w:lvl w:ilvl="0">
      <w:start w:val="1"/>
      <w:numFmt w:val="upperRoman"/>
      <w:lvlText w:val="%1."/>
      <w:lvlJc w:val="left"/>
      <w:pPr>
        <w:ind w:left="3272" w:hanging="720"/>
      </w:pPr>
      <w:rPr>
        <w:rFonts w:eastAsia="Times New Roman" w:hint="default"/>
        <w:b/>
        <w:color w:val="00000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E8A4C16"/>
    <w:multiLevelType w:val="multilevel"/>
    <w:tmpl w:val="1E8A4C16"/>
    <w:lvl w:ilvl="0">
      <w:start w:val="2"/>
      <w:numFmt w:val="upperLetter"/>
      <w:lvlText w:val="%1."/>
      <w:lvlJc w:val="left"/>
      <w:pPr>
        <w:ind w:left="717"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23D2EA6"/>
    <w:multiLevelType w:val="multilevel"/>
    <w:tmpl w:val="223D2EA6"/>
    <w:lvl w:ilvl="0">
      <w:start w:val="1"/>
      <w:numFmt w:val="lowerLetter"/>
      <w:lvlText w:val="%1."/>
      <w:lvlJc w:val="left"/>
      <w:pPr>
        <w:ind w:left="720" w:hanging="360"/>
      </w:pPr>
      <w:rPr>
        <w:rFonts w:hint="default"/>
        <w:b/>
        <w:sz w:val="2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48F417A"/>
    <w:multiLevelType w:val="multilevel"/>
    <w:tmpl w:val="248F417A"/>
    <w:lvl w:ilvl="0">
      <w:start w:val="1"/>
      <w:numFmt w:val="decimal"/>
      <w:lvlText w:val="%1."/>
      <w:lvlJc w:val="left"/>
      <w:pPr>
        <w:ind w:left="1571" w:hanging="360"/>
      </w:pPr>
      <w:rPr>
        <w:rFonts w:hint="default"/>
        <w:b/>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24" w15:restartNumberingAfterBreak="0">
    <w:nsid w:val="26BF36C5"/>
    <w:multiLevelType w:val="multilevel"/>
    <w:tmpl w:val="26BF36C5"/>
    <w:lvl w:ilvl="0">
      <w:start w:val="2"/>
      <w:numFmt w:val="bullet"/>
      <w:lvlText w:val="-"/>
      <w:lvlJc w:val="left"/>
      <w:pPr>
        <w:ind w:left="720" w:hanging="360"/>
      </w:pPr>
      <w:rPr>
        <w:rFonts w:ascii="Arial" w:eastAsiaTheme="minorHAnsi" w:hAnsi="Arial" w:cs="Arial"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95A0E7D"/>
    <w:multiLevelType w:val="multilevel"/>
    <w:tmpl w:val="295A0E7D"/>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2C137D4F"/>
    <w:multiLevelType w:val="multilevel"/>
    <w:tmpl w:val="2C137D4F"/>
    <w:lvl w:ilvl="0">
      <w:start w:val="103"/>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2E5C4C3F"/>
    <w:multiLevelType w:val="multilevel"/>
    <w:tmpl w:val="2E5C4C3F"/>
    <w:lvl w:ilvl="0">
      <w:numFmt w:val="bullet"/>
      <w:lvlText w:val=""/>
      <w:lvlJc w:val="left"/>
      <w:pPr>
        <w:ind w:left="786" w:hanging="360"/>
      </w:pPr>
      <w:rPr>
        <w:rFonts w:ascii="Wingdings" w:hAnsi="Wingdings"/>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28" w15:restartNumberingAfterBreak="0">
    <w:nsid w:val="2EB92AEB"/>
    <w:multiLevelType w:val="multilevel"/>
    <w:tmpl w:val="2EB92AEB"/>
    <w:lvl w:ilvl="0">
      <w:start w:val="1"/>
      <w:numFmt w:val="decimal"/>
      <w:lvlText w:val="%1."/>
      <w:lvlJc w:val="left"/>
      <w:pPr>
        <w:ind w:left="420" w:hanging="42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323A19A9"/>
    <w:multiLevelType w:val="multilevel"/>
    <w:tmpl w:val="323A19A9"/>
    <w:lvl w:ilvl="0">
      <w:start w:val="88"/>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4BC4002"/>
    <w:multiLevelType w:val="multilevel"/>
    <w:tmpl w:val="34BC4002"/>
    <w:lvl w:ilvl="0">
      <w:start w:val="102"/>
      <w:numFmt w:val="decimal"/>
      <w:lvlText w:val="%1.0"/>
      <w:lvlJc w:val="left"/>
      <w:pPr>
        <w:ind w:left="540" w:hanging="540"/>
      </w:pPr>
      <w:rPr>
        <w:rFonts w:hint="default"/>
        <w:color w:val="auto"/>
      </w:rPr>
    </w:lvl>
    <w:lvl w:ilvl="1">
      <w:start w:val="1"/>
      <w:numFmt w:val="decimal"/>
      <w:lvlText w:val="%1.%2"/>
      <w:lvlJc w:val="left"/>
      <w:pPr>
        <w:ind w:left="1248" w:hanging="540"/>
      </w:pPr>
      <w:rPr>
        <w:rFonts w:hint="default"/>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2844" w:hanging="720"/>
      </w:pPr>
      <w:rPr>
        <w:rFonts w:hint="default"/>
        <w:color w:val="auto"/>
      </w:rPr>
    </w:lvl>
    <w:lvl w:ilvl="4">
      <w:start w:val="1"/>
      <w:numFmt w:val="decimal"/>
      <w:lvlText w:val="%1.%2.%3.%4.%5"/>
      <w:lvlJc w:val="left"/>
      <w:pPr>
        <w:ind w:left="3912" w:hanging="1080"/>
      </w:pPr>
      <w:rPr>
        <w:rFonts w:hint="default"/>
        <w:color w:val="auto"/>
      </w:rPr>
    </w:lvl>
    <w:lvl w:ilvl="5">
      <w:start w:val="1"/>
      <w:numFmt w:val="decimal"/>
      <w:lvlText w:val="%1.%2.%3.%4.%5.%6"/>
      <w:lvlJc w:val="left"/>
      <w:pPr>
        <w:ind w:left="4620" w:hanging="1080"/>
      </w:pPr>
      <w:rPr>
        <w:rFonts w:hint="default"/>
        <w:color w:val="auto"/>
      </w:rPr>
    </w:lvl>
    <w:lvl w:ilvl="6">
      <w:start w:val="1"/>
      <w:numFmt w:val="decimal"/>
      <w:lvlText w:val="%1.%2.%3.%4.%5.%6.%7"/>
      <w:lvlJc w:val="left"/>
      <w:pPr>
        <w:ind w:left="5688" w:hanging="1440"/>
      </w:pPr>
      <w:rPr>
        <w:rFonts w:hint="default"/>
        <w:color w:val="auto"/>
      </w:rPr>
    </w:lvl>
    <w:lvl w:ilvl="7">
      <w:start w:val="1"/>
      <w:numFmt w:val="decimal"/>
      <w:lvlText w:val="%1.%2.%3.%4.%5.%6.%7.%8"/>
      <w:lvlJc w:val="left"/>
      <w:pPr>
        <w:ind w:left="6396" w:hanging="1440"/>
      </w:pPr>
      <w:rPr>
        <w:rFonts w:hint="default"/>
        <w:color w:val="auto"/>
      </w:rPr>
    </w:lvl>
    <w:lvl w:ilvl="8">
      <w:start w:val="1"/>
      <w:numFmt w:val="decimal"/>
      <w:lvlText w:val="%1.%2.%3.%4.%5.%6.%7.%8.%9"/>
      <w:lvlJc w:val="left"/>
      <w:pPr>
        <w:ind w:left="7464" w:hanging="1800"/>
      </w:pPr>
      <w:rPr>
        <w:rFonts w:hint="default"/>
        <w:color w:val="auto"/>
      </w:rPr>
    </w:lvl>
  </w:abstractNum>
  <w:abstractNum w:abstractNumId="31" w15:restartNumberingAfterBreak="0">
    <w:nsid w:val="34D16920"/>
    <w:multiLevelType w:val="multilevel"/>
    <w:tmpl w:val="34D16920"/>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71F67F2"/>
    <w:multiLevelType w:val="multilevel"/>
    <w:tmpl w:val="371F67F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37FD187D"/>
    <w:multiLevelType w:val="multilevel"/>
    <w:tmpl w:val="37FD187D"/>
    <w:lvl w:ilvl="0">
      <w:start w:val="1"/>
      <w:numFmt w:val="lowerLetter"/>
      <w:lvlText w:val="%1."/>
      <w:lvlJc w:val="left"/>
      <w:pPr>
        <w:ind w:left="720" w:hanging="360"/>
      </w:pPr>
      <w:rPr>
        <w:rFonts w:ascii="Rockwell" w:hAnsi="Rockwell"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D7B4EBA"/>
    <w:multiLevelType w:val="multilevel"/>
    <w:tmpl w:val="3D7B4EBA"/>
    <w:lvl w:ilvl="0">
      <w:numFmt w:val="bullet"/>
      <w:lvlText w:val="-"/>
      <w:lvlJc w:val="left"/>
      <w:pPr>
        <w:ind w:left="720" w:hanging="360"/>
      </w:pPr>
      <w:rPr>
        <w:rFonts w:ascii="Arial" w:eastAsiaTheme="minorHAnsi" w:hAnsi="Arial" w:cs="Aria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E0E5CDF"/>
    <w:multiLevelType w:val="multilevel"/>
    <w:tmpl w:val="3E0E5CDF"/>
    <w:lvl w:ilvl="0">
      <w:numFmt w:val="bullet"/>
      <w:lvlText w:val="-"/>
      <w:lvlJc w:val="left"/>
      <w:pPr>
        <w:ind w:left="795" w:hanging="360"/>
      </w:pPr>
      <w:rPr>
        <w:rFonts w:ascii="Rockwell" w:eastAsia="Times New Roman" w:hAnsi="Rockwell" w:cs="Times New Roman" w:hint="default"/>
      </w:rPr>
    </w:lvl>
    <w:lvl w:ilvl="1">
      <w:start w:val="1"/>
      <w:numFmt w:val="bullet"/>
      <w:lvlText w:val="o"/>
      <w:lvlJc w:val="left"/>
      <w:pPr>
        <w:ind w:left="1515" w:hanging="360"/>
      </w:pPr>
      <w:rPr>
        <w:rFonts w:ascii="Courier New" w:hAnsi="Courier New" w:cs="Courier New" w:hint="default"/>
      </w:rPr>
    </w:lvl>
    <w:lvl w:ilvl="2">
      <w:start w:val="1"/>
      <w:numFmt w:val="bullet"/>
      <w:lvlText w:val=""/>
      <w:lvlJc w:val="left"/>
      <w:pPr>
        <w:ind w:left="2235" w:hanging="360"/>
      </w:pPr>
      <w:rPr>
        <w:rFonts w:ascii="Wingdings" w:hAnsi="Wingdings" w:hint="default"/>
      </w:rPr>
    </w:lvl>
    <w:lvl w:ilvl="3">
      <w:start w:val="1"/>
      <w:numFmt w:val="bullet"/>
      <w:lvlText w:val=""/>
      <w:lvlJc w:val="left"/>
      <w:pPr>
        <w:ind w:left="2955" w:hanging="360"/>
      </w:pPr>
      <w:rPr>
        <w:rFonts w:ascii="Symbol" w:hAnsi="Symbol" w:hint="default"/>
      </w:rPr>
    </w:lvl>
    <w:lvl w:ilvl="4">
      <w:start w:val="1"/>
      <w:numFmt w:val="bullet"/>
      <w:lvlText w:val="o"/>
      <w:lvlJc w:val="left"/>
      <w:pPr>
        <w:ind w:left="3675" w:hanging="360"/>
      </w:pPr>
      <w:rPr>
        <w:rFonts w:ascii="Courier New" w:hAnsi="Courier New" w:cs="Courier New" w:hint="default"/>
      </w:rPr>
    </w:lvl>
    <w:lvl w:ilvl="5">
      <w:start w:val="1"/>
      <w:numFmt w:val="bullet"/>
      <w:lvlText w:val=""/>
      <w:lvlJc w:val="left"/>
      <w:pPr>
        <w:ind w:left="4395" w:hanging="360"/>
      </w:pPr>
      <w:rPr>
        <w:rFonts w:ascii="Wingdings" w:hAnsi="Wingdings" w:hint="default"/>
      </w:rPr>
    </w:lvl>
    <w:lvl w:ilvl="6">
      <w:start w:val="1"/>
      <w:numFmt w:val="bullet"/>
      <w:lvlText w:val=""/>
      <w:lvlJc w:val="left"/>
      <w:pPr>
        <w:ind w:left="5115" w:hanging="360"/>
      </w:pPr>
      <w:rPr>
        <w:rFonts w:ascii="Symbol" w:hAnsi="Symbol" w:hint="default"/>
      </w:rPr>
    </w:lvl>
    <w:lvl w:ilvl="7">
      <w:start w:val="1"/>
      <w:numFmt w:val="bullet"/>
      <w:lvlText w:val="o"/>
      <w:lvlJc w:val="left"/>
      <w:pPr>
        <w:ind w:left="5835" w:hanging="360"/>
      </w:pPr>
      <w:rPr>
        <w:rFonts w:ascii="Courier New" w:hAnsi="Courier New" w:cs="Courier New" w:hint="default"/>
      </w:rPr>
    </w:lvl>
    <w:lvl w:ilvl="8">
      <w:start w:val="1"/>
      <w:numFmt w:val="bullet"/>
      <w:lvlText w:val=""/>
      <w:lvlJc w:val="left"/>
      <w:pPr>
        <w:ind w:left="6555" w:hanging="360"/>
      </w:pPr>
      <w:rPr>
        <w:rFonts w:ascii="Wingdings" w:hAnsi="Wingdings" w:hint="default"/>
      </w:rPr>
    </w:lvl>
  </w:abstractNum>
  <w:abstractNum w:abstractNumId="36" w15:restartNumberingAfterBreak="0">
    <w:nsid w:val="3E226527"/>
    <w:multiLevelType w:val="multilevel"/>
    <w:tmpl w:val="3E226527"/>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EEA4B0C"/>
    <w:multiLevelType w:val="multilevel"/>
    <w:tmpl w:val="3EEA4B0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3F4C1969"/>
    <w:multiLevelType w:val="multilevel"/>
    <w:tmpl w:val="3F4C1969"/>
    <w:lvl w:ilvl="0">
      <w:start w:val="1"/>
      <w:numFmt w:val="decimal"/>
      <w:lvlText w:val="%1."/>
      <w:lvlJc w:val="left"/>
      <w:pPr>
        <w:ind w:left="1794" w:hanging="360"/>
      </w:pPr>
      <w:rPr>
        <w:rFonts w:hint="default"/>
        <w:color w:val="auto"/>
      </w:rPr>
    </w:lvl>
    <w:lvl w:ilvl="1">
      <w:start w:val="1"/>
      <w:numFmt w:val="lowerLetter"/>
      <w:lvlText w:val="%2."/>
      <w:lvlJc w:val="left"/>
      <w:pPr>
        <w:ind w:left="2514" w:hanging="360"/>
      </w:pPr>
    </w:lvl>
    <w:lvl w:ilvl="2">
      <w:start w:val="1"/>
      <w:numFmt w:val="lowerRoman"/>
      <w:lvlText w:val="%3."/>
      <w:lvlJc w:val="right"/>
      <w:pPr>
        <w:ind w:left="3234" w:hanging="180"/>
      </w:pPr>
    </w:lvl>
    <w:lvl w:ilvl="3">
      <w:start w:val="1"/>
      <w:numFmt w:val="decimal"/>
      <w:lvlText w:val="%4."/>
      <w:lvlJc w:val="left"/>
      <w:pPr>
        <w:ind w:left="3954" w:hanging="360"/>
      </w:pPr>
    </w:lvl>
    <w:lvl w:ilvl="4">
      <w:start w:val="1"/>
      <w:numFmt w:val="lowerLetter"/>
      <w:lvlText w:val="%5."/>
      <w:lvlJc w:val="left"/>
      <w:pPr>
        <w:ind w:left="4674" w:hanging="360"/>
      </w:pPr>
    </w:lvl>
    <w:lvl w:ilvl="5">
      <w:start w:val="1"/>
      <w:numFmt w:val="lowerRoman"/>
      <w:lvlText w:val="%6."/>
      <w:lvlJc w:val="right"/>
      <w:pPr>
        <w:ind w:left="5394" w:hanging="180"/>
      </w:pPr>
    </w:lvl>
    <w:lvl w:ilvl="6">
      <w:start w:val="1"/>
      <w:numFmt w:val="decimal"/>
      <w:lvlText w:val="%7."/>
      <w:lvlJc w:val="left"/>
      <w:pPr>
        <w:ind w:left="6114" w:hanging="360"/>
      </w:pPr>
    </w:lvl>
    <w:lvl w:ilvl="7">
      <w:start w:val="1"/>
      <w:numFmt w:val="lowerLetter"/>
      <w:lvlText w:val="%8."/>
      <w:lvlJc w:val="left"/>
      <w:pPr>
        <w:ind w:left="6834" w:hanging="360"/>
      </w:pPr>
    </w:lvl>
    <w:lvl w:ilvl="8">
      <w:start w:val="1"/>
      <w:numFmt w:val="lowerRoman"/>
      <w:lvlText w:val="%9."/>
      <w:lvlJc w:val="right"/>
      <w:pPr>
        <w:ind w:left="7554" w:hanging="180"/>
      </w:pPr>
    </w:lvl>
  </w:abstractNum>
  <w:abstractNum w:abstractNumId="39" w15:restartNumberingAfterBreak="0">
    <w:nsid w:val="3F8B7144"/>
    <w:multiLevelType w:val="multilevel"/>
    <w:tmpl w:val="3F8B7144"/>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AB26026"/>
    <w:multiLevelType w:val="multilevel"/>
    <w:tmpl w:val="4AB26026"/>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AE455AB"/>
    <w:multiLevelType w:val="multilevel"/>
    <w:tmpl w:val="4AE455AB"/>
    <w:lvl w:ilvl="0">
      <w:start w:val="1"/>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4CB05270"/>
    <w:multiLevelType w:val="multilevel"/>
    <w:tmpl w:val="4CB0527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D2A19B6"/>
    <w:multiLevelType w:val="multilevel"/>
    <w:tmpl w:val="4D2A19B6"/>
    <w:lvl w:ilvl="0">
      <w:numFmt w:val="bullet"/>
      <w:lvlText w:val="-"/>
      <w:lvlJc w:val="left"/>
      <w:pPr>
        <w:ind w:left="720" w:hanging="360"/>
      </w:pPr>
      <w:rPr>
        <w:rFonts w:ascii="Arial Narrow" w:eastAsia="Times New Roman" w:hAnsi="Arial Narrow"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516E28D6"/>
    <w:multiLevelType w:val="multilevel"/>
    <w:tmpl w:val="516E28D6"/>
    <w:lvl w:ilvl="0">
      <w:start w:val="1"/>
      <w:numFmt w:val="bullet"/>
      <w:lvlText w:val=""/>
      <w:lvlJc w:val="left"/>
      <w:pPr>
        <w:ind w:left="1860" w:hanging="360"/>
      </w:pPr>
      <w:rPr>
        <w:rFonts w:ascii="Wingdings" w:hAnsi="Wingdings" w:hint="default"/>
      </w:rPr>
    </w:lvl>
    <w:lvl w:ilvl="1">
      <w:start w:val="1"/>
      <w:numFmt w:val="bullet"/>
      <w:lvlText w:val="o"/>
      <w:lvlJc w:val="left"/>
      <w:pPr>
        <w:ind w:left="2580" w:hanging="360"/>
      </w:pPr>
      <w:rPr>
        <w:rFonts w:ascii="Courier New" w:hAnsi="Courier New" w:cs="Courier New" w:hint="default"/>
      </w:rPr>
    </w:lvl>
    <w:lvl w:ilvl="2">
      <w:start w:val="1"/>
      <w:numFmt w:val="bullet"/>
      <w:lvlText w:val=""/>
      <w:lvlJc w:val="left"/>
      <w:pPr>
        <w:ind w:left="3300" w:hanging="360"/>
      </w:pPr>
      <w:rPr>
        <w:rFonts w:ascii="Wingdings" w:hAnsi="Wingdings" w:hint="default"/>
      </w:rPr>
    </w:lvl>
    <w:lvl w:ilvl="3">
      <w:start w:val="1"/>
      <w:numFmt w:val="bullet"/>
      <w:lvlText w:val=""/>
      <w:lvlJc w:val="left"/>
      <w:pPr>
        <w:ind w:left="4020" w:hanging="360"/>
      </w:pPr>
      <w:rPr>
        <w:rFonts w:ascii="Symbol" w:hAnsi="Symbol" w:hint="default"/>
      </w:rPr>
    </w:lvl>
    <w:lvl w:ilvl="4">
      <w:start w:val="1"/>
      <w:numFmt w:val="bullet"/>
      <w:lvlText w:val="o"/>
      <w:lvlJc w:val="left"/>
      <w:pPr>
        <w:ind w:left="4740" w:hanging="360"/>
      </w:pPr>
      <w:rPr>
        <w:rFonts w:ascii="Courier New" w:hAnsi="Courier New" w:cs="Courier New" w:hint="default"/>
      </w:rPr>
    </w:lvl>
    <w:lvl w:ilvl="5">
      <w:start w:val="1"/>
      <w:numFmt w:val="bullet"/>
      <w:lvlText w:val=""/>
      <w:lvlJc w:val="left"/>
      <w:pPr>
        <w:ind w:left="5460" w:hanging="360"/>
      </w:pPr>
      <w:rPr>
        <w:rFonts w:ascii="Wingdings" w:hAnsi="Wingdings" w:hint="default"/>
      </w:rPr>
    </w:lvl>
    <w:lvl w:ilvl="6">
      <w:start w:val="1"/>
      <w:numFmt w:val="bullet"/>
      <w:lvlText w:val=""/>
      <w:lvlJc w:val="left"/>
      <w:pPr>
        <w:ind w:left="6180" w:hanging="360"/>
      </w:pPr>
      <w:rPr>
        <w:rFonts w:ascii="Symbol" w:hAnsi="Symbol" w:hint="default"/>
      </w:rPr>
    </w:lvl>
    <w:lvl w:ilvl="7">
      <w:start w:val="1"/>
      <w:numFmt w:val="bullet"/>
      <w:lvlText w:val="o"/>
      <w:lvlJc w:val="left"/>
      <w:pPr>
        <w:ind w:left="6900" w:hanging="360"/>
      </w:pPr>
      <w:rPr>
        <w:rFonts w:ascii="Courier New" w:hAnsi="Courier New" w:cs="Courier New" w:hint="default"/>
      </w:rPr>
    </w:lvl>
    <w:lvl w:ilvl="8">
      <w:start w:val="1"/>
      <w:numFmt w:val="bullet"/>
      <w:lvlText w:val=""/>
      <w:lvlJc w:val="left"/>
      <w:pPr>
        <w:ind w:left="7620" w:hanging="360"/>
      </w:pPr>
      <w:rPr>
        <w:rFonts w:ascii="Wingdings" w:hAnsi="Wingdings" w:hint="default"/>
      </w:rPr>
    </w:lvl>
  </w:abstractNum>
  <w:abstractNum w:abstractNumId="45" w15:restartNumberingAfterBreak="0">
    <w:nsid w:val="52D048AF"/>
    <w:multiLevelType w:val="multilevel"/>
    <w:tmpl w:val="52D048AF"/>
    <w:lvl w:ilvl="0">
      <w:start w:val="2"/>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74A6ACF"/>
    <w:multiLevelType w:val="multilevel"/>
    <w:tmpl w:val="574A6ACF"/>
    <w:lvl w:ilvl="0">
      <w:start w:val="107"/>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580D258B"/>
    <w:multiLevelType w:val="multilevel"/>
    <w:tmpl w:val="580D258B"/>
    <w:lvl w:ilvl="0">
      <w:numFmt w:val="bullet"/>
      <w:lvlText w:val="-"/>
      <w:lvlJc w:val="left"/>
      <w:pPr>
        <w:ind w:left="360" w:hanging="360"/>
      </w:pPr>
      <w:rPr>
        <w:rFonts w:ascii="Calibri" w:eastAsiaTheme="minorHAnsi" w:hAnsi="Calibri" w:cs="Calibri"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8" w15:restartNumberingAfterBreak="0">
    <w:nsid w:val="5A511EAF"/>
    <w:multiLevelType w:val="multilevel"/>
    <w:tmpl w:val="5A511EAF"/>
    <w:lvl w:ilvl="0">
      <w:numFmt w:val="bullet"/>
      <w:lvlText w:val="-"/>
      <w:lvlJc w:val="left"/>
      <w:pPr>
        <w:ind w:left="720" w:hanging="360"/>
      </w:pPr>
      <w:rPr>
        <w:rFonts w:ascii="Arial Narrow" w:eastAsia="Times New Roman" w:hAnsi="Arial Narrow" w:cs="Times New Roman"/>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5D234975"/>
    <w:multiLevelType w:val="multilevel"/>
    <w:tmpl w:val="5D234975"/>
    <w:lvl w:ilvl="0">
      <w:numFmt w:val="bullet"/>
      <w:lvlText w:val="-"/>
      <w:lvlJc w:val="left"/>
      <w:pPr>
        <w:ind w:left="1140" w:hanging="360"/>
      </w:pPr>
      <w:rPr>
        <w:rFonts w:ascii="Times New Roman" w:eastAsia="Calibri" w:hAnsi="Times New Roman" w:cs="Times New Roman" w:hint="default"/>
      </w:rPr>
    </w:lvl>
    <w:lvl w:ilvl="1">
      <w:start w:val="1"/>
      <w:numFmt w:val="bullet"/>
      <w:lvlText w:val="o"/>
      <w:lvlJc w:val="left"/>
      <w:pPr>
        <w:ind w:left="1860" w:hanging="360"/>
      </w:pPr>
      <w:rPr>
        <w:rFonts w:ascii="Courier New" w:hAnsi="Courier New" w:cs="Courier New" w:hint="default"/>
      </w:rPr>
    </w:lvl>
    <w:lvl w:ilvl="2">
      <w:start w:val="1"/>
      <w:numFmt w:val="bullet"/>
      <w:lvlText w:val=""/>
      <w:lvlJc w:val="left"/>
      <w:pPr>
        <w:ind w:left="2580" w:hanging="360"/>
      </w:pPr>
      <w:rPr>
        <w:rFonts w:ascii="Wingdings" w:hAnsi="Wingdings" w:hint="default"/>
      </w:rPr>
    </w:lvl>
    <w:lvl w:ilvl="3">
      <w:start w:val="1"/>
      <w:numFmt w:val="bullet"/>
      <w:lvlText w:val=""/>
      <w:lvlJc w:val="left"/>
      <w:pPr>
        <w:ind w:left="3300" w:hanging="360"/>
      </w:pPr>
      <w:rPr>
        <w:rFonts w:ascii="Symbol" w:hAnsi="Symbol" w:hint="default"/>
      </w:rPr>
    </w:lvl>
    <w:lvl w:ilvl="4">
      <w:start w:val="1"/>
      <w:numFmt w:val="bullet"/>
      <w:lvlText w:val="o"/>
      <w:lvlJc w:val="left"/>
      <w:pPr>
        <w:ind w:left="4020" w:hanging="360"/>
      </w:pPr>
      <w:rPr>
        <w:rFonts w:ascii="Courier New" w:hAnsi="Courier New" w:cs="Courier New" w:hint="default"/>
      </w:rPr>
    </w:lvl>
    <w:lvl w:ilvl="5">
      <w:start w:val="1"/>
      <w:numFmt w:val="bullet"/>
      <w:lvlText w:val=""/>
      <w:lvlJc w:val="left"/>
      <w:pPr>
        <w:ind w:left="4740" w:hanging="360"/>
      </w:pPr>
      <w:rPr>
        <w:rFonts w:ascii="Wingdings" w:hAnsi="Wingdings" w:hint="default"/>
      </w:rPr>
    </w:lvl>
    <w:lvl w:ilvl="6">
      <w:start w:val="1"/>
      <w:numFmt w:val="bullet"/>
      <w:lvlText w:val=""/>
      <w:lvlJc w:val="left"/>
      <w:pPr>
        <w:ind w:left="5460" w:hanging="360"/>
      </w:pPr>
      <w:rPr>
        <w:rFonts w:ascii="Symbol" w:hAnsi="Symbol" w:hint="default"/>
      </w:rPr>
    </w:lvl>
    <w:lvl w:ilvl="7">
      <w:start w:val="1"/>
      <w:numFmt w:val="bullet"/>
      <w:lvlText w:val="o"/>
      <w:lvlJc w:val="left"/>
      <w:pPr>
        <w:ind w:left="6180" w:hanging="360"/>
      </w:pPr>
      <w:rPr>
        <w:rFonts w:ascii="Courier New" w:hAnsi="Courier New" w:cs="Courier New" w:hint="default"/>
      </w:rPr>
    </w:lvl>
    <w:lvl w:ilvl="8">
      <w:start w:val="1"/>
      <w:numFmt w:val="bullet"/>
      <w:lvlText w:val=""/>
      <w:lvlJc w:val="left"/>
      <w:pPr>
        <w:ind w:left="6900" w:hanging="360"/>
      </w:pPr>
      <w:rPr>
        <w:rFonts w:ascii="Wingdings" w:hAnsi="Wingdings" w:hint="default"/>
      </w:rPr>
    </w:lvl>
  </w:abstractNum>
  <w:abstractNum w:abstractNumId="50" w15:restartNumberingAfterBreak="0">
    <w:nsid w:val="5F6A34EC"/>
    <w:multiLevelType w:val="multilevel"/>
    <w:tmpl w:val="5F6A34EC"/>
    <w:lvl w:ilvl="0">
      <w:start w:val="1"/>
      <w:numFmt w:val="bullet"/>
      <w:lvlText w:val="-"/>
      <w:lvlJc w:val="left"/>
      <w:pPr>
        <w:ind w:left="720" w:hanging="360"/>
      </w:pPr>
      <w:rPr>
        <w:rFonts w:ascii="Calibri" w:eastAsia="Calibri"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1E01277"/>
    <w:multiLevelType w:val="multilevel"/>
    <w:tmpl w:val="61E01277"/>
    <w:lvl w:ilvl="0">
      <w:start w:val="1"/>
      <w:numFmt w:val="bullet"/>
      <w:lvlText w:val="-"/>
      <w:lvlJc w:val="left"/>
      <w:pPr>
        <w:ind w:left="435" w:hanging="360"/>
      </w:pPr>
      <w:rPr>
        <w:rFonts w:ascii="Times New Roman" w:eastAsia="Calibri" w:hAnsi="Times New Roman" w:cs="Times New Roman" w:hint="default"/>
        <w:b w:val="0"/>
        <w:i/>
        <w:sz w:val="26"/>
        <w:szCs w:val="26"/>
      </w:rPr>
    </w:lvl>
    <w:lvl w:ilvl="1">
      <w:start w:val="4"/>
      <w:numFmt w:val="decimal"/>
      <w:isLgl/>
      <w:lvlText w:val="%1.%2."/>
      <w:lvlJc w:val="left"/>
      <w:pPr>
        <w:ind w:left="795"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155" w:hanging="108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515" w:hanging="144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875" w:hanging="1800"/>
      </w:pPr>
      <w:rPr>
        <w:rFonts w:hint="default"/>
      </w:rPr>
    </w:lvl>
    <w:lvl w:ilvl="8">
      <w:start w:val="1"/>
      <w:numFmt w:val="decimal"/>
      <w:isLgl/>
      <w:lvlText w:val="%1.%2.%3.%4.%5.%6.%7.%8.%9."/>
      <w:lvlJc w:val="left"/>
      <w:pPr>
        <w:ind w:left="1875" w:hanging="1800"/>
      </w:pPr>
      <w:rPr>
        <w:rFonts w:hint="default"/>
      </w:rPr>
    </w:lvl>
  </w:abstractNum>
  <w:abstractNum w:abstractNumId="52" w15:restartNumberingAfterBreak="0">
    <w:nsid w:val="63935967"/>
    <w:multiLevelType w:val="multilevel"/>
    <w:tmpl w:val="63935967"/>
    <w:lvl w:ilvl="0">
      <w:start w:val="1"/>
      <w:numFmt w:val="bullet"/>
      <w:lvlText w:val="-"/>
      <w:lvlJc w:val="left"/>
      <w:pPr>
        <w:ind w:left="720" w:hanging="360"/>
      </w:pPr>
      <w:rPr>
        <w:rFonts w:ascii="Calibri" w:eastAsia="Calibri"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56D5F03"/>
    <w:multiLevelType w:val="multilevel"/>
    <w:tmpl w:val="656D5F03"/>
    <w:lvl w:ilvl="0">
      <w:start w:val="1"/>
      <w:numFmt w:val="upperLetter"/>
      <w:lvlText w:val="%1."/>
      <w:lvlJc w:val="left"/>
      <w:pPr>
        <w:ind w:left="64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57E7228"/>
    <w:multiLevelType w:val="multilevel"/>
    <w:tmpl w:val="657E7228"/>
    <w:lvl w:ilvl="0">
      <w:start w:val="2"/>
      <w:numFmt w:val="decimal"/>
      <w:lvlText w:val="%1."/>
      <w:lvlJc w:val="left"/>
      <w:pPr>
        <w:ind w:left="450" w:hanging="450"/>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5" w15:restartNumberingAfterBreak="0">
    <w:nsid w:val="69F81CE7"/>
    <w:multiLevelType w:val="multilevel"/>
    <w:tmpl w:val="69F81CE7"/>
    <w:lvl w:ilvl="0">
      <w:numFmt w:val="bullet"/>
      <w:lvlText w:val="-"/>
      <w:lvlJc w:val="left"/>
      <w:pPr>
        <w:ind w:left="720" w:hanging="360"/>
      </w:pPr>
      <w:rPr>
        <w:rFonts w:ascii="Calibri" w:eastAsiaTheme="minorHAnsi" w:hAnsi="Calibri" w:cs="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0C34163"/>
    <w:multiLevelType w:val="multilevel"/>
    <w:tmpl w:val="70C34163"/>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1495FF8"/>
    <w:multiLevelType w:val="multilevel"/>
    <w:tmpl w:val="71495FF8"/>
    <w:lvl w:ilvl="0">
      <w:start w:val="3"/>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580A4F"/>
    <w:multiLevelType w:val="multilevel"/>
    <w:tmpl w:val="71580A4F"/>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2086BFB"/>
    <w:multiLevelType w:val="multilevel"/>
    <w:tmpl w:val="72086BFB"/>
    <w:lvl w:ilvl="0">
      <w:start w:val="1"/>
      <w:numFmt w:val="decimal"/>
      <w:lvlText w:val="%1."/>
      <w:lvlJc w:val="left"/>
      <w:pPr>
        <w:ind w:left="1080" w:hanging="360"/>
      </w:pPr>
      <w:rPr>
        <w:rFonts w:eastAsia="Times New Roman" w:hint="default"/>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0" w15:restartNumberingAfterBreak="0">
    <w:nsid w:val="72364DF6"/>
    <w:multiLevelType w:val="multilevel"/>
    <w:tmpl w:val="72364DF6"/>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2BA09C4"/>
    <w:multiLevelType w:val="multilevel"/>
    <w:tmpl w:val="72BA09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4CF0496"/>
    <w:multiLevelType w:val="multilevel"/>
    <w:tmpl w:val="74CF0496"/>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4F65C02"/>
    <w:multiLevelType w:val="multilevel"/>
    <w:tmpl w:val="74F65C02"/>
    <w:lvl w:ilvl="0">
      <w:start w:val="1"/>
      <w:numFmt w:val="bullet"/>
      <w:lvlText w:val=""/>
      <w:lvlJc w:val="left"/>
      <w:pPr>
        <w:ind w:left="1504" w:hanging="360"/>
      </w:pPr>
      <w:rPr>
        <w:rFonts w:ascii="Wingdings" w:hAnsi="Wingdings" w:hint="default"/>
      </w:rPr>
    </w:lvl>
    <w:lvl w:ilvl="1">
      <w:start w:val="1"/>
      <w:numFmt w:val="bullet"/>
      <w:lvlText w:val="o"/>
      <w:lvlJc w:val="left"/>
      <w:pPr>
        <w:ind w:left="2224" w:hanging="360"/>
      </w:pPr>
      <w:rPr>
        <w:rFonts w:ascii="Courier New" w:hAnsi="Courier New" w:cs="Courier New" w:hint="default"/>
      </w:rPr>
    </w:lvl>
    <w:lvl w:ilvl="2">
      <w:start w:val="1"/>
      <w:numFmt w:val="bullet"/>
      <w:lvlText w:val=""/>
      <w:lvlJc w:val="left"/>
      <w:pPr>
        <w:ind w:left="2944" w:hanging="360"/>
      </w:pPr>
      <w:rPr>
        <w:rFonts w:ascii="Wingdings" w:hAnsi="Wingdings" w:hint="default"/>
      </w:rPr>
    </w:lvl>
    <w:lvl w:ilvl="3">
      <w:start w:val="1"/>
      <w:numFmt w:val="bullet"/>
      <w:lvlText w:val=""/>
      <w:lvlJc w:val="left"/>
      <w:pPr>
        <w:ind w:left="3664" w:hanging="360"/>
      </w:pPr>
      <w:rPr>
        <w:rFonts w:ascii="Symbol" w:hAnsi="Symbol" w:hint="default"/>
      </w:rPr>
    </w:lvl>
    <w:lvl w:ilvl="4">
      <w:start w:val="1"/>
      <w:numFmt w:val="bullet"/>
      <w:lvlText w:val="o"/>
      <w:lvlJc w:val="left"/>
      <w:pPr>
        <w:ind w:left="4384" w:hanging="360"/>
      </w:pPr>
      <w:rPr>
        <w:rFonts w:ascii="Courier New" w:hAnsi="Courier New" w:cs="Courier New" w:hint="default"/>
      </w:rPr>
    </w:lvl>
    <w:lvl w:ilvl="5">
      <w:start w:val="1"/>
      <w:numFmt w:val="bullet"/>
      <w:lvlText w:val=""/>
      <w:lvlJc w:val="left"/>
      <w:pPr>
        <w:ind w:left="5104" w:hanging="360"/>
      </w:pPr>
      <w:rPr>
        <w:rFonts w:ascii="Wingdings" w:hAnsi="Wingdings" w:hint="default"/>
      </w:rPr>
    </w:lvl>
    <w:lvl w:ilvl="6">
      <w:start w:val="1"/>
      <w:numFmt w:val="bullet"/>
      <w:lvlText w:val=""/>
      <w:lvlJc w:val="left"/>
      <w:pPr>
        <w:ind w:left="5824" w:hanging="360"/>
      </w:pPr>
      <w:rPr>
        <w:rFonts w:ascii="Symbol" w:hAnsi="Symbol" w:hint="default"/>
      </w:rPr>
    </w:lvl>
    <w:lvl w:ilvl="7">
      <w:start w:val="1"/>
      <w:numFmt w:val="bullet"/>
      <w:lvlText w:val="o"/>
      <w:lvlJc w:val="left"/>
      <w:pPr>
        <w:ind w:left="6544" w:hanging="360"/>
      </w:pPr>
      <w:rPr>
        <w:rFonts w:ascii="Courier New" w:hAnsi="Courier New" w:cs="Courier New" w:hint="default"/>
      </w:rPr>
    </w:lvl>
    <w:lvl w:ilvl="8">
      <w:start w:val="1"/>
      <w:numFmt w:val="bullet"/>
      <w:lvlText w:val=""/>
      <w:lvlJc w:val="left"/>
      <w:pPr>
        <w:ind w:left="7264" w:hanging="360"/>
      </w:pPr>
      <w:rPr>
        <w:rFonts w:ascii="Wingdings" w:hAnsi="Wingdings" w:hint="default"/>
      </w:rPr>
    </w:lvl>
  </w:abstractNum>
  <w:abstractNum w:abstractNumId="64" w15:restartNumberingAfterBreak="0">
    <w:nsid w:val="78D422AD"/>
    <w:multiLevelType w:val="multilevel"/>
    <w:tmpl w:val="78D422AD"/>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8F10427"/>
    <w:multiLevelType w:val="multilevel"/>
    <w:tmpl w:val="78F10427"/>
    <w:lvl w:ilvl="0">
      <w:start w:val="1"/>
      <w:numFmt w:val="upperLetter"/>
      <w:lvlText w:val="%1."/>
      <w:lvlJc w:val="left"/>
      <w:pPr>
        <w:ind w:left="1004" w:hanging="360"/>
      </w:pPr>
      <w:rPr>
        <w:rFonts w:eastAsia="Times New Roman" w:hint="default"/>
        <w:color w:val="00000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abstractNumId w:val="39"/>
  </w:num>
  <w:num w:numId="2">
    <w:abstractNumId w:val="40"/>
  </w:num>
  <w:num w:numId="3">
    <w:abstractNumId w:val="13"/>
  </w:num>
  <w:num w:numId="4">
    <w:abstractNumId w:val="62"/>
  </w:num>
  <w:num w:numId="5">
    <w:abstractNumId w:val="7"/>
  </w:num>
  <w:num w:numId="6">
    <w:abstractNumId w:val="2"/>
  </w:num>
  <w:num w:numId="7">
    <w:abstractNumId w:val="55"/>
  </w:num>
  <w:num w:numId="8">
    <w:abstractNumId w:val="31"/>
  </w:num>
  <w:num w:numId="9">
    <w:abstractNumId w:val="44"/>
  </w:num>
  <w:num w:numId="10">
    <w:abstractNumId w:val="6"/>
  </w:num>
  <w:num w:numId="11">
    <w:abstractNumId w:val="47"/>
  </w:num>
  <w:num w:numId="12">
    <w:abstractNumId w:val="61"/>
  </w:num>
  <w:num w:numId="13">
    <w:abstractNumId w:val="3"/>
  </w:num>
  <w:num w:numId="14">
    <w:abstractNumId w:val="37"/>
  </w:num>
  <w:num w:numId="15">
    <w:abstractNumId w:val="49"/>
  </w:num>
  <w:num w:numId="16">
    <w:abstractNumId w:val="45"/>
  </w:num>
  <w:num w:numId="17">
    <w:abstractNumId w:val="60"/>
  </w:num>
  <w:num w:numId="18">
    <w:abstractNumId w:val="16"/>
  </w:num>
  <w:num w:numId="19">
    <w:abstractNumId w:val="52"/>
  </w:num>
  <w:num w:numId="20">
    <w:abstractNumId w:val="41"/>
  </w:num>
  <w:num w:numId="21">
    <w:abstractNumId w:val="43"/>
  </w:num>
  <w:num w:numId="22">
    <w:abstractNumId w:val="42"/>
  </w:num>
  <w:num w:numId="23">
    <w:abstractNumId w:val="12"/>
  </w:num>
  <w:num w:numId="24">
    <w:abstractNumId w:val="18"/>
  </w:num>
  <w:num w:numId="25">
    <w:abstractNumId w:val="22"/>
  </w:num>
  <w:num w:numId="26">
    <w:abstractNumId w:val="50"/>
  </w:num>
  <w:num w:numId="27">
    <w:abstractNumId w:val="28"/>
  </w:num>
  <w:num w:numId="28">
    <w:abstractNumId w:val="33"/>
  </w:num>
  <w:num w:numId="29">
    <w:abstractNumId w:val="8"/>
  </w:num>
  <w:num w:numId="30">
    <w:abstractNumId w:val="9"/>
  </w:num>
  <w:num w:numId="31">
    <w:abstractNumId w:val="5"/>
  </w:num>
  <w:num w:numId="32">
    <w:abstractNumId w:val="17"/>
  </w:num>
  <w:num w:numId="33">
    <w:abstractNumId w:val="34"/>
  </w:num>
  <w:num w:numId="34">
    <w:abstractNumId w:val="15"/>
  </w:num>
  <w:num w:numId="35">
    <w:abstractNumId w:val="51"/>
  </w:num>
  <w:num w:numId="36">
    <w:abstractNumId w:val="4"/>
  </w:num>
  <w:num w:numId="37">
    <w:abstractNumId w:val="19"/>
  </w:num>
  <w:num w:numId="38">
    <w:abstractNumId w:val="35"/>
  </w:num>
  <w:num w:numId="39">
    <w:abstractNumId w:val="0"/>
  </w:num>
  <w:num w:numId="40">
    <w:abstractNumId w:val="57"/>
  </w:num>
  <w:num w:numId="41">
    <w:abstractNumId w:val="48"/>
  </w:num>
  <w:num w:numId="42">
    <w:abstractNumId w:val="32"/>
  </w:num>
  <w:num w:numId="43">
    <w:abstractNumId w:val="36"/>
  </w:num>
  <w:num w:numId="44">
    <w:abstractNumId w:val="27"/>
  </w:num>
  <w:num w:numId="45">
    <w:abstractNumId w:val="54"/>
  </w:num>
  <w:num w:numId="46">
    <w:abstractNumId w:val="63"/>
  </w:num>
  <w:num w:numId="47">
    <w:abstractNumId w:val="64"/>
  </w:num>
  <w:num w:numId="48">
    <w:abstractNumId w:val="24"/>
  </w:num>
  <w:num w:numId="49">
    <w:abstractNumId w:val="58"/>
  </w:num>
  <w:num w:numId="50">
    <w:abstractNumId w:val="25"/>
  </w:num>
  <w:num w:numId="51">
    <w:abstractNumId w:val="20"/>
  </w:num>
  <w:num w:numId="52">
    <w:abstractNumId w:val="65"/>
  </w:num>
  <w:num w:numId="53">
    <w:abstractNumId w:val="59"/>
  </w:num>
  <w:num w:numId="54">
    <w:abstractNumId w:val="1"/>
  </w:num>
  <w:num w:numId="55">
    <w:abstractNumId w:val="10"/>
  </w:num>
  <w:num w:numId="56">
    <w:abstractNumId w:val="38"/>
  </w:num>
  <w:num w:numId="57">
    <w:abstractNumId w:val="30"/>
  </w:num>
  <w:num w:numId="58">
    <w:abstractNumId w:val="14"/>
  </w:num>
  <w:num w:numId="59">
    <w:abstractNumId w:val="23"/>
  </w:num>
  <w:num w:numId="60">
    <w:abstractNumId w:val="26"/>
  </w:num>
  <w:num w:numId="61">
    <w:abstractNumId w:val="29"/>
  </w:num>
  <w:num w:numId="62">
    <w:abstractNumId w:val="56"/>
  </w:num>
  <w:num w:numId="63">
    <w:abstractNumId w:val="46"/>
  </w:num>
  <w:num w:numId="64">
    <w:abstractNumId w:val="21"/>
  </w:num>
  <w:num w:numId="65">
    <w:abstractNumId w:val="53"/>
  </w:num>
  <w:num w:numId="66">
    <w:abstractNumId w:val="11"/>
  </w:num>
  <w:numIdMacAtCleanup w:val="6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p">
    <w15:presenceInfo w15:providerId="None" w15:userId="h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40B"/>
    <w:rsid w:val="00000257"/>
    <w:rsid w:val="00002F9A"/>
    <w:rsid w:val="00004165"/>
    <w:rsid w:val="00004CF7"/>
    <w:rsid w:val="0000539A"/>
    <w:rsid w:val="00007246"/>
    <w:rsid w:val="00007AC0"/>
    <w:rsid w:val="0001177F"/>
    <w:rsid w:val="00011A02"/>
    <w:rsid w:val="00011B4F"/>
    <w:rsid w:val="00012195"/>
    <w:rsid w:val="0001224C"/>
    <w:rsid w:val="000122DA"/>
    <w:rsid w:val="00016209"/>
    <w:rsid w:val="00016782"/>
    <w:rsid w:val="00016F95"/>
    <w:rsid w:val="0001723E"/>
    <w:rsid w:val="00020589"/>
    <w:rsid w:val="00021AF5"/>
    <w:rsid w:val="00022632"/>
    <w:rsid w:val="0002453A"/>
    <w:rsid w:val="0002784D"/>
    <w:rsid w:val="000307E7"/>
    <w:rsid w:val="00033D04"/>
    <w:rsid w:val="00035A65"/>
    <w:rsid w:val="00035A9D"/>
    <w:rsid w:val="000360E6"/>
    <w:rsid w:val="000365FB"/>
    <w:rsid w:val="000367F8"/>
    <w:rsid w:val="0003778B"/>
    <w:rsid w:val="00037CE1"/>
    <w:rsid w:val="00037DB7"/>
    <w:rsid w:val="000401BE"/>
    <w:rsid w:val="000403A8"/>
    <w:rsid w:val="000416CF"/>
    <w:rsid w:val="00041F7D"/>
    <w:rsid w:val="00042BAD"/>
    <w:rsid w:val="00046690"/>
    <w:rsid w:val="00046CF2"/>
    <w:rsid w:val="00047632"/>
    <w:rsid w:val="00047FFE"/>
    <w:rsid w:val="00052655"/>
    <w:rsid w:val="00055799"/>
    <w:rsid w:val="00057804"/>
    <w:rsid w:val="00061558"/>
    <w:rsid w:val="00064FC2"/>
    <w:rsid w:val="0006543A"/>
    <w:rsid w:val="000659EF"/>
    <w:rsid w:val="00071372"/>
    <w:rsid w:val="000730A9"/>
    <w:rsid w:val="000733AD"/>
    <w:rsid w:val="00073A09"/>
    <w:rsid w:val="00074674"/>
    <w:rsid w:val="000748D3"/>
    <w:rsid w:val="00074FB3"/>
    <w:rsid w:val="00076F49"/>
    <w:rsid w:val="0007779E"/>
    <w:rsid w:val="0008098F"/>
    <w:rsid w:val="00082276"/>
    <w:rsid w:val="00082992"/>
    <w:rsid w:val="00082C65"/>
    <w:rsid w:val="00083B70"/>
    <w:rsid w:val="000841A2"/>
    <w:rsid w:val="00084579"/>
    <w:rsid w:val="000862E2"/>
    <w:rsid w:val="000869C8"/>
    <w:rsid w:val="00086AF6"/>
    <w:rsid w:val="0008783A"/>
    <w:rsid w:val="00090274"/>
    <w:rsid w:val="000909D3"/>
    <w:rsid w:val="000913A9"/>
    <w:rsid w:val="0009265D"/>
    <w:rsid w:val="00096AE0"/>
    <w:rsid w:val="00097AE5"/>
    <w:rsid w:val="000A081F"/>
    <w:rsid w:val="000A1AE3"/>
    <w:rsid w:val="000A3BF1"/>
    <w:rsid w:val="000A4B93"/>
    <w:rsid w:val="000A54E8"/>
    <w:rsid w:val="000A5BE8"/>
    <w:rsid w:val="000A5D42"/>
    <w:rsid w:val="000A7249"/>
    <w:rsid w:val="000A729A"/>
    <w:rsid w:val="000A75DA"/>
    <w:rsid w:val="000B0657"/>
    <w:rsid w:val="000B0948"/>
    <w:rsid w:val="000B0BEA"/>
    <w:rsid w:val="000B2AB7"/>
    <w:rsid w:val="000B3585"/>
    <w:rsid w:val="000B5CF2"/>
    <w:rsid w:val="000B5E62"/>
    <w:rsid w:val="000B6872"/>
    <w:rsid w:val="000C0345"/>
    <w:rsid w:val="000C04EE"/>
    <w:rsid w:val="000C148B"/>
    <w:rsid w:val="000C1F74"/>
    <w:rsid w:val="000C21A7"/>
    <w:rsid w:val="000C2F44"/>
    <w:rsid w:val="000C3528"/>
    <w:rsid w:val="000C4E64"/>
    <w:rsid w:val="000C66E8"/>
    <w:rsid w:val="000D035D"/>
    <w:rsid w:val="000D2723"/>
    <w:rsid w:val="000E05D5"/>
    <w:rsid w:val="000E06F5"/>
    <w:rsid w:val="000E10DF"/>
    <w:rsid w:val="000E12E9"/>
    <w:rsid w:val="000E52D7"/>
    <w:rsid w:val="000F0066"/>
    <w:rsid w:val="000F0CE2"/>
    <w:rsid w:val="000F3DB1"/>
    <w:rsid w:val="000F3FB9"/>
    <w:rsid w:val="000F44D0"/>
    <w:rsid w:val="000F457A"/>
    <w:rsid w:val="000F5586"/>
    <w:rsid w:val="000F5D96"/>
    <w:rsid w:val="000F6EBF"/>
    <w:rsid w:val="00100187"/>
    <w:rsid w:val="00102E79"/>
    <w:rsid w:val="00103563"/>
    <w:rsid w:val="00104034"/>
    <w:rsid w:val="001040E2"/>
    <w:rsid w:val="0010490E"/>
    <w:rsid w:val="001050C9"/>
    <w:rsid w:val="001079DC"/>
    <w:rsid w:val="00112F4F"/>
    <w:rsid w:val="00113E97"/>
    <w:rsid w:val="00113EBB"/>
    <w:rsid w:val="00116894"/>
    <w:rsid w:val="00117D78"/>
    <w:rsid w:val="0012230A"/>
    <w:rsid w:val="00124A48"/>
    <w:rsid w:val="00125C9A"/>
    <w:rsid w:val="0012611F"/>
    <w:rsid w:val="00126852"/>
    <w:rsid w:val="001303A9"/>
    <w:rsid w:val="00133EB2"/>
    <w:rsid w:val="00135E31"/>
    <w:rsid w:val="00135EE0"/>
    <w:rsid w:val="00137E0C"/>
    <w:rsid w:val="0014098A"/>
    <w:rsid w:val="0014141F"/>
    <w:rsid w:val="00141D77"/>
    <w:rsid w:val="001427C6"/>
    <w:rsid w:val="0014414A"/>
    <w:rsid w:val="00144DF6"/>
    <w:rsid w:val="00145BE3"/>
    <w:rsid w:val="00145D6F"/>
    <w:rsid w:val="00151064"/>
    <w:rsid w:val="0015251B"/>
    <w:rsid w:val="001549EE"/>
    <w:rsid w:val="00155CBE"/>
    <w:rsid w:val="00155CBF"/>
    <w:rsid w:val="00157069"/>
    <w:rsid w:val="001608E8"/>
    <w:rsid w:val="00161AEC"/>
    <w:rsid w:val="00161DB5"/>
    <w:rsid w:val="00161DD2"/>
    <w:rsid w:val="00172C79"/>
    <w:rsid w:val="001735D5"/>
    <w:rsid w:val="00173FDD"/>
    <w:rsid w:val="001761ED"/>
    <w:rsid w:val="0017637E"/>
    <w:rsid w:val="00176A50"/>
    <w:rsid w:val="00177C04"/>
    <w:rsid w:val="00180242"/>
    <w:rsid w:val="00180499"/>
    <w:rsid w:val="0018061E"/>
    <w:rsid w:val="00181D25"/>
    <w:rsid w:val="00182195"/>
    <w:rsid w:val="00182294"/>
    <w:rsid w:val="001824AC"/>
    <w:rsid w:val="001829FC"/>
    <w:rsid w:val="001869F3"/>
    <w:rsid w:val="00190C36"/>
    <w:rsid w:val="00191DB2"/>
    <w:rsid w:val="00193D8E"/>
    <w:rsid w:val="0019463A"/>
    <w:rsid w:val="001974C2"/>
    <w:rsid w:val="001A10B5"/>
    <w:rsid w:val="001A1718"/>
    <w:rsid w:val="001A1B4E"/>
    <w:rsid w:val="001A3D8B"/>
    <w:rsid w:val="001A416C"/>
    <w:rsid w:val="001A42E4"/>
    <w:rsid w:val="001A5974"/>
    <w:rsid w:val="001B41CB"/>
    <w:rsid w:val="001B44F1"/>
    <w:rsid w:val="001B571C"/>
    <w:rsid w:val="001B5EBA"/>
    <w:rsid w:val="001B763D"/>
    <w:rsid w:val="001C0E28"/>
    <w:rsid w:val="001C0F1A"/>
    <w:rsid w:val="001C32B7"/>
    <w:rsid w:val="001C3D11"/>
    <w:rsid w:val="001C746B"/>
    <w:rsid w:val="001D040A"/>
    <w:rsid w:val="001D1DC0"/>
    <w:rsid w:val="001D239E"/>
    <w:rsid w:val="001D4316"/>
    <w:rsid w:val="001D46F9"/>
    <w:rsid w:val="001D506B"/>
    <w:rsid w:val="001D6C0F"/>
    <w:rsid w:val="001D723E"/>
    <w:rsid w:val="001D7BA2"/>
    <w:rsid w:val="001E05E4"/>
    <w:rsid w:val="001E0EAD"/>
    <w:rsid w:val="001E0EB7"/>
    <w:rsid w:val="001E1519"/>
    <w:rsid w:val="001E2877"/>
    <w:rsid w:val="001F1175"/>
    <w:rsid w:val="001F2C21"/>
    <w:rsid w:val="001F413C"/>
    <w:rsid w:val="00200B9E"/>
    <w:rsid w:val="00200D0A"/>
    <w:rsid w:val="00200F45"/>
    <w:rsid w:val="002020DB"/>
    <w:rsid w:val="00204879"/>
    <w:rsid w:val="00204D4F"/>
    <w:rsid w:val="0020744E"/>
    <w:rsid w:val="00207B7D"/>
    <w:rsid w:val="00207BEA"/>
    <w:rsid w:val="00210E20"/>
    <w:rsid w:val="002113CC"/>
    <w:rsid w:val="0021364D"/>
    <w:rsid w:val="00214C32"/>
    <w:rsid w:val="00215136"/>
    <w:rsid w:val="00217B5A"/>
    <w:rsid w:val="00217BAA"/>
    <w:rsid w:val="00220628"/>
    <w:rsid w:val="00222565"/>
    <w:rsid w:val="00223EFB"/>
    <w:rsid w:val="002245A7"/>
    <w:rsid w:val="002248C1"/>
    <w:rsid w:val="0022491E"/>
    <w:rsid w:val="0022504C"/>
    <w:rsid w:val="00225E4D"/>
    <w:rsid w:val="00226D2D"/>
    <w:rsid w:val="00227E60"/>
    <w:rsid w:val="002300D9"/>
    <w:rsid w:val="002304EA"/>
    <w:rsid w:val="00230B6C"/>
    <w:rsid w:val="00234AD3"/>
    <w:rsid w:val="0023523B"/>
    <w:rsid w:val="00235B65"/>
    <w:rsid w:val="0023690A"/>
    <w:rsid w:val="00236FBD"/>
    <w:rsid w:val="002443F2"/>
    <w:rsid w:val="002466A5"/>
    <w:rsid w:val="002506F2"/>
    <w:rsid w:val="002513D3"/>
    <w:rsid w:val="00251BE8"/>
    <w:rsid w:val="00252287"/>
    <w:rsid w:val="00253D66"/>
    <w:rsid w:val="002550AB"/>
    <w:rsid w:val="00255FC5"/>
    <w:rsid w:val="0025611B"/>
    <w:rsid w:val="0025639C"/>
    <w:rsid w:val="002573EF"/>
    <w:rsid w:val="002576DF"/>
    <w:rsid w:val="00261767"/>
    <w:rsid w:val="002633FD"/>
    <w:rsid w:val="002643D0"/>
    <w:rsid w:val="00266A4A"/>
    <w:rsid w:val="002675C2"/>
    <w:rsid w:val="00267ACC"/>
    <w:rsid w:val="00267FAC"/>
    <w:rsid w:val="00267FC0"/>
    <w:rsid w:val="00270D4F"/>
    <w:rsid w:val="00271E21"/>
    <w:rsid w:val="00272656"/>
    <w:rsid w:val="002729C8"/>
    <w:rsid w:val="00275A82"/>
    <w:rsid w:val="002779E1"/>
    <w:rsid w:val="00277AED"/>
    <w:rsid w:val="00280D90"/>
    <w:rsid w:val="00281B08"/>
    <w:rsid w:val="002823F5"/>
    <w:rsid w:val="00282832"/>
    <w:rsid w:val="00283C03"/>
    <w:rsid w:val="00286250"/>
    <w:rsid w:val="002938C3"/>
    <w:rsid w:val="00294105"/>
    <w:rsid w:val="0029681D"/>
    <w:rsid w:val="00297261"/>
    <w:rsid w:val="00297317"/>
    <w:rsid w:val="002A011C"/>
    <w:rsid w:val="002A1649"/>
    <w:rsid w:val="002A188D"/>
    <w:rsid w:val="002A24E5"/>
    <w:rsid w:val="002A3E10"/>
    <w:rsid w:val="002A3FBF"/>
    <w:rsid w:val="002A4C77"/>
    <w:rsid w:val="002A6375"/>
    <w:rsid w:val="002B08CD"/>
    <w:rsid w:val="002B0F21"/>
    <w:rsid w:val="002B4C4D"/>
    <w:rsid w:val="002B4CD7"/>
    <w:rsid w:val="002B6E2A"/>
    <w:rsid w:val="002B71D5"/>
    <w:rsid w:val="002B736F"/>
    <w:rsid w:val="002C0B12"/>
    <w:rsid w:val="002C0C4A"/>
    <w:rsid w:val="002C116B"/>
    <w:rsid w:val="002C34E7"/>
    <w:rsid w:val="002C47B9"/>
    <w:rsid w:val="002C66F0"/>
    <w:rsid w:val="002C7042"/>
    <w:rsid w:val="002D0D57"/>
    <w:rsid w:val="002D1EAD"/>
    <w:rsid w:val="002D370A"/>
    <w:rsid w:val="002D44C5"/>
    <w:rsid w:val="002D61A8"/>
    <w:rsid w:val="002D6506"/>
    <w:rsid w:val="002E2307"/>
    <w:rsid w:val="002E3388"/>
    <w:rsid w:val="002E44FA"/>
    <w:rsid w:val="002E7884"/>
    <w:rsid w:val="002F4545"/>
    <w:rsid w:val="002F47BD"/>
    <w:rsid w:val="002F510C"/>
    <w:rsid w:val="002F6285"/>
    <w:rsid w:val="002F7AEB"/>
    <w:rsid w:val="0030096D"/>
    <w:rsid w:val="003063B1"/>
    <w:rsid w:val="00306A06"/>
    <w:rsid w:val="00307E96"/>
    <w:rsid w:val="00307EDE"/>
    <w:rsid w:val="0031048F"/>
    <w:rsid w:val="00310491"/>
    <w:rsid w:val="00311142"/>
    <w:rsid w:val="003114E6"/>
    <w:rsid w:val="00312598"/>
    <w:rsid w:val="003127B0"/>
    <w:rsid w:val="00313A1E"/>
    <w:rsid w:val="00314C6B"/>
    <w:rsid w:val="0031764D"/>
    <w:rsid w:val="00317731"/>
    <w:rsid w:val="00320027"/>
    <w:rsid w:val="003207EA"/>
    <w:rsid w:val="003213C0"/>
    <w:rsid w:val="003242C5"/>
    <w:rsid w:val="003252AF"/>
    <w:rsid w:val="003259A5"/>
    <w:rsid w:val="00327420"/>
    <w:rsid w:val="0033138E"/>
    <w:rsid w:val="00333E93"/>
    <w:rsid w:val="00334D01"/>
    <w:rsid w:val="0033517C"/>
    <w:rsid w:val="003351AA"/>
    <w:rsid w:val="00335584"/>
    <w:rsid w:val="00336A69"/>
    <w:rsid w:val="00336E94"/>
    <w:rsid w:val="00337D04"/>
    <w:rsid w:val="003409E5"/>
    <w:rsid w:val="00341E81"/>
    <w:rsid w:val="00343949"/>
    <w:rsid w:val="00345CFE"/>
    <w:rsid w:val="00347904"/>
    <w:rsid w:val="003479F3"/>
    <w:rsid w:val="0035054C"/>
    <w:rsid w:val="00351AA5"/>
    <w:rsid w:val="00351E61"/>
    <w:rsid w:val="003530A9"/>
    <w:rsid w:val="003541F3"/>
    <w:rsid w:val="003542D2"/>
    <w:rsid w:val="00355B6C"/>
    <w:rsid w:val="0035667F"/>
    <w:rsid w:val="0036118F"/>
    <w:rsid w:val="00363259"/>
    <w:rsid w:val="0036355B"/>
    <w:rsid w:val="00365315"/>
    <w:rsid w:val="00367D0E"/>
    <w:rsid w:val="003700D8"/>
    <w:rsid w:val="003708D1"/>
    <w:rsid w:val="00370990"/>
    <w:rsid w:val="00370C9A"/>
    <w:rsid w:val="0037108D"/>
    <w:rsid w:val="00371745"/>
    <w:rsid w:val="00372AB8"/>
    <w:rsid w:val="00374024"/>
    <w:rsid w:val="003761CE"/>
    <w:rsid w:val="0037712F"/>
    <w:rsid w:val="00377828"/>
    <w:rsid w:val="00377A8E"/>
    <w:rsid w:val="00381ABC"/>
    <w:rsid w:val="00382E5E"/>
    <w:rsid w:val="003845A8"/>
    <w:rsid w:val="00384929"/>
    <w:rsid w:val="00385030"/>
    <w:rsid w:val="00385B35"/>
    <w:rsid w:val="00385E3B"/>
    <w:rsid w:val="0039095A"/>
    <w:rsid w:val="00390C0A"/>
    <w:rsid w:val="00391489"/>
    <w:rsid w:val="003927D8"/>
    <w:rsid w:val="00392946"/>
    <w:rsid w:val="003935DB"/>
    <w:rsid w:val="00394B76"/>
    <w:rsid w:val="003A253C"/>
    <w:rsid w:val="003A3DF8"/>
    <w:rsid w:val="003A4C18"/>
    <w:rsid w:val="003A4EB6"/>
    <w:rsid w:val="003A5F20"/>
    <w:rsid w:val="003A6841"/>
    <w:rsid w:val="003B0EA4"/>
    <w:rsid w:val="003B0F86"/>
    <w:rsid w:val="003B28D0"/>
    <w:rsid w:val="003B355A"/>
    <w:rsid w:val="003B39DA"/>
    <w:rsid w:val="003B5121"/>
    <w:rsid w:val="003B5A30"/>
    <w:rsid w:val="003B5EEE"/>
    <w:rsid w:val="003C04E0"/>
    <w:rsid w:val="003C281F"/>
    <w:rsid w:val="003C2E8C"/>
    <w:rsid w:val="003C413E"/>
    <w:rsid w:val="003C5FDA"/>
    <w:rsid w:val="003C7DE1"/>
    <w:rsid w:val="003D1153"/>
    <w:rsid w:val="003D1FF4"/>
    <w:rsid w:val="003D21A6"/>
    <w:rsid w:val="003D2277"/>
    <w:rsid w:val="003D2B76"/>
    <w:rsid w:val="003D453E"/>
    <w:rsid w:val="003D5D8C"/>
    <w:rsid w:val="003D5F5F"/>
    <w:rsid w:val="003E0ACF"/>
    <w:rsid w:val="003E20EC"/>
    <w:rsid w:val="003E3443"/>
    <w:rsid w:val="003E4937"/>
    <w:rsid w:val="003E51B1"/>
    <w:rsid w:val="003E6176"/>
    <w:rsid w:val="003E79BA"/>
    <w:rsid w:val="003F11D8"/>
    <w:rsid w:val="003F1E1A"/>
    <w:rsid w:val="003F1F6D"/>
    <w:rsid w:val="003F32E0"/>
    <w:rsid w:val="003F3324"/>
    <w:rsid w:val="003F513B"/>
    <w:rsid w:val="00400765"/>
    <w:rsid w:val="00401279"/>
    <w:rsid w:val="0040167A"/>
    <w:rsid w:val="00401F75"/>
    <w:rsid w:val="004102C9"/>
    <w:rsid w:val="00412272"/>
    <w:rsid w:val="00412ECD"/>
    <w:rsid w:val="0041354B"/>
    <w:rsid w:val="00416A7B"/>
    <w:rsid w:val="00417B39"/>
    <w:rsid w:val="004208AB"/>
    <w:rsid w:val="004216E1"/>
    <w:rsid w:val="00421DCC"/>
    <w:rsid w:val="004239CC"/>
    <w:rsid w:val="004255C1"/>
    <w:rsid w:val="00426CB2"/>
    <w:rsid w:val="00426F39"/>
    <w:rsid w:val="0042736A"/>
    <w:rsid w:val="004277D4"/>
    <w:rsid w:val="00430C8D"/>
    <w:rsid w:val="0043381D"/>
    <w:rsid w:val="004363DD"/>
    <w:rsid w:val="00437FEA"/>
    <w:rsid w:val="00440E4A"/>
    <w:rsid w:val="0044137A"/>
    <w:rsid w:val="004418FA"/>
    <w:rsid w:val="0044231F"/>
    <w:rsid w:val="004438CC"/>
    <w:rsid w:val="00446D90"/>
    <w:rsid w:val="00446EC7"/>
    <w:rsid w:val="00447808"/>
    <w:rsid w:val="0045089B"/>
    <w:rsid w:val="00451C4A"/>
    <w:rsid w:val="00453AD3"/>
    <w:rsid w:val="00455476"/>
    <w:rsid w:val="00455885"/>
    <w:rsid w:val="00461270"/>
    <w:rsid w:val="004621DE"/>
    <w:rsid w:val="00462B36"/>
    <w:rsid w:val="00464CC1"/>
    <w:rsid w:val="00466347"/>
    <w:rsid w:val="00466C20"/>
    <w:rsid w:val="004719C3"/>
    <w:rsid w:val="00471BAF"/>
    <w:rsid w:val="00473051"/>
    <w:rsid w:val="00473D20"/>
    <w:rsid w:val="0047449B"/>
    <w:rsid w:val="004766A7"/>
    <w:rsid w:val="004766E9"/>
    <w:rsid w:val="0048031B"/>
    <w:rsid w:val="00482496"/>
    <w:rsid w:val="00482850"/>
    <w:rsid w:val="00482904"/>
    <w:rsid w:val="0048580C"/>
    <w:rsid w:val="00485D0D"/>
    <w:rsid w:val="004869B1"/>
    <w:rsid w:val="00487E98"/>
    <w:rsid w:val="004911AD"/>
    <w:rsid w:val="00491AAC"/>
    <w:rsid w:val="004935F0"/>
    <w:rsid w:val="00493CD0"/>
    <w:rsid w:val="00494180"/>
    <w:rsid w:val="004A1385"/>
    <w:rsid w:val="004A2D1B"/>
    <w:rsid w:val="004A514E"/>
    <w:rsid w:val="004A66A2"/>
    <w:rsid w:val="004B02E8"/>
    <w:rsid w:val="004B11A2"/>
    <w:rsid w:val="004B212A"/>
    <w:rsid w:val="004B2918"/>
    <w:rsid w:val="004B4B3D"/>
    <w:rsid w:val="004B4C32"/>
    <w:rsid w:val="004B4C8A"/>
    <w:rsid w:val="004B6B21"/>
    <w:rsid w:val="004C2C46"/>
    <w:rsid w:val="004C313C"/>
    <w:rsid w:val="004C4E1B"/>
    <w:rsid w:val="004C56ED"/>
    <w:rsid w:val="004C62DD"/>
    <w:rsid w:val="004D0D27"/>
    <w:rsid w:val="004D1128"/>
    <w:rsid w:val="004D168F"/>
    <w:rsid w:val="004D19DF"/>
    <w:rsid w:val="004D26A3"/>
    <w:rsid w:val="004D3C8A"/>
    <w:rsid w:val="004D59DD"/>
    <w:rsid w:val="004E1C61"/>
    <w:rsid w:val="004E1D05"/>
    <w:rsid w:val="004E26CB"/>
    <w:rsid w:val="004E31FD"/>
    <w:rsid w:val="004E53D6"/>
    <w:rsid w:val="004E5FAD"/>
    <w:rsid w:val="004E62E0"/>
    <w:rsid w:val="004E6477"/>
    <w:rsid w:val="004E7B90"/>
    <w:rsid w:val="004F0309"/>
    <w:rsid w:val="004F13F6"/>
    <w:rsid w:val="004F1711"/>
    <w:rsid w:val="004F34C8"/>
    <w:rsid w:val="004F44E0"/>
    <w:rsid w:val="004F50C5"/>
    <w:rsid w:val="004F534B"/>
    <w:rsid w:val="004F536E"/>
    <w:rsid w:val="0050124B"/>
    <w:rsid w:val="005018A7"/>
    <w:rsid w:val="00507713"/>
    <w:rsid w:val="00507D45"/>
    <w:rsid w:val="005108E5"/>
    <w:rsid w:val="00511A17"/>
    <w:rsid w:val="005130F2"/>
    <w:rsid w:val="00513D91"/>
    <w:rsid w:val="00516956"/>
    <w:rsid w:val="00522311"/>
    <w:rsid w:val="005225D4"/>
    <w:rsid w:val="00522642"/>
    <w:rsid w:val="00525094"/>
    <w:rsid w:val="00533269"/>
    <w:rsid w:val="00537051"/>
    <w:rsid w:val="00540950"/>
    <w:rsid w:val="00542F90"/>
    <w:rsid w:val="005439AB"/>
    <w:rsid w:val="00544144"/>
    <w:rsid w:val="00545D89"/>
    <w:rsid w:val="0054634A"/>
    <w:rsid w:val="005478E0"/>
    <w:rsid w:val="00547F80"/>
    <w:rsid w:val="0055065E"/>
    <w:rsid w:val="00552729"/>
    <w:rsid w:val="00552DEC"/>
    <w:rsid w:val="00556251"/>
    <w:rsid w:val="005570A8"/>
    <w:rsid w:val="00557977"/>
    <w:rsid w:val="00560252"/>
    <w:rsid w:val="00560641"/>
    <w:rsid w:val="0056169C"/>
    <w:rsid w:val="00562C97"/>
    <w:rsid w:val="005634CE"/>
    <w:rsid w:val="00567284"/>
    <w:rsid w:val="00567791"/>
    <w:rsid w:val="00567E3D"/>
    <w:rsid w:val="00571D53"/>
    <w:rsid w:val="0057212E"/>
    <w:rsid w:val="00573BA9"/>
    <w:rsid w:val="005743AF"/>
    <w:rsid w:val="0057469C"/>
    <w:rsid w:val="005765E5"/>
    <w:rsid w:val="00576C46"/>
    <w:rsid w:val="0058003B"/>
    <w:rsid w:val="00581679"/>
    <w:rsid w:val="005820C2"/>
    <w:rsid w:val="00583342"/>
    <w:rsid w:val="00584290"/>
    <w:rsid w:val="005847AF"/>
    <w:rsid w:val="00585020"/>
    <w:rsid w:val="00585083"/>
    <w:rsid w:val="0058612B"/>
    <w:rsid w:val="005870AE"/>
    <w:rsid w:val="005877AB"/>
    <w:rsid w:val="005877E2"/>
    <w:rsid w:val="00587B20"/>
    <w:rsid w:val="00587FE7"/>
    <w:rsid w:val="005927C6"/>
    <w:rsid w:val="0059318E"/>
    <w:rsid w:val="00593BC4"/>
    <w:rsid w:val="005941E3"/>
    <w:rsid w:val="00594800"/>
    <w:rsid w:val="00595D2C"/>
    <w:rsid w:val="005977D6"/>
    <w:rsid w:val="005A1228"/>
    <w:rsid w:val="005A2909"/>
    <w:rsid w:val="005A2ECC"/>
    <w:rsid w:val="005A3050"/>
    <w:rsid w:val="005A48FC"/>
    <w:rsid w:val="005A5A02"/>
    <w:rsid w:val="005A7872"/>
    <w:rsid w:val="005B1658"/>
    <w:rsid w:val="005B23BF"/>
    <w:rsid w:val="005B3AC3"/>
    <w:rsid w:val="005B43B3"/>
    <w:rsid w:val="005B44F8"/>
    <w:rsid w:val="005B5236"/>
    <w:rsid w:val="005B7B5F"/>
    <w:rsid w:val="005C00D9"/>
    <w:rsid w:val="005C0574"/>
    <w:rsid w:val="005C0C8D"/>
    <w:rsid w:val="005C1DC3"/>
    <w:rsid w:val="005C29FA"/>
    <w:rsid w:val="005C3E87"/>
    <w:rsid w:val="005C41BF"/>
    <w:rsid w:val="005C4293"/>
    <w:rsid w:val="005C65BE"/>
    <w:rsid w:val="005C6B06"/>
    <w:rsid w:val="005C70C7"/>
    <w:rsid w:val="005C7B10"/>
    <w:rsid w:val="005D1F54"/>
    <w:rsid w:val="005D21B0"/>
    <w:rsid w:val="005D2569"/>
    <w:rsid w:val="005D357C"/>
    <w:rsid w:val="005D3680"/>
    <w:rsid w:val="005D39D4"/>
    <w:rsid w:val="005D5051"/>
    <w:rsid w:val="005D509D"/>
    <w:rsid w:val="005D604E"/>
    <w:rsid w:val="005E1978"/>
    <w:rsid w:val="005E2BE5"/>
    <w:rsid w:val="005E2F22"/>
    <w:rsid w:val="005E35A7"/>
    <w:rsid w:val="005E4F9D"/>
    <w:rsid w:val="005F216A"/>
    <w:rsid w:val="005F23AB"/>
    <w:rsid w:val="005F23E9"/>
    <w:rsid w:val="005F5661"/>
    <w:rsid w:val="005F60F9"/>
    <w:rsid w:val="005F7397"/>
    <w:rsid w:val="00600B01"/>
    <w:rsid w:val="006038E3"/>
    <w:rsid w:val="00603BE4"/>
    <w:rsid w:val="006055DC"/>
    <w:rsid w:val="006069B7"/>
    <w:rsid w:val="0061114F"/>
    <w:rsid w:val="00612BFD"/>
    <w:rsid w:val="00613DCC"/>
    <w:rsid w:val="00614F7C"/>
    <w:rsid w:val="006156D1"/>
    <w:rsid w:val="00615F7F"/>
    <w:rsid w:val="00615FF1"/>
    <w:rsid w:val="0061668E"/>
    <w:rsid w:val="00617007"/>
    <w:rsid w:val="006174B8"/>
    <w:rsid w:val="00620F69"/>
    <w:rsid w:val="00622C83"/>
    <w:rsid w:val="006239DD"/>
    <w:rsid w:val="00623DD8"/>
    <w:rsid w:val="0062437F"/>
    <w:rsid w:val="006248BA"/>
    <w:rsid w:val="00627503"/>
    <w:rsid w:val="0062781D"/>
    <w:rsid w:val="0063008C"/>
    <w:rsid w:val="00631A27"/>
    <w:rsid w:val="00633624"/>
    <w:rsid w:val="00635026"/>
    <w:rsid w:val="00635618"/>
    <w:rsid w:val="00635962"/>
    <w:rsid w:val="00636EB8"/>
    <w:rsid w:val="00637209"/>
    <w:rsid w:val="006378DB"/>
    <w:rsid w:val="00641B9A"/>
    <w:rsid w:val="00641EEC"/>
    <w:rsid w:val="00643A35"/>
    <w:rsid w:val="00643FD2"/>
    <w:rsid w:val="00643FE6"/>
    <w:rsid w:val="0064430E"/>
    <w:rsid w:val="00645014"/>
    <w:rsid w:val="0065745D"/>
    <w:rsid w:val="0066012F"/>
    <w:rsid w:val="00660424"/>
    <w:rsid w:val="00660555"/>
    <w:rsid w:val="0066076B"/>
    <w:rsid w:val="006616AC"/>
    <w:rsid w:val="00662067"/>
    <w:rsid w:val="00662358"/>
    <w:rsid w:val="00662CF0"/>
    <w:rsid w:val="00662F3E"/>
    <w:rsid w:val="00664ADC"/>
    <w:rsid w:val="00666080"/>
    <w:rsid w:val="0066663F"/>
    <w:rsid w:val="00667AF9"/>
    <w:rsid w:val="00670E5D"/>
    <w:rsid w:val="00672FA2"/>
    <w:rsid w:val="00675761"/>
    <w:rsid w:val="0067688E"/>
    <w:rsid w:val="006768BD"/>
    <w:rsid w:val="00676C23"/>
    <w:rsid w:val="00681D06"/>
    <w:rsid w:val="006822DF"/>
    <w:rsid w:val="006845D5"/>
    <w:rsid w:val="0068552A"/>
    <w:rsid w:val="00686029"/>
    <w:rsid w:val="00694EC1"/>
    <w:rsid w:val="00694FFE"/>
    <w:rsid w:val="006957F8"/>
    <w:rsid w:val="00697A41"/>
    <w:rsid w:val="006A1459"/>
    <w:rsid w:val="006A2065"/>
    <w:rsid w:val="006A21A7"/>
    <w:rsid w:val="006A3625"/>
    <w:rsid w:val="006A58DB"/>
    <w:rsid w:val="006A6BB6"/>
    <w:rsid w:val="006B1543"/>
    <w:rsid w:val="006B17D6"/>
    <w:rsid w:val="006B218E"/>
    <w:rsid w:val="006B3ADE"/>
    <w:rsid w:val="006B4413"/>
    <w:rsid w:val="006C0035"/>
    <w:rsid w:val="006C15EA"/>
    <w:rsid w:val="006C3886"/>
    <w:rsid w:val="006C6F8D"/>
    <w:rsid w:val="006C702A"/>
    <w:rsid w:val="006D0154"/>
    <w:rsid w:val="006D1C5D"/>
    <w:rsid w:val="006D3716"/>
    <w:rsid w:val="006D3AB6"/>
    <w:rsid w:val="006D6672"/>
    <w:rsid w:val="006D6BCE"/>
    <w:rsid w:val="006D7792"/>
    <w:rsid w:val="006D7D06"/>
    <w:rsid w:val="006E12EB"/>
    <w:rsid w:val="006E1532"/>
    <w:rsid w:val="006E1AC7"/>
    <w:rsid w:val="006E4289"/>
    <w:rsid w:val="006F0262"/>
    <w:rsid w:val="006F36FE"/>
    <w:rsid w:val="006F5B16"/>
    <w:rsid w:val="006F7E6D"/>
    <w:rsid w:val="00700C72"/>
    <w:rsid w:val="00702F03"/>
    <w:rsid w:val="00703084"/>
    <w:rsid w:val="0070374A"/>
    <w:rsid w:val="007042BD"/>
    <w:rsid w:val="007049E5"/>
    <w:rsid w:val="00706A2F"/>
    <w:rsid w:val="00706EF9"/>
    <w:rsid w:val="007079DF"/>
    <w:rsid w:val="00707B9F"/>
    <w:rsid w:val="0071066B"/>
    <w:rsid w:val="00712B11"/>
    <w:rsid w:val="00712D8B"/>
    <w:rsid w:val="0071585F"/>
    <w:rsid w:val="00715F06"/>
    <w:rsid w:val="007205E5"/>
    <w:rsid w:val="00720D86"/>
    <w:rsid w:val="007238E6"/>
    <w:rsid w:val="0072515C"/>
    <w:rsid w:val="00732B5F"/>
    <w:rsid w:val="00732D74"/>
    <w:rsid w:val="00733207"/>
    <w:rsid w:val="007332DF"/>
    <w:rsid w:val="0073446F"/>
    <w:rsid w:val="00734549"/>
    <w:rsid w:val="00735159"/>
    <w:rsid w:val="00735EAF"/>
    <w:rsid w:val="007369FC"/>
    <w:rsid w:val="00741422"/>
    <w:rsid w:val="00741A50"/>
    <w:rsid w:val="00741CE7"/>
    <w:rsid w:val="00741F72"/>
    <w:rsid w:val="007426D3"/>
    <w:rsid w:val="0074457B"/>
    <w:rsid w:val="007453FA"/>
    <w:rsid w:val="0074732C"/>
    <w:rsid w:val="007514A2"/>
    <w:rsid w:val="0075191E"/>
    <w:rsid w:val="00751F11"/>
    <w:rsid w:val="00752D53"/>
    <w:rsid w:val="00752DE1"/>
    <w:rsid w:val="00754D65"/>
    <w:rsid w:val="0075640B"/>
    <w:rsid w:val="00757445"/>
    <w:rsid w:val="00760739"/>
    <w:rsid w:val="007637C6"/>
    <w:rsid w:val="00765CFC"/>
    <w:rsid w:val="00770285"/>
    <w:rsid w:val="007719D0"/>
    <w:rsid w:val="00772B20"/>
    <w:rsid w:val="00773DBE"/>
    <w:rsid w:val="00775246"/>
    <w:rsid w:val="00777C81"/>
    <w:rsid w:val="00780935"/>
    <w:rsid w:val="00783694"/>
    <w:rsid w:val="00784096"/>
    <w:rsid w:val="00786A19"/>
    <w:rsid w:val="007902E2"/>
    <w:rsid w:val="00791F73"/>
    <w:rsid w:val="00792A2B"/>
    <w:rsid w:val="00792C01"/>
    <w:rsid w:val="00793D25"/>
    <w:rsid w:val="007940E4"/>
    <w:rsid w:val="007944DB"/>
    <w:rsid w:val="00794842"/>
    <w:rsid w:val="00794AA1"/>
    <w:rsid w:val="00794B73"/>
    <w:rsid w:val="00795618"/>
    <w:rsid w:val="007A07E6"/>
    <w:rsid w:val="007A1ED2"/>
    <w:rsid w:val="007A230D"/>
    <w:rsid w:val="007A34E3"/>
    <w:rsid w:val="007A5B61"/>
    <w:rsid w:val="007A65D2"/>
    <w:rsid w:val="007A75B8"/>
    <w:rsid w:val="007A7E6E"/>
    <w:rsid w:val="007B0AB5"/>
    <w:rsid w:val="007B1CF5"/>
    <w:rsid w:val="007B3238"/>
    <w:rsid w:val="007B38DF"/>
    <w:rsid w:val="007B3D43"/>
    <w:rsid w:val="007B4659"/>
    <w:rsid w:val="007B485F"/>
    <w:rsid w:val="007B633C"/>
    <w:rsid w:val="007B6ECF"/>
    <w:rsid w:val="007C1318"/>
    <w:rsid w:val="007C25B4"/>
    <w:rsid w:val="007C2BAC"/>
    <w:rsid w:val="007C3EFA"/>
    <w:rsid w:val="007C5A3C"/>
    <w:rsid w:val="007C5B04"/>
    <w:rsid w:val="007C71AA"/>
    <w:rsid w:val="007C7737"/>
    <w:rsid w:val="007D02C5"/>
    <w:rsid w:val="007D48CF"/>
    <w:rsid w:val="007D4F85"/>
    <w:rsid w:val="007D5275"/>
    <w:rsid w:val="007D59F8"/>
    <w:rsid w:val="007D5A89"/>
    <w:rsid w:val="007D67B9"/>
    <w:rsid w:val="007D68F2"/>
    <w:rsid w:val="007E0876"/>
    <w:rsid w:val="007E1984"/>
    <w:rsid w:val="007E2313"/>
    <w:rsid w:val="007E2385"/>
    <w:rsid w:val="007E2BC2"/>
    <w:rsid w:val="007E39E2"/>
    <w:rsid w:val="007E4BBB"/>
    <w:rsid w:val="007E664B"/>
    <w:rsid w:val="007E721B"/>
    <w:rsid w:val="007E76FC"/>
    <w:rsid w:val="007F0285"/>
    <w:rsid w:val="007F0905"/>
    <w:rsid w:val="007F35F7"/>
    <w:rsid w:val="007F36F9"/>
    <w:rsid w:val="007F3AEF"/>
    <w:rsid w:val="007F487C"/>
    <w:rsid w:val="008003D7"/>
    <w:rsid w:val="008017DB"/>
    <w:rsid w:val="00801A9D"/>
    <w:rsid w:val="0080214D"/>
    <w:rsid w:val="00803469"/>
    <w:rsid w:val="00804600"/>
    <w:rsid w:val="008106F1"/>
    <w:rsid w:val="00816EB2"/>
    <w:rsid w:val="008173EE"/>
    <w:rsid w:val="00817869"/>
    <w:rsid w:val="00820153"/>
    <w:rsid w:val="00821AFD"/>
    <w:rsid w:val="00825184"/>
    <w:rsid w:val="00825883"/>
    <w:rsid w:val="00825AA2"/>
    <w:rsid w:val="00830526"/>
    <w:rsid w:val="00830687"/>
    <w:rsid w:val="00831469"/>
    <w:rsid w:val="0083256B"/>
    <w:rsid w:val="008331C4"/>
    <w:rsid w:val="00834352"/>
    <w:rsid w:val="00834747"/>
    <w:rsid w:val="0083487A"/>
    <w:rsid w:val="00834A82"/>
    <w:rsid w:val="00835BFC"/>
    <w:rsid w:val="0083650A"/>
    <w:rsid w:val="00836E4A"/>
    <w:rsid w:val="00836E8D"/>
    <w:rsid w:val="00843207"/>
    <w:rsid w:val="00844220"/>
    <w:rsid w:val="00845922"/>
    <w:rsid w:val="00847784"/>
    <w:rsid w:val="008479E3"/>
    <w:rsid w:val="00850DA9"/>
    <w:rsid w:val="00851846"/>
    <w:rsid w:val="008527E1"/>
    <w:rsid w:val="00856ED9"/>
    <w:rsid w:val="00861C4D"/>
    <w:rsid w:val="00862B8D"/>
    <w:rsid w:val="00862EB3"/>
    <w:rsid w:val="00862EB7"/>
    <w:rsid w:val="0086305D"/>
    <w:rsid w:val="00863B3B"/>
    <w:rsid w:val="00866033"/>
    <w:rsid w:val="00866A0B"/>
    <w:rsid w:val="00866BAD"/>
    <w:rsid w:val="00866F6A"/>
    <w:rsid w:val="00871587"/>
    <w:rsid w:val="00872BE5"/>
    <w:rsid w:val="0087323F"/>
    <w:rsid w:val="0087328D"/>
    <w:rsid w:val="008766DC"/>
    <w:rsid w:val="00883CB9"/>
    <w:rsid w:val="00884291"/>
    <w:rsid w:val="008848E8"/>
    <w:rsid w:val="008863A6"/>
    <w:rsid w:val="008864EA"/>
    <w:rsid w:val="00892040"/>
    <w:rsid w:val="00893059"/>
    <w:rsid w:val="00895F52"/>
    <w:rsid w:val="00896AB9"/>
    <w:rsid w:val="0089713A"/>
    <w:rsid w:val="008A1B22"/>
    <w:rsid w:val="008A3678"/>
    <w:rsid w:val="008A36D6"/>
    <w:rsid w:val="008A4A1D"/>
    <w:rsid w:val="008A55A2"/>
    <w:rsid w:val="008A56CF"/>
    <w:rsid w:val="008B01C4"/>
    <w:rsid w:val="008B045D"/>
    <w:rsid w:val="008B12E9"/>
    <w:rsid w:val="008B4963"/>
    <w:rsid w:val="008B4D49"/>
    <w:rsid w:val="008B7AAF"/>
    <w:rsid w:val="008C2D02"/>
    <w:rsid w:val="008C4EF3"/>
    <w:rsid w:val="008C6CBF"/>
    <w:rsid w:val="008C7050"/>
    <w:rsid w:val="008D0A40"/>
    <w:rsid w:val="008D249B"/>
    <w:rsid w:val="008D63D5"/>
    <w:rsid w:val="008E1440"/>
    <w:rsid w:val="008E5143"/>
    <w:rsid w:val="008E5E04"/>
    <w:rsid w:val="008E6257"/>
    <w:rsid w:val="008E7923"/>
    <w:rsid w:val="008E7A98"/>
    <w:rsid w:val="008F14C6"/>
    <w:rsid w:val="008F1BC5"/>
    <w:rsid w:val="008F262C"/>
    <w:rsid w:val="008F42C9"/>
    <w:rsid w:val="008F5A76"/>
    <w:rsid w:val="008F6328"/>
    <w:rsid w:val="009003B9"/>
    <w:rsid w:val="00901576"/>
    <w:rsid w:val="00903B82"/>
    <w:rsid w:val="00903F08"/>
    <w:rsid w:val="0090428C"/>
    <w:rsid w:val="00905435"/>
    <w:rsid w:val="00905525"/>
    <w:rsid w:val="00907A61"/>
    <w:rsid w:val="00912590"/>
    <w:rsid w:val="00912BAE"/>
    <w:rsid w:val="00913F3E"/>
    <w:rsid w:val="009162A6"/>
    <w:rsid w:val="00916AD6"/>
    <w:rsid w:val="00917180"/>
    <w:rsid w:val="0092048F"/>
    <w:rsid w:val="0092057B"/>
    <w:rsid w:val="0092361F"/>
    <w:rsid w:val="00924BC2"/>
    <w:rsid w:val="00925686"/>
    <w:rsid w:val="00926EEF"/>
    <w:rsid w:val="00927243"/>
    <w:rsid w:val="009320AF"/>
    <w:rsid w:val="009336B9"/>
    <w:rsid w:val="00933D88"/>
    <w:rsid w:val="00934DBC"/>
    <w:rsid w:val="00935513"/>
    <w:rsid w:val="00941639"/>
    <w:rsid w:val="00941D9E"/>
    <w:rsid w:val="009424E8"/>
    <w:rsid w:val="009433F7"/>
    <w:rsid w:val="00944411"/>
    <w:rsid w:val="00945F77"/>
    <w:rsid w:val="009464B2"/>
    <w:rsid w:val="0094754A"/>
    <w:rsid w:val="00947F0B"/>
    <w:rsid w:val="00951C39"/>
    <w:rsid w:val="00953A6C"/>
    <w:rsid w:val="009550F8"/>
    <w:rsid w:val="00956E80"/>
    <w:rsid w:val="00961ACF"/>
    <w:rsid w:val="00963625"/>
    <w:rsid w:val="00964F0C"/>
    <w:rsid w:val="009667B9"/>
    <w:rsid w:val="009676F7"/>
    <w:rsid w:val="0096787B"/>
    <w:rsid w:val="009700A1"/>
    <w:rsid w:val="00971503"/>
    <w:rsid w:val="009729B7"/>
    <w:rsid w:val="00974112"/>
    <w:rsid w:val="00974608"/>
    <w:rsid w:val="009753F1"/>
    <w:rsid w:val="00977EA7"/>
    <w:rsid w:val="009830F3"/>
    <w:rsid w:val="00983CED"/>
    <w:rsid w:val="00983F65"/>
    <w:rsid w:val="00984DCA"/>
    <w:rsid w:val="009862FA"/>
    <w:rsid w:val="00987DF3"/>
    <w:rsid w:val="009902E4"/>
    <w:rsid w:val="00990935"/>
    <w:rsid w:val="00991885"/>
    <w:rsid w:val="009926D5"/>
    <w:rsid w:val="00995D2F"/>
    <w:rsid w:val="00996795"/>
    <w:rsid w:val="009A0CE8"/>
    <w:rsid w:val="009A1D7D"/>
    <w:rsid w:val="009A2F33"/>
    <w:rsid w:val="009A4AF9"/>
    <w:rsid w:val="009A5A7E"/>
    <w:rsid w:val="009A5B42"/>
    <w:rsid w:val="009A728A"/>
    <w:rsid w:val="009B0E16"/>
    <w:rsid w:val="009B2298"/>
    <w:rsid w:val="009B42DB"/>
    <w:rsid w:val="009B4C72"/>
    <w:rsid w:val="009B697B"/>
    <w:rsid w:val="009B6B8C"/>
    <w:rsid w:val="009B75B3"/>
    <w:rsid w:val="009B7AEA"/>
    <w:rsid w:val="009B7CB0"/>
    <w:rsid w:val="009C1968"/>
    <w:rsid w:val="009C1C30"/>
    <w:rsid w:val="009C6452"/>
    <w:rsid w:val="009C789A"/>
    <w:rsid w:val="009C7D5D"/>
    <w:rsid w:val="009D23A8"/>
    <w:rsid w:val="009D3D5B"/>
    <w:rsid w:val="009D46B2"/>
    <w:rsid w:val="009D4811"/>
    <w:rsid w:val="009D4D94"/>
    <w:rsid w:val="009D5330"/>
    <w:rsid w:val="009D70A0"/>
    <w:rsid w:val="009E00F9"/>
    <w:rsid w:val="009E0B77"/>
    <w:rsid w:val="009E1E6F"/>
    <w:rsid w:val="009E26DB"/>
    <w:rsid w:val="009E4C42"/>
    <w:rsid w:val="009E54C7"/>
    <w:rsid w:val="009F0298"/>
    <w:rsid w:val="009F034A"/>
    <w:rsid w:val="009F165A"/>
    <w:rsid w:val="009F2336"/>
    <w:rsid w:val="009F330C"/>
    <w:rsid w:val="009F4BFA"/>
    <w:rsid w:val="009F583E"/>
    <w:rsid w:val="009F653A"/>
    <w:rsid w:val="00A00F7F"/>
    <w:rsid w:val="00A015D5"/>
    <w:rsid w:val="00A01D7B"/>
    <w:rsid w:val="00A04835"/>
    <w:rsid w:val="00A0506A"/>
    <w:rsid w:val="00A0534D"/>
    <w:rsid w:val="00A0602D"/>
    <w:rsid w:val="00A06D38"/>
    <w:rsid w:val="00A07CF9"/>
    <w:rsid w:val="00A11235"/>
    <w:rsid w:val="00A11955"/>
    <w:rsid w:val="00A126E3"/>
    <w:rsid w:val="00A169AD"/>
    <w:rsid w:val="00A173F4"/>
    <w:rsid w:val="00A17710"/>
    <w:rsid w:val="00A17807"/>
    <w:rsid w:val="00A23D0B"/>
    <w:rsid w:val="00A25587"/>
    <w:rsid w:val="00A25B08"/>
    <w:rsid w:val="00A26575"/>
    <w:rsid w:val="00A2774C"/>
    <w:rsid w:val="00A3044A"/>
    <w:rsid w:val="00A3215F"/>
    <w:rsid w:val="00A33F92"/>
    <w:rsid w:val="00A34CD1"/>
    <w:rsid w:val="00A351AC"/>
    <w:rsid w:val="00A371C2"/>
    <w:rsid w:val="00A37565"/>
    <w:rsid w:val="00A4003F"/>
    <w:rsid w:val="00A40F66"/>
    <w:rsid w:val="00A41C18"/>
    <w:rsid w:val="00A42438"/>
    <w:rsid w:val="00A4343B"/>
    <w:rsid w:val="00A43A5A"/>
    <w:rsid w:val="00A445B2"/>
    <w:rsid w:val="00A468E5"/>
    <w:rsid w:val="00A51D10"/>
    <w:rsid w:val="00A53055"/>
    <w:rsid w:val="00A536CC"/>
    <w:rsid w:val="00A54282"/>
    <w:rsid w:val="00A611FA"/>
    <w:rsid w:val="00A61DB1"/>
    <w:rsid w:val="00A61F05"/>
    <w:rsid w:val="00A630F0"/>
    <w:rsid w:val="00A650F7"/>
    <w:rsid w:val="00A65734"/>
    <w:rsid w:val="00A66B53"/>
    <w:rsid w:val="00A66CB0"/>
    <w:rsid w:val="00A67E50"/>
    <w:rsid w:val="00A70513"/>
    <w:rsid w:val="00A70FD6"/>
    <w:rsid w:val="00A71BFD"/>
    <w:rsid w:val="00A721C2"/>
    <w:rsid w:val="00A72DBF"/>
    <w:rsid w:val="00A731E5"/>
    <w:rsid w:val="00A74F8B"/>
    <w:rsid w:val="00A767D6"/>
    <w:rsid w:val="00A77DE5"/>
    <w:rsid w:val="00A8065C"/>
    <w:rsid w:val="00A81F15"/>
    <w:rsid w:val="00A82878"/>
    <w:rsid w:val="00A82D7F"/>
    <w:rsid w:val="00A82EF9"/>
    <w:rsid w:val="00A832F2"/>
    <w:rsid w:val="00A83C5F"/>
    <w:rsid w:val="00A84B2F"/>
    <w:rsid w:val="00A84BA4"/>
    <w:rsid w:val="00A852D4"/>
    <w:rsid w:val="00A87587"/>
    <w:rsid w:val="00A8766F"/>
    <w:rsid w:val="00A90EAC"/>
    <w:rsid w:val="00A91103"/>
    <w:rsid w:val="00A91C6C"/>
    <w:rsid w:val="00A93D17"/>
    <w:rsid w:val="00AA0613"/>
    <w:rsid w:val="00AA07AB"/>
    <w:rsid w:val="00AA246C"/>
    <w:rsid w:val="00AA3867"/>
    <w:rsid w:val="00AA485D"/>
    <w:rsid w:val="00AB0643"/>
    <w:rsid w:val="00AB2310"/>
    <w:rsid w:val="00AB2FFB"/>
    <w:rsid w:val="00AC095E"/>
    <w:rsid w:val="00AC0B7B"/>
    <w:rsid w:val="00AC360B"/>
    <w:rsid w:val="00AC3AD5"/>
    <w:rsid w:val="00AC47D7"/>
    <w:rsid w:val="00AC5261"/>
    <w:rsid w:val="00AC5537"/>
    <w:rsid w:val="00AC6752"/>
    <w:rsid w:val="00AC710D"/>
    <w:rsid w:val="00AD57CE"/>
    <w:rsid w:val="00AD6D6F"/>
    <w:rsid w:val="00AE05C5"/>
    <w:rsid w:val="00AE05F3"/>
    <w:rsid w:val="00AE0DAB"/>
    <w:rsid w:val="00AE1FB4"/>
    <w:rsid w:val="00AE4D5A"/>
    <w:rsid w:val="00AE50BC"/>
    <w:rsid w:val="00AE5A75"/>
    <w:rsid w:val="00AE662B"/>
    <w:rsid w:val="00AF0264"/>
    <w:rsid w:val="00AF5387"/>
    <w:rsid w:val="00AF5F42"/>
    <w:rsid w:val="00AF74E1"/>
    <w:rsid w:val="00B002C5"/>
    <w:rsid w:val="00B008F7"/>
    <w:rsid w:val="00B00908"/>
    <w:rsid w:val="00B02BF5"/>
    <w:rsid w:val="00B04458"/>
    <w:rsid w:val="00B04587"/>
    <w:rsid w:val="00B04620"/>
    <w:rsid w:val="00B04901"/>
    <w:rsid w:val="00B059AE"/>
    <w:rsid w:val="00B05E6D"/>
    <w:rsid w:val="00B109AD"/>
    <w:rsid w:val="00B11FE8"/>
    <w:rsid w:val="00B13621"/>
    <w:rsid w:val="00B151BF"/>
    <w:rsid w:val="00B1647F"/>
    <w:rsid w:val="00B16501"/>
    <w:rsid w:val="00B16766"/>
    <w:rsid w:val="00B20BEC"/>
    <w:rsid w:val="00B21113"/>
    <w:rsid w:val="00B21351"/>
    <w:rsid w:val="00B21647"/>
    <w:rsid w:val="00B21E36"/>
    <w:rsid w:val="00B21FA4"/>
    <w:rsid w:val="00B220CA"/>
    <w:rsid w:val="00B22B18"/>
    <w:rsid w:val="00B23430"/>
    <w:rsid w:val="00B238CE"/>
    <w:rsid w:val="00B24B98"/>
    <w:rsid w:val="00B27A89"/>
    <w:rsid w:val="00B31706"/>
    <w:rsid w:val="00B31CDF"/>
    <w:rsid w:val="00B32908"/>
    <w:rsid w:val="00B33102"/>
    <w:rsid w:val="00B36F3A"/>
    <w:rsid w:val="00B371E6"/>
    <w:rsid w:val="00B40DF7"/>
    <w:rsid w:val="00B41F2F"/>
    <w:rsid w:val="00B4380D"/>
    <w:rsid w:val="00B43979"/>
    <w:rsid w:val="00B4484A"/>
    <w:rsid w:val="00B45636"/>
    <w:rsid w:val="00B45949"/>
    <w:rsid w:val="00B46028"/>
    <w:rsid w:val="00B46C69"/>
    <w:rsid w:val="00B50305"/>
    <w:rsid w:val="00B5099E"/>
    <w:rsid w:val="00B51983"/>
    <w:rsid w:val="00B535F5"/>
    <w:rsid w:val="00B54E1D"/>
    <w:rsid w:val="00B55D2F"/>
    <w:rsid w:val="00B56DB8"/>
    <w:rsid w:val="00B601BB"/>
    <w:rsid w:val="00B60503"/>
    <w:rsid w:val="00B605A3"/>
    <w:rsid w:val="00B60834"/>
    <w:rsid w:val="00B60CF5"/>
    <w:rsid w:val="00B61135"/>
    <w:rsid w:val="00B6156F"/>
    <w:rsid w:val="00B62EFB"/>
    <w:rsid w:val="00B63507"/>
    <w:rsid w:val="00B63FE9"/>
    <w:rsid w:val="00B65351"/>
    <w:rsid w:val="00B658AA"/>
    <w:rsid w:val="00B66D9A"/>
    <w:rsid w:val="00B670A1"/>
    <w:rsid w:val="00B67977"/>
    <w:rsid w:val="00B70A2F"/>
    <w:rsid w:val="00B717E5"/>
    <w:rsid w:val="00B72AD4"/>
    <w:rsid w:val="00B7351A"/>
    <w:rsid w:val="00B73F59"/>
    <w:rsid w:val="00B748BA"/>
    <w:rsid w:val="00B75374"/>
    <w:rsid w:val="00B75DC8"/>
    <w:rsid w:val="00B763A6"/>
    <w:rsid w:val="00B778F4"/>
    <w:rsid w:val="00B80010"/>
    <w:rsid w:val="00B8245B"/>
    <w:rsid w:val="00B82D51"/>
    <w:rsid w:val="00B83300"/>
    <w:rsid w:val="00B83BEF"/>
    <w:rsid w:val="00B84C4E"/>
    <w:rsid w:val="00B859CA"/>
    <w:rsid w:val="00B87A06"/>
    <w:rsid w:val="00B90131"/>
    <w:rsid w:val="00B94F7C"/>
    <w:rsid w:val="00B957E1"/>
    <w:rsid w:val="00B95863"/>
    <w:rsid w:val="00B96C98"/>
    <w:rsid w:val="00B9724B"/>
    <w:rsid w:val="00BA327A"/>
    <w:rsid w:val="00BA7327"/>
    <w:rsid w:val="00BA736D"/>
    <w:rsid w:val="00BA75D4"/>
    <w:rsid w:val="00BB0471"/>
    <w:rsid w:val="00BB1AD7"/>
    <w:rsid w:val="00BB4032"/>
    <w:rsid w:val="00BB4F34"/>
    <w:rsid w:val="00BB7C1E"/>
    <w:rsid w:val="00BC2EC1"/>
    <w:rsid w:val="00BC2F0E"/>
    <w:rsid w:val="00BC3AEE"/>
    <w:rsid w:val="00BC41D7"/>
    <w:rsid w:val="00BC568D"/>
    <w:rsid w:val="00BC58EF"/>
    <w:rsid w:val="00BC67EE"/>
    <w:rsid w:val="00BD1EAC"/>
    <w:rsid w:val="00BD2630"/>
    <w:rsid w:val="00BD3020"/>
    <w:rsid w:val="00BD36E4"/>
    <w:rsid w:val="00BD39F7"/>
    <w:rsid w:val="00BD48A5"/>
    <w:rsid w:val="00BD50F6"/>
    <w:rsid w:val="00BD51B7"/>
    <w:rsid w:val="00BD5924"/>
    <w:rsid w:val="00BD5E96"/>
    <w:rsid w:val="00BD6A87"/>
    <w:rsid w:val="00BD6EB5"/>
    <w:rsid w:val="00BD7071"/>
    <w:rsid w:val="00BD7B75"/>
    <w:rsid w:val="00BE1787"/>
    <w:rsid w:val="00BE2607"/>
    <w:rsid w:val="00BE2648"/>
    <w:rsid w:val="00BE636D"/>
    <w:rsid w:val="00BE6665"/>
    <w:rsid w:val="00BE6885"/>
    <w:rsid w:val="00BF006C"/>
    <w:rsid w:val="00BF1885"/>
    <w:rsid w:val="00BF41BD"/>
    <w:rsid w:val="00BF71E3"/>
    <w:rsid w:val="00C029A8"/>
    <w:rsid w:val="00C03894"/>
    <w:rsid w:val="00C0611B"/>
    <w:rsid w:val="00C06B3D"/>
    <w:rsid w:val="00C07641"/>
    <w:rsid w:val="00C106C4"/>
    <w:rsid w:val="00C13430"/>
    <w:rsid w:val="00C134C7"/>
    <w:rsid w:val="00C20979"/>
    <w:rsid w:val="00C21343"/>
    <w:rsid w:val="00C21A27"/>
    <w:rsid w:val="00C2274C"/>
    <w:rsid w:val="00C23C76"/>
    <w:rsid w:val="00C26DB0"/>
    <w:rsid w:val="00C2747C"/>
    <w:rsid w:val="00C27B05"/>
    <w:rsid w:val="00C30F4B"/>
    <w:rsid w:val="00C31D4B"/>
    <w:rsid w:val="00C34793"/>
    <w:rsid w:val="00C36A8C"/>
    <w:rsid w:val="00C420E4"/>
    <w:rsid w:val="00C42CCF"/>
    <w:rsid w:val="00C42FC3"/>
    <w:rsid w:val="00C4415D"/>
    <w:rsid w:val="00C4452C"/>
    <w:rsid w:val="00C45ED5"/>
    <w:rsid w:val="00C461E4"/>
    <w:rsid w:val="00C51026"/>
    <w:rsid w:val="00C530D7"/>
    <w:rsid w:val="00C537B7"/>
    <w:rsid w:val="00C55147"/>
    <w:rsid w:val="00C55CA3"/>
    <w:rsid w:val="00C55CE7"/>
    <w:rsid w:val="00C55EA8"/>
    <w:rsid w:val="00C57A51"/>
    <w:rsid w:val="00C61C4A"/>
    <w:rsid w:val="00C627BD"/>
    <w:rsid w:val="00C63760"/>
    <w:rsid w:val="00C64BDF"/>
    <w:rsid w:val="00C66647"/>
    <w:rsid w:val="00C66C1A"/>
    <w:rsid w:val="00C6746A"/>
    <w:rsid w:val="00C67DA3"/>
    <w:rsid w:val="00C708B9"/>
    <w:rsid w:val="00C723EE"/>
    <w:rsid w:val="00C7423B"/>
    <w:rsid w:val="00C76975"/>
    <w:rsid w:val="00C76C14"/>
    <w:rsid w:val="00C771E1"/>
    <w:rsid w:val="00C8028E"/>
    <w:rsid w:val="00C80601"/>
    <w:rsid w:val="00C813C5"/>
    <w:rsid w:val="00C817A2"/>
    <w:rsid w:val="00C8642A"/>
    <w:rsid w:val="00C900E9"/>
    <w:rsid w:val="00C9228F"/>
    <w:rsid w:val="00C926E9"/>
    <w:rsid w:val="00C94010"/>
    <w:rsid w:val="00C95650"/>
    <w:rsid w:val="00C96B45"/>
    <w:rsid w:val="00C975E4"/>
    <w:rsid w:val="00CA0669"/>
    <w:rsid w:val="00CA0C48"/>
    <w:rsid w:val="00CA0E40"/>
    <w:rsid w:val="00CA1F03"/>
    <w:rsid w:val="00CA204C"/>
    <w:rsid w:val="00CA3407"/>
    <w:rsid w:val="00CA451E"/>
    <w:rsid w:val="00CA5BA6"/>
    <w:rsid w:val="00CA5BBB"/>
    <w:rsid w:val="00CA6160"/>
    <w:rsid w:val="00CA7218"/>
    <w:rsid w:val="00CB30B9"/>
    <w:rsid w:val="00CB59F6"/>
    <w:rsid w:val="00CB6EB1"/>
    <w:rsid w:val="00CC129A"/>
    <w:rsid w:val="00CC170B"/>
    <w:rsid w:val="00CC2361"/>
    <w:rsid w:val="00CC2C70"/>
    <w:rsid w:val="00CC7FB7"/>
    <w:rsid w:val="00CD1E6D"/>
    <w:rsid w:val="00CD21E4"/>
    <w:rsid w:val="00CD40DC"/>
    <w:rsid w:val="00CD5678"/>
    <w:rsid w:val="00CD64F2"/>
    <w:rsid w:val="00CD66D0"/>
    <w:rsid w:val="00CD75AE"/>
    <w:rsid w:val="00CD785B"/>
    <w:rsid w:val="00CE0A81"/>
    <w:rsid w:val="00CE2A23"/>
    <w:rsid w:val="00CE411F"/>
    <w:rsid w:val="00CE419E"/>
    <w:rsid w:val="00CE595D"/>
    <w:rsid w:val="00CE5DCD"/>
    <w:rsid w:val="00CF1C5D"/>
    <w:rsid w:val="00CF3451"/>
    <w:rsid w:val="00CF384A"/>
    <w:rsid w:val="00CF64AC"/>
    <w:rsid w:val="00D00A9E"/>
    <w:rsid w:val="00D0102E"/>
    <w:rsid w:val="00D012C8"/>
    <w:rsid w:val="00D02755"/>
    <w:rsid w:val="00D02DCB"/>
    <w:rsid w:val="00D058E0"/>
    <w:rsid w:val="00D05E82"/>
    <w:rsid w:val="00D060C7"/>
    <w:rsid w:val="00D06C58"/>
    <w:rsid w:val="00D07191"/>
    <w:rsid w:val="00D10762"/>
    <w:rsid w:val="00D1108E"/>
    <w:rsid w:val="00D12925"/>
    <w:rsid w:val="00D13AE8"/>
    <w:rsid w:val="00D178F0"/>
    <w:rsid w:val="00D20AF8"/>
    <w:rsid w:val="00D2193B"/>
    <w:rsid w:val="00D23C25"/>
    <w:rsid w:val="00D259D5"/>
    <w:rsid w:val="00D263CF"/>
    <w:rsid w:val="00D27719"/>
    <w:rsid w:val="00D30F12"/>
    <w:rsid w:val="00D31484"/>
    <w:rsid w:val="00D31EB6"/>
    <w:rsid w:val="00D32D9F"/>
    <w:rsid w:val="00D35691"/>
    <w:rsid w:val="00D37777"/>
    <w:rsid w:val="00D37AF2"/>
    <w:rsid w:val="00D43B97"/>
    <w:rsid w:val="00D43C22"/>
    <w:rsid w:val="00D46D03"/>
    <w:rsid w:val="00D474C6"/>
    <w:rsid w:val="00D51CAB"/>
    <w:rsid w:val="00D535A9"/>
    <w:rsid w:val="00D54F4D"/>
    <w:rsid w:val="00D55145"/>
    <w:rsid w:val="00D56123"/>
    <w:rsid w:val="00D56D8A"/>
    <w:rsid w:val="00D57F2A"/>
    <w:rsid w:val="00D607D5"/>
    <w:rsid w:val="00D608BA"/>
    <w:rsid w:val="00D62127"/>
    <w:rsid w:val="00D630BA"/>
    <w:rsid w:val="00D647E3"/>
    <w:rsid w:val="00D6530B"/>
    <w:rsid w:val="00D659EF"/>
    <w:rsid w:val="00D65C13"/>
    <w:rsid w:val="00D66277"/>
    <w:rsid w:val="00D662F7"/>
    <w:rsid w:val="00D66722"/>
    <w:rsid w:val="00D6704D"/>
    <w:rsid w:val="00D71A31"/>
    <w:rsid w:val="00D73B29"/>
    <w:rsid w:val="00D80885"/>
    <w:rsid w:val="00D810C4"/>
    <w:rsid w:val="00D816F1"/>
    <w:rsid w:val="00D81F08"/>
    <w:rsid w:val="00D838A7"/>
    <w:rsid w:val="00D86B9F"/>
    <w:rsid w:val="00D87B54"/>
    <w:rsid w:val="00D91662"/>
    <w:rsid w:val="00D91915"/>
    <w:rsid w:val="00D92810"/>
    <w:rsid w:val="00D932F2"/>
    <w:rsid w:val="00D9333C"/>
    <w:rsid w:val="00D93E10"/>
    <w:rsid w:val="00D953FB"/>
    <w:rsid w:val="00D971E3"/>
    <w:rsid w:val="00D97D36"/>
    <w:rsid w:val="00DA0C7B"/>
    <w:rsid w:val="00DA1934"/>
    <w:rsid w:val="00DA2202"/>
    <w:rsid w:val="00DA6658"/>
    <w:rsid w:val="00DB0696"/>
    <w:rsid w:val="00DB0FD5"/>
    <w:rsid w:val="00DB1E4E"/>
    <w:rsid w:val="00DB1F59"/>
    <w:rsid w:val="00DB2919"/>
    <w:rsid w:val="00DB331C"/>
    <w:rsid w:val="00DB4367"/>
    <w:rsid w:val="00DB43EA"/>
    <w:rsid w:val="00DB448D"/>
    <w:rsid w:val="00DB4932"/>
    <w:rsid w:val="00DB55B0"/>
    <w:rsid w:val="00DC0C2B"/>
    <w:rsid w:val="00DC2574"/>
    <w:rsid w:val="00DC46D3"/>
    <w:rsid w:val="00DD0E81"/>
    <w:rsid w:val="00DD3123"/>
    <w:rsid w:val="00DD52E1"/>
    <w:rsid w:val="00DD5E94"/>
    <w:rsid w:val="00DE0BB6"/>
    <w:rsid w:val="00DE2FB1"/>
    <w:rsid w:val="00DE42F7"/>
    <w:rsid w:val="00DE44B6"/>
    <w:rsid w:val="00DE4E20"/>
    <w:rsid w:val="00DE60FB"/>
    <w:rsid w:val="00DE70BB"/>
    <w:rsid w:val="00DE7D39"/>
    <w:rsid w:val="00DF0197"/>
    <w:rsid w:val="00DF249F"/>
    <w:rsid w:val="00DF290B"/>
    <w:rsid w:val="00DF33B9"/>
    <w:rsid w:val="00DF3A02"/>
    <w:rsid w:val="00DF5267"/>
    <w:rsid w:val="00DF5931"/>
    <w:rsid w:val="00DF60D9"/>
    <w:rsid w:val="00DF7A70"/>
    <w:rsid w:val="00E00AF1"/>
    <w:rsid w:val="00E00D33"/>
    <w:rsid w:val="00E02A23"/>
    <w:rsid w:val="00E03B20"/>
    <w:rsid w:val="00E04931"/>
    <w:rsid w:val="00E0504C"/>
    <w:rsid w:val="00E06243"/>
    <w:rsid w:val="00E06378"/>
    <w:rsid w:val="00E06F93"/>
    <w:rsid w:val="00E104B3"/>
    <w:rsid w:val="00E10A1A"/>
    <w:rsid w:val="00E124A2"/>
    <w:rsid w:val="00E12A11"/>
    <w:rsid w:val="00E1333E"/>
    <w:rsid w:val="00E134F1"/>
    <w:rsid w:val="00E14A40"/>
    <w:rsid w:val="00E14BD4"/>
    <w:rsid w:val="00E174AB"/>
    <w:rsid w:val="00E209DF"/>
    <w:rsid w:val="00E234D9"/>
    <w:rsid w:val="00E245AB"/>
    <w:rsid w:val="00E26D15"/>
    <w:rsid w:val="00E26F6E"/>
    <w:rsid w:val="00E2764C"/>
    <w:rsid w:val="00E3542D"/>
    <w:rsid w:val="00E36A7A"/>
    <w:rsid w:val="00E373AB"/>
    <w:rsid w:val="00E37E1E"/>
    <w:rsid w:val="00E40174"/>
    <w:rsid w:val="00E414F1"/>
    <w:rsid w:val="00E417CA"/>
    <w:rsid w:val="00E43FAA"/>
    <w:rsid w:val="00E44BCD"/>
    <w:rsid w:val="00E4527D"/>
    <w:rsid w:val="00E45E19"/>
    <w:rsid w:val="00E47F20"/>
    <w:rsid w:val="00E523E3"/>
    <w:rsid w:val="00E542FA"/>
    <w:rsid w:val="00E553FC"/>
    <w:rsid w:val="00E566E5"/>
    <w:rsid w:val="00E572D1"/>
    <w:rsid w:val="00E576E1"/>
    <w:rsid w:val="00E605A6"/>
    <w:rsid w:val="00E6074B"/>
    <w:rsid w:val="00E60877"/>
    <w:rsid w:val="00E608B4"/>
    <w:rsid w:val="00E63B82"/>
    <w:rsid w:val="00E63C5E"/>
    <w:rsid w:val="00E6402B"/>
    <w:rsid w:val="00E66234"/>
    <w:rsid w:val="00E66AB5"/>
    <w:rsid w:val="00E66D6C"/>
    <w:rsid w:val="00E67071"/>
    <w:rsid w:val="00E70C1F"/>
    <w:rsid w:val="00E72086"/>
    <w:rsid w:val="00E73AA2"/>
    <w:rsid w:val="00E77317"/>
    <w:rsid w:val="00E77CA8"/>
    <w:rsid w:val="00E8366F"/>
    <w:rsid w:val="00E85846"/>
    <w:rsid w:val="00E86035"/>
    <w:rsid w:val="00E8640D"/>
    <w:rsid w:val="00E9197A"/>
    <w:rsid w:val="00E91F3B"/>
    <w:rsid w:val="00E924EA"/>
    <w:rsid w:val="00E935E3"/>
    <w:rsid w:val="00E947CB"/>
    <w:rsid w:val="00E95142"/>
    <w:rsid w:val="00E966F8"/>
    <w:rsid w:val="00E9690A"/>
    <w:rsid w:val="00E96BD5"/>
    <w:rsid w:val="00E97C8E"/>
    <w:rsid w:val="00EA024D"/>
    <w:rsid w:val="00EA0CA9"/>
    <w:rsid w:val="00EA1688"/>
    <w:rsid w:val="00EA2943"/>
    <w:rsid w:val="00EA3B51"/>
    <w:rsid w:val="00EA4C7C"/>
    <w:rsid w:val="00EA6312"/>
    <w:rsid w:val="00EA6508"/>
    <w:rsid w:val="00EA65C2"/>
    <w:rsid w:val="00EB09A9"/>
    <w:rsid w:val="00EB0BCA"/>
    <w:rsid w:val="00EB1093"/>
    <w:rsid w:val="00EB13D5"/>
    <w:rsid w:val="00EB1B78"/>
    <w:rsid w:val="00EB3771"/>
    <w:rsid w:val="00EB3C04"/>
    <w:rsid w:val="00EB4C35"/>
    <w:rsid w:val="00EB5B59"/>
    <w:rsid w:val="00EB6442"/>
    <w:rsid w:val="00EB7841"/>
    <w:rsid w:val="00EC1D86"/>
    <w:rsid w:val="00EC27D1"/>
    <w:rsid w:val="00EC2F61"/>
    <w:rsid w:val="00EC3D16"/>
    <w:rsid w:val="00EC589B"/>
    <w:rsid w:val="00EC7F88"/>
    <w:rsid w:val="00EC7FB4"/>
    <w:rsid w:val="00ED0BB1"/>
    <w:rsid w:val="00ED132D"/>
    <w:rsid w:val="00ED17A5"/>
    <w:rsid w:val="00ED4EDB"/>
    <w:rsid w:val="00ED535B"/>
    <w:rsid w:val="00ED53B6"/>
    <w:rsid w:val="00ED5C50"/>
    <w:rsid w:val="00ED75D4"/>
    <w:rsid w:val="00EE0DEE"/>
    <w:rsid w:val="00EE3574"/>
    <w:rsid w:val="00EE3B19"/>
    <w:rsid w:val="00EE3DE3"/>
    <w:rsid w:val="00EE4264"/>
    <w:rsid w:val="00EE4531"/>
    <w:rsid w:val="00EE63EA"/>
    <w:rsid w:val="00EF016B"/>
    <w:rsid w:val="00EF054F"/>
    <w:rsid w:val="00EF1DCF"/>
    <w:rsid w:val="00EF1FE5"/>
    <w:rsid w:val="00EF256B"/>
    <w:rsid w:val="00EF3260"/>
    <w:rsid w:val="00EF3F08"/>
    <w:rsid w:val="00EF5C1E"/>
    <w:rsid w:val="00EF79E6"/>
    <w:rsid w:val="00EF7D4D"/>
    <w:rsid w:val="00F0036D"/>
    <w:rsid w:val="00F00543"/>
    <w:rsid w:val="00F03691"/>
    <w:rsid w:val="00F03DB8"/>
    <w:rsid w:val="00F06A19"/>
    <w:rsid w:val="00F10071"/>
    <w:rsid w:val="00F124A6"/>
    <w:rsid w:val="00F12F1E"/>
    <w:rsid w:val="00F132D6"/>
    <w:rsid w:val="00F14343"/>
    <w:rsid w:val="00F16371"/>
    <w:rsid w:val="00F22447"/>
    <w:rsid w:val="00F22D4A"/>
    <w:rsid w:val="00F255A7"/>
    <w:rsid w:val="00F267F0"/>
    <w:rsid w:val="00F2680A"/>
    <w:rsid w:val="00F268E7"/>
    <w:rsid w:val="00F27005"/>
    <w:rsid w:val="00F307BF"/>
    <w:rsid w:val="00F356F3"/>
    <w:rsid w:val="00F35B05"/>
    <w:rsid w:val="00F36645"/>
    <w:rsid w:val="00F37CB0"/>
    <w:rsid w:val="00F40B0D"/>
    <w:rsid w:val="00F40EE3"/>
    <w:rsid w:val="00F42E07"/>
    <w:rsid w:val="00F42F97"/>
    <w:rsid w:val="00F44FFC"/>
    <w:rsid w:val="00F457E1"/>
    <w:rsid w:val="00F467DB"/>
    <w:rsid w:val="00F47201"/>
    <w:rsid w:val="00F473BC"/>
    <w:rsid w:val="00F50FD6"/>
    <w:rsid w:val="00F520A7"/>
    <w:rsid w:val="00F52F2D"/>
    <w:rsid w:val="00F5458B"/>
    <w:rsid w:val="00F553FB"/>
    <w:rsid w:val="00F56FC5"/>
    <w:rsid w:val="00F57634"/>
    <w:rsid w:val="00F57778"/>
    <w:rsid w:val="00F57DD8"/>
    <w:rsid w:val="00F606B8"/>
    <w:rsid w:val="00F614CC"/>
    <w:rsid w:val="00F623F7"/>
    <w:rsid w:val="00F62BBA"/>
    <w:rsid w:val="00F636CA"/>
    <w:rsid w:val="00F647E7"/>
    <w:rsid w:val="00F66EFC"/>
    <w:rsid w:val="00F71F5F"/>
    <w:rsid w:val="00F72CE8"/>
    <w:rsid w:val="00F73FD6"/>
    <w:rsid w:val="00F74EAE"/>
    <w:rsid w:val="00F75CA7"/>
    <w:rsid w:val="00F7655B"/>
    <w:rsid w:val="00F81AC1"/>
    <w:rsid w:val="00F83E22"/>
    <w:rsid w:val="00F84BAE"/>
    <w:rsid w:val="00F86EAA"/>
    <w:rsid w:val="00F86FBE"/>
    <w:rsid w:val="00F87EE3"/>
    <w:rsid w:val="00F9194E"/>
    <w:rsid w:val="00F920B7"/>
    <w:rsid w:val="00F9266C"/>
    <w:rsid w:val="00F93A2B"/>
    <w:rsid w:val="00F94D13"/>
    <w:rsid w:val="00F96330"/>
    <w:rsid w:val="00F9689E"/>
    <w:rsid w:val="00F972DA"/>
    <w:rsid w:val="00FA1924"/>
    <w:rsid w:val="00FA5094"/>
    <w:rsid w:val="00FA5C17"/>
    <w:rsid w:val="00FB17FF"/>
    <w:rsid w:val="00FB18CB"/>
    <w:rsid w:val="00FB1B9F"/>
    <w:rsid w:val="00FB2AC3"/>
    <w:rsid w:val="00FB38EB"/>
    <w:rsid w:val="00FB5049"/>
    <w:rsid w:val="00FB553D"/>
    <w:rsid w:val="00FB5ABD"/>
    <w:rsid w:val="00FB65FE"/>
    <w:rsid w:val="00FB6F59"/>
    <w:rsid w:val="00FB7D43"/>
    <w:rsid w:val="00FB7E96"/>
    <w:rsid w:val="00FC1149"/>
    <w:rsid w:val="00FC29AE"/>
    <w:rsid w:val="00FC33F0"/>
    <w:rsid w:val="00FC3B47"/>
    <w:rsid w:val="00FC3EB9"/>
    <w:rsid w:val="00FC3ECA"/>
    <w:rsid w:val="00FC43D1"/>
    <w:rsid w:val="00FC7837"/>
    <w:rsid w:val="00FD0C7D"/>
    <w:rsid w:val="00FD34D3"/>
    <w:rsid w:val="00FD37D7"/>
    <w:rsid w:val="00FD5DA4"/>
    <w:rsid w:val="00FD681A"/>
    <w:rsid w:val="00FD68B6"/>
    <w:rsid w:val="00FD6989"/>
    <w:rsid w:val="00FD795D"/>
    <w:rsid w:val="00FE0825"/>
    <w:rsid w:val="00FE4700"/>
    <w:rsid w:val="00FE4723"/>
    <w:rsid w:val="00FE50B8"/>
    <w:rsid w:val="00FE5E7B"/>
    <w:rsid w:val="00FE68FA"/>
    <w:rsid w:val="00FF2491"/>
    <w:rsid w:val="00FF618E"/>
    <w:rsid w:val="14E664D2"/>
    <w:rsid w:val="1883193F"/>
    <w:rsid w:val="501B72AB"/>
    <w:rsid w:val="658E07F7"/>
    <w:rsid w:val="784229D1"/>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14:docId w14:val="29CEEE82"/>
  <w15:docId w15:val="{6DB2D3D3-E12F-4955-8FE1-947A5C951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paragraph" w:styleId="Titre1">
    <w:name w:val="heading 1"/>
    <w:basedOn w:val="Normal"/>
    <w:next w:val="Normal"/>
    <w:link w:val="Titre1C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Titre4">
    <w:name w:val="heading 4"/>
    <w:basedOn w:val="Normal"/>
    <w:next w:val="Normal"/>
    <w:link w:val="Titre4C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Titre7"/>
    <w:next w:val="Normal"/>
    <w:link w:val="Titre5Car"/>
    <w:uiPriority w:val="9"/>
    <w:unhideWhenUsed/>
    <w:qFormat/>
    <w:pPr>
      <w:outlineLvl w:val="4"/>
    </w:pPr>
  </w:style>
  <w:style w:type="paragraph" w:styleId="Titre6">
    <w:name w:val="heading 6"/>
    <w:basedOn w:val="Normal"/>
    <w:next w:val="Normal"/>
    <w:link w:val="Titre6Car"/>
    <w:uiPriority w:val="9"/>
    <w:unhideWhenUsed/>
    <w:qFormat/>
    <w:pPr>
      <w:keepNext/>
      <w:keepLines/>
      <w:spacing w:before="40" w:after="0"/>
      <w:outlineLvl w:val="5"/>
    </w:pPr>
    <w:rPr>
      <w:rFonts w:asciiTheme="majorHAnsi" w:eastAsiaTheme="majorEastAsia" w:hAnsiTheme="majorHAnsi" w:cstheme="majorBidi"/>
      <w:color w:val="1F3864" w:themeColor="accent1" w:themeShade="80"/>
    </w:rPr>
  </w:style>
  <w:style w:type="paragraph" w:styleId="Titre7">
    <w:name w:val="heading 7"/>
    <w:basedOn w:val="Normal"/>
    <w:next w:val="Normal"/>
    <w:link w:val="Titre7Car"/>
    <w:uiPriority w:val="9"/>
    <w:unhideWhenUsed/>
    <w:qFormat/>
    <w:pPr>
      <w:keepNext/>
      <w:keepLines/>
      <w:spacing w:before="40" w:after="0"/>
      <w:outlineLvl w:val="6"/>
    </w:pPr>
    <w:rPr>
      <w:rFonts w:asciiTheme="majorHAnsi" w:eastAsiaTheme="majorEastAsia" w:hAnsiTheme="majorHAnsi" w:cstheme="majorBidi"/>
      <w:i/>
      <w:iCs/>
      <w:color w:val="1F3864" w:themeColor="accent1" w:themeShade="8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qFormat/>
    <w:pPr>
      <w:spacing w:after="0" w:line="240" w:lineRule="auto"/>
    </w:pPr>
    <w:rPr>
      <w:rFonts w:ascii="Segoe UI" w:hAnsi="Segoe UI" w:cs="Segoe UI"/>
      <w:sz w:val="18"/>
      <w:szCs w:val="18"/>
    </w:rPr>
  </w:style>
  <w:style w:type="paragraph" w:styleId="Corpsdetexte">
    <w:name w:val="Body Text"/>
    <w:basedOn w:val="Normal"/>
    <w:link w:val="CorpsdetexteCar"/>
    <w:qFormat/>
    <w:pPr>
      <w:spacing w:after="0" w:line="240" w:lineRule="auto"/>
    </w:pPr>
    <w:rPr>
      <w:rFonts w:ascii="Times New Roman" w:eastAsia="Times New Roman" w:hAnsi="Times New Roman" w:cs="Times New Roman"/>
      <w:b/>
      <w:bCs/>
      <w:sz w:val="28"/>
      <w:szCs w:val="24"/>
      <w:lang w:eastAsia="fr-FR"/>
    </w:rPr>
  </w:style>
  <w:style w:type="paragraph" w:styleId="Corpsdetexte2">
    <w:name w:val="Body Text 2"/>
    <w:basedOn w:val="Normal"/>
    <w:link w:val="Corpsdetexte2Car"/>
    <w:uiPriority w:val="99"/>
    <w:semiHidden/>
    <w:unhideWhenUsed/>
    <w:qFormat/>
    <w:pPr>
      <w:spacing w:after="120" w:line="480" w:lineRule="auto"/>
    </w:pPr>
    <w:rPr>
      <w:rFonts w:ascii="Calibri" w:eastAsia="Calibri" w:hAnsi="Calibri" w:cs="Times New Roman"/>
      <w:sz w:val="20"/>
      <w:szCs w:val="20"/>
      <w:lang w:eastAsia="fr-FR"/>
    </w:rPr>
  </w:style>
  <w:style w:type="paragraph" w:styleId="Retraitcorpsdetexte">
    <w:name w:val="Body Text Indent"/>
    <w:basedOn w:val="Normal"/>
    <w:link w:val="RetraitcorpsdetexteCar"/>
    <w:uiPriority w:val="99"/>
    <w:semiHidden/>
    <w:unhideWhenUsed/>
    <w:qFormat/>
    <w:pPr>
      <w:spacing w:after="120"/>
      <w:ind w:left="283"/>
    </w:pPr>
    <w:rPr>
      <w:rFonts w:ascii="Calibri" w:eastAsia="Calibri" w:hAnsi="Calibri" w:cs="Times New Roman"/>
      <w:sz w:val="20"/>
      <w:szCs w:val="20"/>
      <w:lang w:eastAsia="fr-FR"/>
    </w:rPr>
  </w:style>
  <w:style w:type="paragraph" w:styleId="Retraitcorpsdetexte2">
    <w:name w:val="Body Text Indent 2"/>
    <w:basedOn w:val="Normal"/>
    <w:link w:val="Retraitcorpsdetexte2Car"/>
    <w:uiPriority w:val="99"/>
    <w:unhideWhenUsed/>
    <w:qFormat/>
    <w:pPr>
      <w:spacing w:after="120" w:line="480" w:lineRule="auto"/>
      <w:ind w:left="283"/>
    </w:pPr>
    <w:rPr>
      <w:rFonts w:ascii="Calibri" w:eastAsia="Calibri" w:hAnsi="Calibri" w:cs="Times New Roman"/>
      <w:sz w:val="20"/>
      <w:szCs w:val="20"/>
      <w:lang w:eastAsia="fr-FR"/>
    </w:rPr>
  </w:style>
  <w:style w:type="paragraph" w:styleId="Lgende">
    <w:name w:val="caption"/>
    <w:basedOn w:val="Normal"/>
    <w:next w:val="Normal"/>
    <w:uiPriority w:val="35"/>
    <w:qFormat/>
    <w:pPr>
      <w:suppressAutoHyphens/>
      <w:autoSpaceDN w:val="0"/>
      <w:spacing w:after="0" w:line="360" w:lineRule="auto"/>
      <w:jc w:val="both"/>
      <w:textAlignment w:val="baseline"/>
    </w:pPr>
    <w:rPr>
      <w:rFonts w:ascii="Times New Roman" w:eastAsia="Times New Roman" w:hAnsi="Times New Roman" w:cs="Times New Roman"/>
      <w:b/>
      <w:bCs/>
      <w:sz w:val="20"/>
      <w:szCs w:val="20"/>
      <w:lang w:eastAsia="fr-FR"/>
    </w:rPr>
  </w:style>
  <w:style w:type="character" w:styleId="Marquedecommentaire">
    <w:name w:val="annotation reference"/>
    <w:uiPriority w:val="99"/>
    <w:semiHidden/>
    <w:unhideWhenUsed/>
    <w:qFormat/>
    <w:rPr>
      <w:sz w:val="16"/>
      <w:szCs w:val="16"/>
    </w:rPr>
  </w:style>
  <w:style w:type="paragraph" w:styleId="Commentaire">
    <w:name w:val="annotation text"/>
    <w:basedOn w:val="Normal"/>
    <w:link w:val="CommentaireCar"/>
    <w:uiPriority w:val="99"/>
    <w:semiHidden/>
    <w:unhideWhenUsed/>
    <w:qFormat/>
    <w:rPr>
      <w:rFonts w:ascii="Calibri" w:eastAsia="Calibri"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qFormat/>
    <w:rPr>
      <w:b/>
      <w:bCs/>
    </w:rPr>
  </w:style>
  <w:style w:type="paragraph" w:styleId="Explorateurdedocuments">
    <w:name w:val="Document Map"/>
    <w:basedOn w:val="Normal"/>
    <w:link w:val="ExplorateurdedocumentsCar"/>
    <w:uiPriority w:val="99"/>
    <w:semiHidden/>
    <w:unhideWhenUsed/>
    <w:qFormat/>
    <w:pPr>
      <w:spacing w:after="0" w:line="240" w:lineRule="auto"/>
    </w:pPr>
    <w:rPr>
      <w:rFonts w:ascii="Tahoma" w:eastAsia="Times New Roman" w:hAnsi="Tahoma" w:cs="Times New Roman"/>
      <w:sz w:val="16"/>
      <w:szCs w:val="16"/>
      <w:lang w:val="zh-CN" w:eastAsia="zh-CN"/>
    </w:rPr>
  </w:style>
  <w:style w:type="character" w:styleId="Accentuation">
    <w:name w:val="Emphasis"/>
    <w:uiPriority w:val="20"/>
    <w:qFormat/>
    <w:rPr>
      <w:i/>
      <w:iCs/>
    </w:rPr>
  </w:style>
  <w:style w:type="character" w:styleId="Appeldenotedefin">
    <w:name w:val="endnote reference"/>
    <w:uiPriority w:val="99"/>
    <w:semiHidden/>
    <w:unhideWhenUsed/>
    <w:qFormat/>
    <w:rPr>
      <w:vertAlign w:val="superscript"/>
    </w:rPr>
  </w:style>
  <w:style w:type="paragraph" w:styleId="Notedefin">
    <w:name w:val="endnote text"/>
    <w:basedOn w:val="Normal"/>
    <w:link w:val="NotedefinCar"/>
    <w:uiPriority w:val="99"/>
    <w:semiHidden/>
    <w:unhideWhenUsed/>
    <w:qFormat/>
    <w:rPr>
      <w:rFonts w:ascii="Calibri" w:eastAsia="Calibri" w:hAnsi="Calibri" w:cs="Times New Roman"/>
      <w:sz w:val="20"/>
      <w:szCs w:val="20"/>
      <w:lang w:eastAsia="fr-FR"/>
    </w:rPr>
  </w:style>
  <w:style w:type="character" w:styleId="Lienhypertextesuivivisit">
    <w:name w:val="FollowedHyperlink"/>
    <w:uiPriority w:val="99"/>
    <w:semiHidden/>
    <w:unhideWhenUsed/>
    <w:qFormat/>
    <w:rPr>
      <w:color w:val="954F72"/>
      <w:u w:val="single"/>
    </w:rPr>
  </w:style>
  <w:style w:type="paragraph" w:styleId="Pieddepage">
    <w:name w:val="footer"/>
    <w:basedOn w:val="Normal"/>
    <w:link w:val="PieddepageCar"/>
    <w:uiPriority w:val="99"/>
    <w:unhideWhenUsed/>
    <w:qFormat/>
    <w:pPr>
      <w:tabs>
        <w:tab w:val="center" w:pos="4536"/>
        <w:tab w:val="right" w:pos="9072"/>
      </w:tabs>
      <w:spacing w:after="0" w:line="240" w:lineRule="auto"/>
    </w:pPr>
  </w:style>
  <w:style w:type="character" w:styleId="Appelnotedebasdep">
    <w:name w:val="footnote reference"/>
    <w:basedOn w:val="Policepardfaut"/>
    <w:uiPriority w:val="99"/>
    <w:unhideWhenUsed/>
    <w:qFormat/>
    <w:rPr>
      <w:vertAlign w:val="superscript"/>
    </w:rPr>
  </w:style>
  <w:style w:type="paragraph" w:styleId="Notedebasdepage">
    <w:name w:val="footnote text"/>
    <w:basedOn w:val="Normal"/>
    <w:link w:val="NotedebasdepageCar"/>
    <w:uiPriority w:val="99"/>
    <w:unhideWhenUsed/>
    <w:qFormat/>
    <w:pPr>
      <w:spacing w:after="0" w:line="240" w:lineRule="auto"/>
    </w:pPr>
    <w:rPr>
      <w:sz w:val="20"/>
      <w:szCs w:val="20"/>
    </w:rPr>
  </w:style>
  <w:style w:type="paragraph" w:styleId="En-tte">
    <w:name w:val="header"/>
    <w:basedOn w:val="Normal"/>
    <w:link w:val="En-tteCar"/>
    <w:uiPriority w:val="99"/>
    <w:unhideWhenUsed/>
    <w:qFormat/>
    <w:pPr>
      <w:tabs>
        <w:tab w:val="center" w:pos="4536"/>
        <w:tab w:val="right" w:pos="9072"/>
      </w:tabs>
      <w:spacing w:after="0" w:line="240" w:lineRule="auto"/>
    </w:pPr>
  </w:style>
  <w:style w:type="character" w:styleId="CitationHTML">
    <w:name w:val="HTML Cite"/>
    <w:uiPriority w:val="99"/>
    <w:semiHidden/>
    <w:unhideWhenUsed/>
    <w:qFormat/>
    <w:rPr>
      <w:i/>
      <w:iCs/>
    </w:rPr>
  </w:style>
  <w:style w:type="character" w:styleId="Lienhypertexte">
    <w:name w:val="Hyperlink"/>
    <w:basedOn w:val="Policepardfau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Numrodepage">
    <w:name w:val="page number"/>
    <w:semiHidden/>
    <w:qFormat/>
  </w:style>
  <w:style w:type="character" w:styleId="lev">
    <w:name w:val="Strong"/>
    <w:uiPriority w:val="22"/>
    <w:qFormat/>
    <w:rPr>
      <w:b/>
      <w:bCs/>
    </w:rPr>
  </w:style>
  <w:style w:type="paragraph" w:styleId="Sous-titre">
    <w:name w:val="Subtitle"/>
    <w:basedOn w:val="Normal"/>
    <w:next w:val="Normal"/>
    <w:link w:val="Sous-titreCar"/>
    <w:uiPriority w:val="11"/>
    <w:qFormat/>
    <w:rPr>
      <w:rFonts w:ascii="Calibri" w:eastAsia="Times New Roman" w:hAnsi="Calibri" w:cs="Times New Roman"/>
      <w:color w:val="5A5A5A"/>
      <w:spacing w:val="15"/>
    </w:rPr>
  </w:style>
  <w:style w:type="table" w:styleId="Grilledutableau">
    <w:name w:val="Table Grid"/>
    <w:basedOn w:val="Tableau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M1">
    <w:name w:val="toc 1"/>
    <w:basedOn w:val="Normal"/>
    <w:next w:val="Normal"/>
    <w:autoRedefine/>
    <w:uiPriority w:val="39"/>
    <w:unhideWhenUsed/>
    <w:qFormat/>
    <w:pPr>
      <w:spacing w:after="100"/>
    </w:pPr>
    <w:rPr>
      <w:rFonts w:eastAsiaTheme="minorEastAsia" w:cs="Times New Roman"/>
      <w:lang w:eastAsia="fr-FR"/>
    </w:rPr>
  </w:style>
  <w:style w:type="paragraph" w:styleId="TM2">
    <w:name w:val="toc 2"/>
    <w:basedOn w:val="Normal"/>
    <w:next w:val="Normal"/>
    <w:autoRedefine/>
    <w:uiPriority w:val="39"/>
    <w:unhideWhenUsed/>
    <w:qFormat/>
    <w:pPr>
      <w:tabs>
        <w:tab w:val="right" w:leader="dot" w:pos="9062"/>
      </w:tabs>
      <w:spacing w:after="0"/>
      <w:ind w:left="220"/>
    </w:pPr>
    <w:rPr>
      <w:rFonts w:eastAsiaTheme="minorEastAsia" w:cs="Times New Roman"/>
      <w:lang w:eastAsia="fr-FR"/>
    </w:rPr>
  </w:style>
  <w:style w:type="paragraph" w:styleId="TM3">
    <w:name w:val="toc 3"/>
    <w:basedOn w:val="Normal"/>
    <w:next w:val="Normal"/>
    <w:autoRedefine/>
    <w:uiPriority w:val="39"/>
    <w:unhideWhenUsed/>
    <w:qFormat/>
    <w:pPr>
      <w:spacing w:after="100"/>
      <w:ind w:left="440"/>
    </w:pPr>
    <w:rPr>
      <w:rFonts w:eastAsiaTheme="minorEastAsia" w:cs="Times New Roman"/>
      <w:lang w:eastAsia="fr-FR"/>
    </w:rPr>
  </w:style>
  <w:style w:type="paragraph" w:styleId="TM4">
    <w:name w:val="toc 4"/>
    <w:basedOn w:val="Normal"/>
    <w:next w:val="Normal"/>
    <w:autoRedefine/>
    <w:uiPriority w:val="39"/>
    <w:unhideWhenUsed/>
    <w:qFormat/>
    <w:pPr>
      <w:spacing w:after="100"/>
      <w:ind w:left="660"/>
    </w:pPr>
  </w:style>
  <w:style w:type="paragraph" w:styleId="TM5">
    <w:name w:val="toc 5"/>
    <w:basedOn w:val="Normal"/>
    <w:next w:val="Normal"/>
    <w:autoRedefine/>
    <w:uiPriority w:val="39"/>
    <w:unhideWhenUsed/>
    <w:qFormat/>
    <w:pPr>
      <w:spacing w:after="100"/>
      <w:ind w:left="880"/>
    </w:pPr>
  </w:style>
  <w:style w:type="paragraph" w:styleId="TM6">
    <w:name w:val="toc 6"/>
    <w:basedOn w:val="Normal"/>
    <w:next w:val="Normal"/>
    <w:autoRedefine/>
    <w:uiPriority w:val="39"/>
    <w:unhideWhenUsed/>
    <w:qFormat/>
    <w:pPr>
      <w:spacing w:after="100"/>
      <w:ind w:left="1100"/>
    </w:pPr>
    <w:rPr>
      <w:rFonts w:eastAsiaTheme="minorEastAsia"/>
      <w:lang w:eastAsia="fr-FR"/>
    </w:rPr>
  </w:style>
  <w:style w:type="paragraph" w:styleId="TM7">
    <w:name w:val="toc 7"/>
    <w:basedOn w:val="Normal"/>
    <w:next w:val="Normal"/>
    <w:autoRedefine/>
    <w:uiPriority w:val="39"/>
    <w:unhideWhenUsed/>
    <w:qFormat/>
    <w:pPr>
      <w:spacing w:after="100"/>
      <w:ind w:left="1320"/>
    </w:pPr>
    <w:rPr>
      <w:rFonts w:eastAsiaTheme="minorEastAsia"/>
      <w:lang w:eastAsia="fr-FR"/>
    </w:rPr>
  </w:style>
  <w:style w:type="paragraph" w:styleId="TM8">
    <w:name w:val="toc 8"/>
    <w:basedOn w:val="Normal"/>
    <w:next w:val="Normal"/>
    <w:autoRedefine/>
    <w:uiPriority w:val="39"/>
    <w:unhideWhenUsed/>
    <w:qFormat/>
    <w:pPr>
      <w:spacing w:after="100"/>
      <w:ind w:left="1540"/>
    </w:pPr>
    <w:rPr>
      <w:rFonts w:eastAsiaTheme="minorEastAsia"/>
      <w:lang w:eastAsia="fr-FR"/>
    </w:rPr>
  </w:style>
  <w:style w:type="paragraph" w:styleId="TM9">
    <w:name w:val="toc 9"/>
    <w:basedOn w:val="Normal"/>
    <w:next w:val="Normal"/>
    <w:autoRedefine/>
    <w:uiPriority w:val="39"/>
    <w:unhideWhenUsed/>
    <w:qFormat/>
    <w:pPr>
      <w:spacing w:after="100"/>
      <w:ind w:left="1760"/>
    </w:pPr>
    <w:rPr>
      <w:rFonts w:eastAsiaTheme="minorEastAsia"/>
      <w:lang w:eastAsia="fr-FR"/>
    </w:rPr>
  </w:style>
  <w:style w:type="character" w:customStyle="1" w:styleId="Titre1Car">
    <w:name w:val="Titre 1 Car"/>
    <w:basedOn w:val="Policepardfaut"/>
    <w:link w:val="Titre1"/>
    <w:uiPriority w:val="9"/>
    <w:qFormat/>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qFormat/>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qFormat/>
    <w:rPr>
      <w:rFonts w:asciiTheme="majorHAnsi" w:eastAsiaTheme="majorEastAsia" w:hAnsiTheme="majorHAnsi" w:cstheme="majorBidi"/>
      <w:color w:val="1F3864" w:themeColor="accent1" w:themeShade="80"/>
      <w:sz w:val="24"/>
      <w:szCs w:val="24"/>
    </w:rPr>
  </w:style>
  <w:style w:type="character" w:customStyle="1" w:styleId="Titre4Car">
    <w:name w:val="Titre 4 Car"/>
    <w:basedOn w:val="Policepardfaut"/>
    <w:link w:val="Titre4"/>
    <w:uiPriority w:val="9"/>
    <w:qFormat/>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qFormat/>
    <w:rPr>
      <w:rFonts w:asciiTheme="majorHAnsi" w:eastAsiaTheme="majorEastAsia" w:hAnsiTheme="majorHAnsi" w:cstheme="majorBidi"/>
      <w:i/>
      <w:iCs/>
      <w:color w:val="1F3864" w:themeColor="accent1" w:themeShade="80"/>
    </w:rPr>
  </w:style>
  <w:style w:type="paragraph" w:styleId="Paragraphedeliste">
    <w:name w:val="List Paragraph"/>
    <w:basedOn w:val="Normal"/>
    <w:link w:val="ParagraphedelisteCar"/>
    <w:uiPriority w:val="34"/>
    <w:qFormat/>
    <w:pPr>
      <w:ind w:left="720"/>
      <w:contextualSpacing/>
    </w:pPr>
  </w:style>
  <w:style w:type="character" w:customStyle="1" w:styleId="ParagraphedelisteCar">
    <w:name w:val="Paragraphe de liste Car"/>
    <w:link w:val="Paragraphedeliste"/>
    <w:uiPriority w:val="34"/>
    <w:qFormat/>
  </w:style>
  <w:style w:type="character" w:customStyle="1" w:styleId="En-tteCar">
    <w:name w:val="En-tête Car"/>
    <w:basedOn w:val="Policepardfaut"/>
    <w:link w:val="En-tte"/>
    <w:uiPriority w:val="99"/>
    <w:qFormat/>
  </w:style>
  <w:style w:type="character" w:customStyle="1" w:styleId="PieddepageCar">
    <w:name w:val="Pied de page Car"/>
    <w:basedOn w:val="Policepardfaut"/>
    <w:link w:val="Pieddepage"/>
    <w:uiPriority w:val="99"/>
    <w:qFormat/>
  </w:style>
  <w:style w:type="character" w:customStyle="1" w:styleId="NotedebasdepageCar">
    <w:name w:val="Note de bas de page Car"/>
    <w:basedOn w:val="Policepardfaut"/>
    <w:link w:val="Notedebasdepage"/>
    <w:uiPriority w:val="99"/>
    <w:qFormat/>
    <w:rPr>
      <w:sz w:val="20"/>
      <w:szCs w:val="20"/>
    </w:rPr>
  </w:style>
  <w:style w:type="character" w:customStyle="1" w:styleId="TextedebullesCar">
    <w:name w:val="Texte de bulles Car"/>
    <w:basedOn w:val="Policepardfaut"/>
    <w:link w:val="Textedebulles"/>
    <w:uiPriority w:val="99"/>
    <w:semiHidden/>
    <w:qFormat/>
    <w:rPr>
      <w:rFonts w:ascii="Segoe UI" w:hAnsi="Segoe UI" w:cs="Segoe UI"/>
      <w:sz w:val="18"/>
      <w:szCs w:val="18"/>
    </w:rPr>
  </w:style>
  <w:style w:type="paragraph" w:customStyle="1" w:styleId="En-ttedetabledesmatires1">
    <w:name w:val="En-tête de table des matières1"/>
    <w:basedOn w:val="Titre1"/>
    <w:next w:val="Normal"/>
    <w:uiPriority w:val="39"/>
    <w:unhideWhenUsed/>
    <w:qFormat/>
    <w:pPr>
      <w:outlineLvl w:val="9"/>
    </w:pPr>
    <w:rPr>
      <w:lang w:eastAsia="fr-FR"/>
    </w:rPr>
  </w:style>
  <w:style w:type="paragraph" w:styleId="Sansinterligne">
    <w:name w:val="No Spacing"/>
    <w:uiPriority w:val="1"/>
    <w:qFormat/>
    <w:rPr>
      <w:sz w:val="22"/>
      <w:szCs w:val="22"/>
      <w:lang w:eastAsia="en-US"/>
    </w:rPr>
  </w:style>
  <w:style w:type="table" w:customStyle="1" w:styleId="Grilledutableau1">
    <w:name w:val="Grille du tableau1"/>
    <w:basedOn w:val="Tableau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pPr>
      <w:autoSpaceDE w:val="0"/>
      <w:autoSpaceDN w:val="0"/>
      <w:adjustRightInd w:val="0"/>
    </w:pPr>
    <w:rPr>
      <w:rFonts w:ascii="Cambria" w:eastAsia="Calibri" w:hAnsi="Cambria" w:cs="Cambria"/>
      <w:color w:val="000000"/>
      <w:sz w:val="24"/>
      <w:szCs w:val="24"/>
      <w:lang w:eastAsia="en-US"/>
    </w:rPr>
  </w:style>
  <w:style w:type="character" w:customStyle="1" w:styleId="CorpsdetexteCar">
    <w:name w:val="Corps de texte Car"/>
    <w:basedOn w:val="Policepardfaut"/>
    <w:link w:val="Corpsdetexte"/>
    <w:qFormat/>
    <w:rPr>
      <w:rFonts w:ascii="Times New Roman" w:eastAsia="Times New Roman" w:hAnsi="Times New Roman" w:cs="Times New Roman"/>
      <w:b/>
      <w:bCs/>
      <w:sz w:val="28"/>
      <w:szCs w:val="24"/>
      <w:lang w:eastAsia="fr-FR"/>
    </w:rPr>
  </w:style>
  <w:style w:type="character" w:customStyle="1" w:styleId="st1">
    <w:name w:val="st1"/>
    <w:qFormat/>
  </w:style>
  <w:style w:type="character" w:customStyle="1" w:styleId="st">
    <w:name w:val="st"/>
    <w:qFormat/>
  </w:style>
  <w:style w:type="table" w:customStyle="1" w:styleId="Tableausimple21">
    <w:name w:val="Tableau simple 21"/>
    <w:basedOn w:val="TableauNormal"/>
    <w:uiPriority w:val="42"/>
    <w:qFormat/>
    <w:rPr>
      <w:rFonts w:ascii="Calibri" w:eastAsia="Calibri" w:hAnsi="Calibri" w:cs="Times New Roman"/>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Grille4-Accentuation11">
    <w:name w:val="Tableau Grille 4 - Accentuation 11"/>
    <w:basedOn w:val="TableauNormal"/>
    <w:uiPriority w:val="49"/>
    <w:qFormat/>
    <w:rPr>
      <w:rFonts w:ascii="Calibri" w:eastAsia="Calibri" w:hAnsi="Calibri" w:cs="Times New Roman"/>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auGrille5Fonc-Accentuation31">
    <w:name w:val="Tableau Grille 5 Foncé - Accentuation 31"/>
    <w:basedOn w:val="TableauNormal"/>
    <w:uiPriority w:val="50"/>
    <w:qFormat/>
    <w:rPr>
      <w:rFonts w:ascii="Calibri" w:eastAsia="Calibri" w:hAnsi="Calibri"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eauGrille41">
    <w:name w:val="Tableau Grille 41"/>
    <w:basedOn w:val="TableauNormal"/>
    <w:uiPriority w:val="49"/>
    <w:qFormat/>
    <w:rPr>
      <w:rFonts w:ascii="Calibri" w:eastAsia="Calibri" w:hAnsi="Calibri" w:cs="Times New Roma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item">
    <w:name w:val="item"/>
    <w:qFormat/>
  </w:style>
  <w:style w:type="paragraph" w:customStyle="1" w:styleId="comment-meta">
    <w:name w:val="comment-meta"/>
    <w:basedOn w:val="Normal"/>
    <w:qFormat/>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ep">
    <w:name w:val="sep"/>
    <w:qFormat/>
  </w:style>
  <w:style w:type="character" w:customStyle="1" w:styleId="wording6">
    <w:name w:val="wording6"/>
    <w:qFormat/>
    <w:rPr>
      <w:color w:val="1B1B21"/>
      <w:sz w:val="18"/>
      <w:szCs w:val="18"/>
      <w:u w:val="none"/>
    </w:rPr>
  </w:style>
  <w:style w:type="character" w:customStyle="1" w:styleId="ExplorateurdedocumentsCar">
    <w:name w:val="Explorateur de documents Car"/>
    <w:basedOn w:val="Policepardfaut"/>
    <w:link w:val="Explorateurdedocuments"/>
    <w:uiPriority w:val="99"/>
    <w:semiHidden/>
    <w:qFormat/>
    <w:rPr>
      <w:rFonts w:ascii="Tahoma" w:eastAsia="Times New Roman" w:hAnsi="Tahoma" w:cs="Times New Roman"/>
      <w:sz w:val="16"/>
      <w:szCs w:val="16"/>
      <w:lang w:val="zh-CN" w:eastAsia="zh-CN"/>
    </w:rPr>
  </w:style>
  <w:style w:type="paragraph" w:customStyle="1" w:styleId="xl65">
    <w:name w:val="xl6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fr-FR"/>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32"/>
      <w:szCs w:val="32"/>
      <w:lang w:eastAsia="fr-FR"/>
    </w:rPr>
  </w:style>
  <w:style w:type="paragraph" w:customStyle="1" w:styleId="xl69">
    <w:name w:val="xl69"/>
    <w:basedOn w:val="Normal"/>
    <w:qFormat/>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36"/>
      <w:szCs w:val="36"/>
      <w:lang w:eastAsia="fr-FR"/>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fr-FR"/>
    </w:rPr>
  </w:style>
  <w:style w:type="paragraph" w:customStyle="1" w:styleId="xl71">
    <w:name w:val="xl71"/>
    <w:basedOn w:val="Normal"/>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2">
    <w:name w:val="xl72"/>
    <w:basedOn w:val="Normal"/>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3">
    <w:name w:val="xl73"/>
    <w:basedOn w:val="Normal"/>
    <w:qFormat/>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32"/>
      <w:szCs w:val="32"/>
      <w:lang w:eastAsia="fr-FR"/>
    </w:rPr>
  </w:style>
  <w:style w:type="paragraph" w:customStyle="1" w:styleId="xl75">
    <w:name w:val="xl75"/>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6">
    <w:name w:val="xl76"/>
    <w:basedOn w:val="Normal"/>
    <w:qFormat/>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7">
    <w:name w:val="xl77"/>
    <w:basedOn w:val="Normal"/>
    <w:qFormat/>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8">
    <w:name w:val="xl78"/>
    <w:basedOn w:val="Normal"/>
    <w:qFormat/>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79">
    <w:name w:val="xl79"/>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80">
    <w:name w:val="xl80"/>
    <w:basedOn w:val="Normal"/>
    <w:qFormat/>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orpsdetexte2Car">
    <w:name w:val="Corps de texte 2 Car"/>
    <w:basedOn w:val="Policepardfaut"/>
    <w:link w:val="Corpsdetexte2"/>
    <w:uiPriority w:val="99"/>
    <w:semiHidden/>
    <w:qFormat/>
    <w:rPr>
      <w:rFonts w:ascii="Calibri" w:eastAsia="Calibri" w:hAnsi="Calibri" w:cs="Times New Roman"/>
      <w:sz w:val="20"/>
      <w:szCs w:val="20"/>
      <w:lang w:eastAsia="fr-FR"/>
    </w:rPr>
  </w:style>
  <w:style w:type="character" w:customStyle="1" w:styleId="RetraitcorpsdetexteCar">
    <w:name w:val="Retrait corps de texte Car"/>
    <w:basedOn w:val="Policepardfaut"/>
    <w:link w:val="Retraitcorpsdetexte"/>
    <w:uiPriority w:val="99"/>
    <w:semiHidden/>
    <w:qFormat/>
    <w:rPr>
      <w:rFonts w:ascii="Calibri" w:eastAsia="Calibri" w:hAnsi="Calibri" w:cs="Times New Roman"/>
      <w:sz w:val="20"/>
      <w:szCs w:val="20"/>
      <w:lang w:eastAsia="fr-FR"/>
    </w:rPr>
  </w:style>
  <w:style w:type="character" w:customStyle="1" w:styleId="Retraitcorpsdetexte2Car">
    <w:name w:val="Retrait corps de texte 2 Car"/>
    <w:basedOn w:val="Policepardfaut"/>
    <w:link w:val="Retraitcorpsdetexte2"/>
    <w:uiPriority w:val="99"/>
    <w:qFormat/>
    <w:rPr>
      <w:rFonts w:ascii="Calibri" w:eastAsia="Calibri" w:hAnsi="Calibri" w:cs="Times New Roman"/>
      <w:sz w:val="20"/>
      <w:szCs w:val="20"/>
      <w:lang w:eastAsia="fr-FR"/>
    </w:rPr>
  </w:style>
  <w:style w:type="paragraph" w:customStyle="1" w:styleId="xl74">
    <w:name w:val="xl7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fr-FR"/>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64">
    <w:name w:val="xl6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fr-FR"/>
    </w:rPr>
  </w:style>
  <w:style w:type="table" w:customStyle="1" w:styleId="TableauGrille1Clair-Accentuation11">
    <w:name w:val="Tableau Grille 1 Clair - Accentuation 11"/>
    <w:basedOn w:val="TableauNormal"/>
    <w:uiPriority w:val="46"/>
    <w:qFormat/>
    <w:rPr>
      <w:rFonts w:ascii="Calibri" w:eastAsia="Calibri" w:hAnsi="Calibri" w:cs="Times New Roman"/>
    </w:rPr>
    <w:tblPr>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auGrille4-Accentuation61">
    <w:name w:val="Tableau Grille 4 - Accentuation 61"/>
    <w:basedOn w:val="TableauNormal"/>
    <w:uiPriority w:val="49"/>
    <w:qFormat/>
    <w:rPr>
      <w:rFonts w:ascii="Calibri" w:eastAsia="Calibri" w:hAnsi="Calibri" w:cs="Times New Roman"/>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auGrille5Fonc-Accentuation11">
    <w:name w:val="Tableau Grille 5 Foncé - Accentuation 11"/>
    <w:basedOn w:val="TableauNormal"/>
    <w:uiPriority w:val="50"/>
    <w:qFormat/>
    <w:rPr>
      <w:rFonts w:ascii="Calibri" w:eastAsia="Calibri" w:hAnsi="Calibri"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auGrille4-Accentuation21">
    <w:name w:val="Tableau Grille 4 - Accentuation 21"/>
    <w:basedOn w:val="TableauNormal"/>
    <w:uiPriority w:val="49"/>
    <w:qFormat/>
    <w:rPr>
      <w:rFonts w:ascii="Calibri" w:eastAsia="Calibri" w:hAnsi="Calibri" w:cs="Times New Roman"/>
    </w:rPr>
    <w:tblPr>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auGrille4-Accentuation51">
    <w:name w:val="Tableau Grille 4 - Accentuation 51"/>
    <w:basedOn w:val="TableauNormal"/>
    <w:uiPriority w:val="49"/>
    <w:qFormat/>
    <w:rPr>
      <w:rFonts w:ascii="Calibri" w:eastAsia="Calibri" w:hAnsi="Calibri" w:cs="Times New Roman"/>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6Couleur1">
    <w:name w:val="Tableau Grille 6 Couleur1"/>
    <w:basedOn w:val="TableauNormal"/>
    <w:uiPriority w:val="51"/>
    <w:qFormat/>
    <w:rPr>
      <w:rFonts w:ascii="Calibri" w:eastAsia="Calibri" w:hAnsi="Calibri" w:cs="Times New Roman"/>
      <w:color w:val="000000"/>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auGrille5Fonc-Accentuation61">
    <w:name w:val="Tableau Grille 5 Foncé - Accentuation 61"/>
    <w:basedOn w:val="TableauNormal"/>
    <w:uiPriority w:val="50"/>
    <w:qFormat/>
    <w:rPr>
      <w:rFonts w:ascii="Calibri" w:eastAsia="Calibri" w:hAnsi="Calibri"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eauGrille6Couleur-Accentuation61">
    <w:name w:val="Tableau Grille 6 Couleur - Accentuation 61"/>
    <w:basedOn w:val="TableauNormal"/>
    <w:uiPriority w:val="51"/>
    <w:qFormat/>
    <w:rPr>
      <w:rFonts w:ascii="Calibri" w:eastAsia="Calibri" w:hAnsi="Calibri" w:cs="Times New Roman"/>
      <w:color w:val="538135"/>
    </w:rPr>
    <w:tblPr>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auListe21">
    <w:name w:val="Tableau Liste 21"/>
    <w:basedOn w:val="TableauNormal"/>
    <w:uiPriority w:val="47"/>
    <w:qFormat/>
    <w:rPr>
      <w:rFonts w:ascii="Calibri" w:eastAsia="Calibri" w:hAnsi="Calibri" w:cs="Times New Roman"/>
    </w:rPr>
    <w:tblPr>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auGrille6Couleur-Accentuation11">
    <w:name w:val="Tableau Grille 6 Couleur - Accentuation 11"/>
    <w:basedOn w:val="TableauNormal"/>
    <w:uiPriority w:val="51"/>
    <w:qFormat/>
    <w:rPr>
      <w:rFonts w:ascii="Calibri" w:eastAsia="Calibri" w:hAnsi="Calibri" w:cs="Times New Roman"/>
      <w:color w:val="2E74B5"/>
    </w:rPr>
    <w:tblPr>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auGrille6Couleur-Accentuation51">
    <w:name w:val="Tableau Grille 6 Couleur - Accentuation 51"/>
    <w:basedOn w:val="TableauNormal"/>
    <w:uiPriority w:val="51"/>
    <w:qFormat/>
    <w:rPr>
      <w:rFonts w:ascii="Calibri" w:eastAsia="Calibri" w:hAnsi="Calibri" w:cs="Times New Roman"/>
      <w:color w:val="2F5496"/>
    </w:rPr>
    <w:tblPr>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e24kjd">
    <w:name w:val="e24kjd"/>
    <w:qFormat/>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l81">
    <w:name w:val="xl81"/>
    <w:basedOn w:val="Normal"/>
    <w:qFormat/>
    <w:pPr>
      <w:pBdr>
        <w:bottom w:val="single" w:sz="8" w:space="0" w:color="auto"/>
        <w:right w:val="single" w:sz="8" w:space="0" w:color="auto"/>
      </w:pBdr>
      <w:shd w:val="clear" w:color="000000" w:fill="C5E0B3"/>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fr-FR"/>
    </w:rPr>
  </w:style>
  <w:style w:type="paragraph" w:customStyle="1" w:styleId="xl82">
    <w:name w:val="xl82"/>
    <w:basedOn w:val="Normal"/>
    <w:qFormat/>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fr-FR"/>
    </w:rPr>
  </w:style>
  <w:style w:type="paragraph" w:customStyle="1" w:styleId="xl83">
    <w:name w:val="xl83"/>
    <w:basedOn w:val="Normal"/>
    <w:qFormat/>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fr-FR"/>
    </w:rPr>
  </w:style>
  <w:style w:type="paragraph" w:customStyle="1" w:styleId="xl84">
    <w:name w:val="xl84"/>
    <w:basedOn w:val="Normal"/>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fr-FR"/>
    </w:rPr>
  </w:style>
  <w:style w:type="paragraph" w:customStyle="1" w:styleId="xl85">
    <w:name w:val="xl85"/>
    <w:basedOn w:val="Normal"/>
    <w:qFormat/>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fr-FR"/>
    </w:rPr>
  </w:style>
  <w:style w:type="paragraph" w:customStyle="1" w:styleId="xl86">
    <w:name w:val="xl86"/>
    <w:basedOn w:val="Normal"/>
    <w:qFormat/>
    <w:pPr>
      <w:pBdr>
        <w:left w:val="single" w:sz="8" w:space="0" w:color="auto"/>
        <w:bottom w:val="single" w:sz="8" w:space="0" w:color="auto"/>
        <w:right w:val="single" w:sz="8" w:space="0" w:color="auto"/>
      </w:pBdr>
      <w:shd w:val="clear" w:color="000000" w:fill="C5E0B3"/>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fr-FR"/>
    </w:rPr>
  </w:style>
  <w:style w:type="paragraph" w:customStyle="1" w:styleId="xl87">
    <w:name w:val="xl87"/>
    <w:basedOn w:val="Normal"/>
    <w:qFormat/>
    <w:pPr>
      <w:pBdr>
        <w:bottom w:val="single" w:sz="8" w:space="0" w:color="auto"/>
        <w:right w:val="single" w:sz="8" w:space="0" w:color="auto"/>
      </w:pBdr>
      <w:shd w:val="clear" w:color="000000" w:fill="BDD6EE"/>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fr-FR"/>
    </w:rPr>
  </w:style>
  <w:style w:type="paragraph" w:customStyle="1" w:styleId="xl88">
    <w:name w:val="xl88"/>
    <w:basedOn w:val="Normal"/>
    <w:qFormat/>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fr-FR"/>
    </w:rPr>
  </w:style>
  <w:style w:type="paragraph" w:customStyle="1" w:styleId="xl89">
    <w:name w:val="xl89"/>
    <w:basedOn w:val="Normal"/>
    <w:qFormat/>
    <w:pPr>
      <w:pBdr>
        <w:bottom w:val="single" w:sz="8" w:space="0" w:color="auto"/>
        <w:right w:val="single" w:sz="8" w:space="0" w:color="auto"/>
      </w:pBdr>
      <w:shd w:val="clear" w:color="000000" w:fill="FFF2CC"/>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fr-FR"/>
    </w:rPr>
  </w:style>
  <w:style w:type="paragraph" w:customStyle="1" w:styleId="xl90">
    <w:name w:val="xl90"/>
    <w:basedOn w:val="Normal"/>
    <w:qFormat/>
    <w:pP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fr-FR"/>
    </w:rPr>
  </w:style>
  <w:style w:type="paragraph" w:customStyle="1" w:styleId="xl91">
    <w:name w:val="xl91"/>
    <w:basedOn w:val="Normal"/>
    <w:qFormat/>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fr-FR"/>
    </w:rPr>
  </w:style>
  <w:style w:type="paragraph" w:customStyle="1" w:styleId="xl92">
    <w:name w:val="xl92"/>
    <w:basedOn w:val="Normal"/>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fr-FR"/>
    </w:rPr>
  </w:style>
  <w:style w:type="paragraph" w:customStyle="1" w:styleId="xl93">
    <w:name w:val="xl93"/>
    <w:basedOn w:val="Normal"/>
    <w:qFormat/>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fr-FR"/>
    </w:rPr>
  </w:style>
  <w:style w:type="paragraph" w:customStyle="1" w:styleId="xl94">
    <w:name w:val="xl94"/>
    <w:basedOn w:val="Normal"/>
    <w:qFormat/>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fr-FR"/>
    </w:rPr>
  </w:style>
  <w:style w:type="paragraph" w:customStyle="1" w:styleId="xl95">
    <w:name w:val="xl95"/>
    <w:basedOn w:val="Normal"/>
    <w:qFormat/>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fr-FR"/>
    </w:rPr>
  </w:style>
  <w:style w:type="table" w:customStyle="1" w:styleId="TableauGrille6Couleur-Accentuation21">
    <w:name w:val="Tableau Grille 6 Couleur - Accentuation 21"/>
    <w:basedOn w:val="TableauNormal"/>
    <w:uiPriority w:val="51"/>
    <w:qFormat/>
    <w:rPr>
      <w:rFonts w:ascii="Calibri" w:eastAsia="Calibri" w:hAnsi="Calibri" w:cs="Times New Roman"/>
      <w:color w:val="C45911"/>
    </w:rPr>
    <w:tblPr>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auGrille6Couleur-Accentuation31">
    <w:name w:val="Tableau Grille 6 Couleur - Accentuation 31"/>
    <w:basedOn w:val="TableauNormal"/>
    <w:uiPriority w:val="51"/>
    <w:qFormat/>
    <w:rPr>
      <w:rFonts w:ascii="Calibri" w:eastAsia="Calibri" w:hAnsi="Calibri" w:cs="Times New Roman"/>
      <w:color w:val="7B7B7B"/>
    </w:rPr>
    <w:tblP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reviewer">
    <w:name w:val="reviewer"/>
    <w:qFormat/>
  </w:style>
  <w:style w:type="paragraph" w:customStyle="1" w:styleId="comment-reply">
    <w:name w:val="comment-reply"/>
    <w:basedOn w:val="Normal"/>
    <w:qFormat/>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CommentaireCar">
    <w:name w:val="Commentaire Car"/>
    <w:basedOn w:val="Policepardfaut"/>
    <w:link w:val="Commentaire"/>
    <w:uiPriority w:val="99"/>
    <w:semiHidden/>
    <w:qFormat/>
    <w:rPr>
      <w:rFonts w:ascii="Calibri" w:eastAsia="Calibri" w:hAnsi="Calibri" w:cs="Times New Roman"/>
      <w:sz w:val="20"/>
      <w:szCs w:val="20"/>
      <w:lang w:eastAsia="fr-FR"/>
    </w:rPr>
  </w:style>
  <w:style w:type="character" w:customStyle="1" w:styleId="ObjetducommentaireCar">
    <w:name w:val="Objet du commentaire Car"/>
    <w:basedOn w:val="CommentaireCar"/>
    <w:link w:val="Objetducommentaire"/>
    <w:uiPriority w:val="99"/>
    <w:semiHidden/>
    <w:qFormat/>
    <w:rPr>
      <w:rFonts w:ascii="Calibri" w:eastAsia="Calibri" w:hAnsi="Calibri" w:cs="Times New Roman"/>
      <w:b/>
      <w:bCs/>
      <w:sz w:val="20"/>
      <w:szCs w:val="20"/>
      <w:lang w:eastAsia="fr-FR"/>
    </w:rPr>
  </w:style>
  <w:style w:type="table" w:customStyle="1" w:styleId="TableauGrille1Clair1">
    <w:name w:val="Tableau Grille 1 Clair1"/>
    <w:basedOn w:val="TableauNormal"/>
    <w:uiPriority w:val="46"/>
    <w:qFormat/>
    <w:rPr>
      <w:rFonts w:ascii="Calibri" w:eastAsia="Calibri" w:hAnsi="Calibri" w:cs="Times New Roman"/>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font5">
    <w:name w:val="font5"/>
    <w:basedOn w:val="Normal"/>
    <w:qFormat/>
    <w:pPr>
      <w:spacing w:before="100" w:beforeAutospacing="1" w:after="100" w:afterAutospacing="1" w:line="240" w:lineRule="auto"/>
    </w:pPr>
    <w:rPr>
      <w:rFonts w:ascii="Times New Roman" w:eastAsia="Times New Roman" w:hAnsi="Times New Roman" w:cs="Times New Roman"/>
      <w:b/>
      <w:bCs/>
      <w:i/>
      <w:iCs/>
      <w:color w:val="000000"/>
      <w:sz w:val="18"/>
      <w:szCs w:val="18"/>
      <w:lang w:eastAsia="fr-FR"/>
    </w:rPr>
  </w:style>
  <w:style w:type="paragraph" w:customStyle="1" w:styleId="font6">
    <w:name w:val="font6"/>
    <w:basedOn w:val="Normal"/>
    <w:qFormat/>
    <w:pPr>
      <w:spacing w:before="100" w:beforeAutospacing="1" w:after="100" w:afterAutospacing="1" w:line="240" w:lineRule="auto"/>
    </w:pPr>
    <w:rPr>
      <w:rFonts w:ascii="Times New Roman" w:eastAsia="Times New Roman" w:hAnsi="Times New Roman" w:cs="Times New Roman"/>
      <w:b/>
      <w:bCs/>
      <w:color w:val="000000"/>
      <w:sz w:val="20"/>
      <w:szCs w:val="20"/>
      <w:lang w:eastAsia="fr-FR"/>
    </w:rPr>
  </w:style>
  <w:style w:type="paragraph" w:customStyle="1" w:styleId="xl96">
    <w:name w:val="xl96"/>
    <w:basedOn w:val="Normal"/>
    <w:qFormat/>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color w:val="0563C1"/>
      <w:sz w:val="28"/>
      <w:szCs w:val="28"/>
      <w:u w:val="single"/>
      <w:lang w:eastAsia="fr-FR"/>
    </w:rPr>
  </w:style>
  <w:style w:type="paragraph" w:customStyle="1" w:styleId="xl97">
    <w:name w:val="xl97"/>
    <w:basedOn w:val="Normal"/>
    <w:qFormat/>
    <w:pPr>
      <w:pBdr>
        <w:top w:val="single" w:sz="8" w:space="0" w:color="auto"/>
        <w:righ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color w:val="0563C1"/>
      <w:sz w:val="28"/>
      <w:szCs w:val="28"/>
      <w:u w:val="single"/>
      <w:lang w:eastAsia="fr-FR"/>
    </w:rPr>
  </w:style>
  <w:style w:type="paragraph" w:customStyle="1" w:styleId="xl98">
    <w:name w:val="xl98"/>
    <w:basedOn w:val="Normal"/>
    <w:qFormat/>
    <w:pPr>
      <w:pBdr>
        <w:left w:val="single" w:sz="8" w:space="0" w:color="000000"/>
        <w:bottom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color w:val="0563C1"/>
      <w:sz w:val="28"/>
      <w:szCs w:val="28"/>
      <w:u w:val="single"/>
      <w:lang w:eastAsia="fr-FR"/>
    </w:rPr>
  </w:style>
  <w:style w:type="paragraph" w:customStyle="1" w:styleId="xl99">
    <w:name w:val="xl99"/>
    <w:basedOn w:val="Normal"/>
    <w:qFormat/>
    <w:pPr>
      <w:pBdr>
        <w:bottom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color w:val="0563C1"/>
      <w:sz w:val="28"/>
      <w:szCs w:val="28"/>
      <w:u w:val="single"/>
      <w:lang w:eastAsia="fr-FR"/>
    </w:rPr>
  </w:style>
  <w:style w:type="paragraph" w:customStyle="1" w:styleId="xl100">
    <w:name w:val="xl100"/>
    <w:basedOn w:val="Normal"/>
    <w:qFormat/>
    <w:pPr>
      <w:pBdr>
        <w:bottom w:val="single" w:sz="8" w:space="0" w:color="000000"/>
        <w:righ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color w:val="0563C1"/>
      <w:sz w:val="28"/>
      <w:szCs w:val="28"/>
      <w:u w:val="single"/>
      <w:lang w:eastAsia="fr-FR"/>
    </w:rPr>
  </w:style>
  <w:style w:type="paragraph" w:customStyle="1" w:styleId="xl101">
    <w:name w:val="xl101"/>
    <w:basedOn w:val="Normal"/>
    <w:qFormat/>
    <w:pPr>
      <w:pBdr>
        <w:top w:val="single" w:sz="8" w:space="0" w:color="auto"/>
        <w:lef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102">
    <w:name w:val="xl102"/>
    <w:basedOn w:val="Normal"/>
    <w:qFormat/>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103">
    <w:name w:val="xl103"/>
    <w:basedOn w:val="Normal"/>
    <w:qFormat/>
    <w:pPr>
      <w:pBdr>
        <w:top w:val="single" w:sz="8" w:space="0" w:color="auto"/>
        <w:righ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104">
    <w:name w:val="xl104"/>
    <w:basedOn w:val="Normal"/>
    <w:qFormat/>
    <w:pPr>
      <w:pBdr>
        <w:left w:val="single" w:sz="8" w:space="0" w:color="000000"/>
        <w:bottom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105">
    <w:name w:val="xl105"/>
    <w:basedOn w:val="Normal"/>
    <w:qFormat/>
    <w:pPr>
      <w:pBdr>
        <w:bottom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106">
    <w:name w:val="xl106"/>
    <w:basedOn w:val="Normal"/>
    <w:qFormat/>
    <w:pPr>
      <w:pBdr>
        <w:bottom w:val="single" w:sz="8" w:space="0" w:color="000000"/>
        <w:righ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fr-FR"/>
    </w:rPr>
  </w:style>
  <w:style w:type="paragraph" w:customStyle="1" w:styleId="xl107">
    <w:name w:val="xl107"/>
    <w:basedOn w:val="Normal"/>
    <w:qFormat/>
    <w:pPr>
      <w:pBdr>
        <w:top w:val="single" w:sz="8" w:space="0" w:color="auto"/>
        <w:lef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color w:val="0563C1"/>
      <w:sz w:val="28"/>
      <w:szCs w:val="28"/>
      <w:u w:val="single"/>
      <w:lang w:eastAsia="fr-FR"/>
    </w:rPr>
  </w:style>
  <w:style w:type="paragraph" w:customStyle="1" w:styleId="xl108">
    <w:name w:val="xl108"/>
    <w:basedOn w:val="Normal"/>
    <w:qFormat/>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color w:val="0563C1"/>
      <w:sz w:val="28"/>
      <w:szCs w:val="28"/>
      <w:u w:val="single"/>
      <w:lang w:eastAsia="fr-FR"/>
    </w:rPr>
  </w:style>
  <w:style w:type="paragraph" w:customStyle="1" w:styleId="xl109">
    <w:name w:val="xl109"/>
    <w:basedOn w:val="Normal"/>
    <w:qFormat/>
    <w:pPr>
      <w:pBdr>
        <w:top w:val="single" w:sz="8" w:space="0" w:color="auto"/>
        <w:righ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color w:val="0563C1"/>
      <w:sz w:val="28"/>
      <w:szCs w:val="28"/>
      <w:u w:val="single"/>
      <w:lang w:eastAsia="fr-FR"/>
    </w:rPr>
  </w:style>
  <w:style w:type="paragraph" w:customStyle="1" w:styleId="xl110">
    <w:name w:val="xl110"/>
    <w:basedOn w:val="Normal"/>
    <w:qFormat/>
    <w:pPr>
      <w:pBdr>
        <w:left w:val="single" w:sz="8" w:space="0" w:color="000000"/>
        <w:bottom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color w:val="0563C1"/>
      <w:sz w:val="28"/>
      <w:szCs w:val="28"/>
      <w:u w:val="single"/>
      <w:lang w:eastAsia="fr-FR"/>
    </w:rPr>
  </w:style>
  <w:style w:type="paragraph" w:customStyle="1" w:styleId="xl111">
    <w:name w:val="xl111"/>
    <w:basedOn w:val="Normal"/>
    <w:qFormat/>
    <w:pPr>
      <w:pBdr>
        <w:bottom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color w:val="0563C1"/>
      <w:sz w:val="28"/>
      <w:szCs w:val="28"/>
      <w:u w:val="single"/>
      <w:lang w:eastAsia="fr-FR"/>
    </w:rPr>
  </w:style>
  <w:style w:type="paragraph" w:customStyle="1" w:styleId="xl112">
    <w:name w:val="xl112"/>
    <w:basedOn w:val="Normal"/>
    <w:qFormat/>
    <w:pPr>
      <w:pBdr>
        <w:bottom w:val="single" w:sz="8" w:space="0" w:color="000000"/>
        <w:right w:val="single" w:sz="8" w:space="0" w:color="000000"/>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color w:val="0563C1"/>
      <w:sz w:val="28"/>
      <w:szCs w:val="28"/>
      <w:u w:val="single"/>
      <w:lang w:eastAsia="fr-FR"/>
    </w:rPr>
  </w:style>
  <w:style w:type="table" w:customStyle="1" w:styleId="TableauGrille1Clair-Accentuation21">
    <w:name w:val="Tableau Grille 1 Clair - Accentuation 21"/>
    <w:basedOn w:val="TableauNormal"/>
    <w:uiPriority w:val="46"/>
    <w:qFormat/>
    <w:rPr>
      <w:rFonts w:ascii="Calibri" w:eastAsia="Calibri" w:hAnsi="Calibri" w:cs="Times New Roman"/>
    </w:rPr>
    <w:tblPr>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eauGrille1Clair-Accentuation41">
    <w:name w:val="Tableau Grille 1 Clair - Accentuation 41"/>
    <w:basedOn w:val="TableauNormal"/>
    <w:uiPriority w:val="46"/>
    <w:qFormat/>
    <w:rPr>
      <w:rFonts w:ascii="Calibri" w:eastAsia="Calibri" w:hAnsi="Calibri" w:cs="Times New Roman"/>
    </w:rPr>
    <w:tblPr>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character" w:customStyle="1" w:styleId="acopre">
    <w:name w:val="acopre"/>
    <w:qFormat/>
  </w:style>
  <w:style w:type="table" w:customStyle="1" w:styleId="TableauGrille5Fonc-Accentuation21">
    <w:name w:val="Tableau Grille 5 Foncé - Accentuation 21"/>
    <w:basedOn w:val="TableauNormal"/>
    <w:uiPriority w:val="50"/>
    <w:qFormat/>
    <w:rPr>
      <w:rFonts w:ascii="Calibri" w:eastAsia="Calibri" w:hAnsi="Calibri"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NotedefinCar">
    <w:name w:val="Note de fin Car"/>
    <w:basedOn w:val="Policepardfaut"/>
    <w:link w:val="Notedefin"/>
    <w:uiPriority w:val="99"/>
    <w:semiHidden/>
    <w:qFormat/>
    <w:rPr>
      <w:rFonts w:ascii="Calibri" w:eastAsia="Calibri" w:hAnsi="Calibri" w:cs="Times New Roman"/>
      <w:sz w:val="20"/>
      <w:szCs w:val="20"/>
      <w:lang w:eastAsia="fr-FR"/>
    </w:rPr>
  </w:style>
  <w:style w:type="character" w:customStyle="1" w:styleId="hgkelc">
    <w:name w:val="hgkelc"/>
    <w:qFormat/>
  </w:style>
  <w:style w:type="character" w:customStyle="1" w:styleId="Sous-titreCar">
    <w:name w:val="Sous-titre Car"/>
    <w:basedOn w:val="Policepardfaut"/>
    <w:link w:val="Sous-titre"/>
    <w:uiPriority w:val="11"/>
    <w:qFormat/>
    <w:rPr>
      <w:rFonts w:ascii="Calibri" w:eastAsia="Times New Roman" w:hAnsi="Calibri" w:cs="Times New Roman"/>
      <w:color w:val="5A5A5A"/>
      <w:spacing w:val="15"/>
    </w:rPr>
  </w:style>
  <w:style w:type="table" w:customStyle="1" w:styleId="Tableausimple11">
    <w:name w:val="Tableau simple 11"/>
    <w:basedOn w:val="TableauNormal"/>
    <w:uiPriority w:val="41"/>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lledutableau2">
    <w:name w:val="Grille du tableau2"/>
    <w:basedOn w:val="Tableau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5Fonc-Accentuation51">
    <w:name w:val="Tableau Grille 5 Foncé - Accentuation 51"/>
    <w:basedOn w:val="TableauNormal"/>
    <w:uiPriority w:val="50"/>
    <w:qFormat/>
    <w:rPr>
      <w:rFonts w:ascii="Calibri" w:eastAsia="Calibri" w:hAnsi="Calibri"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eauListe3-Accentuation31">
    <w:name w:val="Tableau Liste 3 - Accentuation 31"/>
    <w:basedOn w:val="TableauNormal"/>
    <w:uiPriority w:val="48"/>
    <w:qFormat/>
    <w:rPr>
      <w:rFonts w:ascii="Calibri" w:eastAsia="Calibri" w:hAnsi="Calibri" w:cs="Times New Roman"/>
    </w:rPr>
    <w:tblPr>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paragraph" w:customStyle="1" w:styleId="Rvision1">
    <w:name w:val="Révision1"/>
    <w:hidden/>
    <w:uiPriority w:val="99"/>
    <w:semiHidden/>
    <w:qFormat/>
    <w:rPr>
      <w:rFonts w:ascii="Calibri" w:eastAsia="Calibri" w:hAnsi="Calibri" w:cs="Times New Roman"/>
    </w:rPr>
  </w:style>
  <w:style w:type="character" w:customStyle="1" w:styleId="d2edcug0">
    <w:name w:val="d2edcug0"/>
    <w:qFormat/>
  </w:style>
  <w:style w:type="table" w:customStyle="1" w:styleId="TableauGrille2-Accentuation11">
    <w:name w:val="Tableau Grille 2 - Accentuation 11"/>
    <w:basedOn w:val="TableauNormal"/>
    <w:uiPriority w:val="47"/>
    <w:qFormat/>
    <w:rPr>
      <w:rFonts w:ascii="Calibri" w:eastAsia="Calibri" w:hAnsi="Calibri" w:cs="Times New Roman"/>
    </w:rPr>
    <w:tblPr>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auGrille1Clair-Accentuation51">
    <w:name w:val="Tableau Grille 1 Clair - Accentuation 51"/>
    <w:basedOn w:val="TableauNormal"/>
    <w:uiPriority w:val="46"/>
    <w:qFormat/>
    <w:rPr>
      <w:rFonts w:ascii="Calibri" w:eastAsia="Calibri" w:hAnsi="Calibri" w:cs="Times New Roman"/>
    </w:rPr>
    <w:tblPr>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eauGrille5Fonc-Accentuation41">
    <w:name w:val="Tableau Grille 5 Foncé - Accentuation 41"/>
    <w:basedOn w:val="TableauNormal"/>
    <w:uiPriority w:val="50"/>
    <w:qFormat/>
    <w:rPr>
      <w:rFonts w:ascii="Calibri" w:eastAsia="Calibri" w:hAnsi="Calibri" w:cs="Times New Roman"/>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auGrille2-Accentuation21">
    <w:name w:val="Tableau Grille 2 - Accentuation 21"/>
    <w:basedOn w:val="TableauNormal"/>
    <w:uiPriority w:val="47"/>
    <w:qFormat/>
    <w:rPr>
      <w:rFonts w:ascii="Calibri" w:eastAsia="Calibri" w:hAnsi="Calibri" w:cs="Times New Roman"/>
    </w:rPr>
    <w:tblPr>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auListe3-Accentuation21">
    <w:name w:val="Tableau Liste 3 - Accentuation 21"/>
    <w:basedOn w:val="TableauNormal"/>
    <w:uiPriority w:val="48"/>
    <w:qFormat/>
    <w:rPr>
      <w:rFonts w:ascii="Calibri" w:eastAsia="Calibri" w:hAnsi="Calibri" w:cs="Times New Roman"/>
    </w:rPr>
    <w:tblPr>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customStyle="1" w:styleId="TableauListe3-Accentuation11">
    <w:name w:val="Tableau Liste 3 - Accentuation 11"/>
    <w:basedOn w:val="TableauNormal"/>
    <w:uiPriority w:val="48"/>
    <w:qFormat/>
    <w:rPr>
      <w:rFonts w:ascii="Calibri" w:eastAsia="Calibri" w:hAnsi="Calibri" w:cs="Times New Roman"/>
    </w:rPr>
    <w:tblPr>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TableauListe4-Accentuation11">
    <w:name w:val="Tableau Liste 4 - Accentuation 11"/>
    <w:basedOn w:val="TableauNormal"/>
    <w:uiPriority w:val="49"/>
    <w:qFormat/>
    <w:rPr>
      <w:rFonts w:ascii="Calibri" w:eastAsia="Calibri" w:hAnsi="Calibri" w:cs="Times New Roman"/>
    </w:rPr>
    <w:tblPr>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Mentionnonrsolue1">
    <w:name w:val="Mention non résolue1"/>
    <w:uiPriority w:val="99"/>
    <w:semiHidden/>
    <w:unhideWhenUsed/>
    <w:qFormat/>
    <w:rPr>
      <w:color w:val="605E5C"/>
      <w:shd w:val="clear" w:color="auto" w:fill="E1DFDD"/>
    </w:rPr>
  </w:style>
  <w:style w:type="character" w:customStyle="1" w:styleId="Titre7Car">
    <w:name w:val="Titre 7 Car"/>
    <w:basedOn w:val="Policepardfaut"/>
    <w:link w:val="Titre7"/>
    <w:uiPriority w:val="9"/>
    <w:qFormat/>
    <w:rPr>
      <w:rFonts w:asciiTheme="majorHAnsi" w:eastAsiaTheme="majorEastAsia" w:hAnsiTheme="majorHAnsi" w:cstheme="majorBidi"/>
      <w:i/>
      <w:iCs/>
      <w:color w:val="1F3864" w:themeColor="accent1" w:themeShade="80"/>
    </w:rPr>
  </w:style>
  <w:style w:type="character" w:customStyle="1" w:styleId="Titre6Car">
    <w:name w:val="Titre 6 Car"/>
    <w:basedOn w:val="Policepardfaut"/>
    <w:link w:val="Titre6"/>
    <w:uiPriority w:val="9"/>
    <w:qFormat/>
    <w:rPr>
      <w:rFonts w:asciiTheme="majorHAnsi" w:eastAsiaTheme="majorEastAsia" w:hAnsiTheme="majorHAnsi" w:cstheme="majorBidi"/>
      <w:color w:val="1F3864" w:themeColor="accent1" w:themeShade="80"/>
    </w:rPr>
  </w:style>
  <w:style w:type="character" w:customStyle="1" w:styleId="TitreCar">
    <w:name w:val="Titre Car"/>
    <w:basedOn w:val="Policepardfaut"/>
    <w:link w:val="Titre"/>
    <w:uiPriority w:val="10"/>
    <w:qFormat/>
    <w:rPr>
      <w:rFonts w:asciiTheme="majorHAnsi" w:eastAsiaTheme="majorEastAsia" w:hAnsiTheme="majorHAnsi" w:cstheme="majorBidi"/>
      <w:spacing w:val="-10"/>
      <w:kern w:val="28"/>
      <w:sz w:val="56"/>
      <w:szCs w:val="56"/>
    </w:rPr>
  </w:style>
  <w:style w:type="paragraph" w:customStyle="1" w:styleId="Titre11">
    <w:name w:val="Titre 11"/>
    <w:basedOn w:val="Normal"/>
    <w:next w:val="Normal"/>
    <w:uiPriority w:val="9"/>
    <w:qFormat/>
    <w:pPr>
      <w:keepNext/>
      <w:keepLines/>
      <w:spacing w:before="240" w:after="0" w:line="288" w:lineRule="auto"/>
      <w:jc w:val="both"/>
      <w:outlineLvl w:val="0"/>
    </w:pPr>
    <w:rPr>
      <w:rFonts w:ascii="Tw Cen MT Condensed Extra Bold" w:eastAsia="Times New Roman" w:hAnsi="Tw Cen MT Condensed Extra Bold" w:cs="Times New Roman"/>
      <w:color w:val="2F5496"/>
      <w:sz w:val="32"/>
      <w:szCs w:val="32"/>
      <w:u w:val="single"/>
    </w:rPr>
  </w:style>
  <w:style w:type="paragraph" w:customStyle="1" w:styleId="Titre21">
    <w:name w:val="Titre 21"/>
    <w:basedOn w:val="Normal"/>
    <w:next w:val="Normal"/>
    <w:uiPriority w:val="9"/>
    <w:unhideWhenUsed/>
    <w:qFormat/>
    <w:pPr>
      <w:keepNext/>
      <w:keepLines/>
      <w:spacing w:before="360" w:after="0" w:line="288" w:lineRule="auto"/>
      <w:ind w:left="227"/>
      <w:jc w:val="both"/>
      <w:outlineLvl w:val="1"/>
    </w:pPr>
    <w:rPr>
      <w:rFonts w:ascii="Bahnschrift SemiBold SemiConden" w:eastAsia="Times New Roman" w:hAnsi="Bahnschrift SemiBold SemiConden" w:cs="Times New Roman"/>
      <w:color w:val="2F5496"/>
      <w:sz w:val="26"/>
      <w:szCs w:val="26"/>
    </w:rPr>
  </w:style>
  <w:style w:type="paragraph" w:customStyle="1" w:styleId="Titre31">
    <w:name w:val="Titre 31"/>
    <w:basedOn w:val="Normal"/>
    <w:next w:val="Normal"/>
    <w:uiPriority w:val="9"/>
    <w:unhideWhenUsed/>
    <w:qFormat/>
    <w:pPr>
      <w:keepNext/>
      <w:keepLines/>
      <w:spacing w:before="360" w:after="0" w:line="288" w:lineRule="auto"/>
      <w:ind w:left="454"/>
      <w:jc w:val="both"/>
      <w:outlineLvl w:val="2"/>
    </w:pPr>
    <w:rPr>
      <w:rFonts w:ascii="Bahnschrift SemiBold SemiConden" w:eastAsia="Times New Roman" w:hAnsi="Bahnschrift SemiBold SemiConden" w:cs="Times New Roman"/>
      <w:sz w:val="24"/>
      <w:szCs w:val="24"/>
    </w:rPr>
  </w:style>
  <w:style w:type="paragraph" w:customStyle="1" w:styleId="Titre41">
    <w:name w:val="Titre 41"/>
    <w:basedOn w:val="Normal"/>
    <w:next w:val="Normal"/>
    <w:uiPriority w:val="9"/>
    <w:unhideWhenUsed/>
    <w:qFormat/>
    <w:pPr>
      <w:keepNext/>
      <w:keepLines/>
      <w:spacing w:before="360" w:after="0" w:line="288" w:lineRule="auto"/>
      <w:ind w:left="680"/>
      <w:jc w:val="both"/>
      <w:outlineLvl w:val="3"/>
    </w:pPr>
    <w:rPr>
      <w:rFonts w:ascii="Calibri Light" w:eastAsia="Times New Roman" w:hAnsi="Calibri Light" w:cs="Times New Roman"/>
      <w:i/>
      <w:iCs/>
      <w:color w:val="2F5496"/>
      <w:sz w:val="24"/>
    </w:rPr>
  </w:style>
  <w:style w:type="paragraph" w:customStyle="1" w:styleId="Titre51">
    <w:name w:val="Titre 51"/>
    <w:basedOn w:val="Normal"/>
    <w:next w:val="Normal"/>
    <w:uiPriority w:val="9"/>
    <w:unhideWhenUsed/>
    <w:qFormat/>
    <w:pPr>
      <w:keepNext/>
      <w:keepLines/>
      <w:spacing w:before="40" w:after="0" w:line="288" w:lineRule="auto"/>
      <w:jc w:val="both"/>
      <w:outlineLvl w:val="4"/>
    </w:pPr>
    <w:rPr>
      <w:rFonts w:ascii="Calibri Light" w:eastAsia="Times New Roman" w:hAnsi="Calibri Light" w:cs="Times New Roman"/>
      <w:color w:val="2F5496"/>
      <w:sz w:val="24"/>
    </w:rPr>
  </w:style>
  <w:style w:type="paragraph" w:customStyle="1" w:styleId="Titre61">
    <w:name w:val="Titre 61"/>
    <w:basedOn w:val="Normal"/>
    <w:next w:val="Normal"/>
    <w:uiPriority w:val="9"/>
    <w:unhideWhenUsed/>
    <w:qFormat/>
    <w:pPr>
      <w:keepNext/>
      <w:keepLines/>
      <w:spacing w:before="40" w:after="0" w:line="288" w:lineRule="auto"/>
      <w:jc w:val="both"/>
      <w:outlineLvl w:val="5"/>
    </w:pPr>
    <w:rPr>
      <w:rFonts w:ascii="Calibri Light" w:eastAsia="Times New Roman" w:hAnsi="Calibri Light" w:cs="Times New Roman"/>
      <w:color w:val="1F3763"/>
      <w:sz w:val="24"/>
    </w:rPr>
  </w:style>
  <w:style w:type="paragraph" w:customStyle="1" w:styleId="Titre10">
    <w:name w:val="Titre1"/>
    <w:basedOn w:val="Normal"/>
    <w:next w:val="Normal"/>
    <w:uiPriority w:val="10"/>
    <w:qFormat/>
    <w:pPr>
      <w:spacing w:after="0" w:line="240" w:lineRule="auto"/>
      <w:contextualSpacing/>
      <w:jc w:val="both"/>
    </w:pPr>
    <w:rPr>
      <w:rFonts w:ascii="Calibri Light" w:eastAsia="Times New Roman" w:hAnsi="Calibri Light" w:cs="Times New Roman"/>
      <w:spacing w:val="-10"/>
      <w:kern w:val="28"/>
      <w:sz w:val="56"/>
      <w:szCs w:val="56"/>
    </w:rPr>
  </w:style>
  <w:style w:type="table" w:customStyle="1" w:styleId="Grilledutableau4">
    <w:name w:val="Grille du tableau4"/>
    <w:basedOn w:val="Tableau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debullesCar1">
    <w:name w:val="Texte de bulles Car1"/>
    <w:basedOn w:val="Policepardfaut"/>
    <w:uiPriority w:val="99"/>
    <w:semiHidden/>
    <w:qFormat/>
    <w:rPr>
      <w:rFonts w:ascii="Segoe UI" w:hAnsi="Segoe UI" w:cs="Segoe UI"/>
      <w:sz w:val="18"/>
      <w:szCs w:val="18"/>
    </w:rPr>
  </w:style>
  <w:style w:type="paragraph" w:customStyle="1" w:styleId="En-tte1">
    <w:name w:val="En-tête1"/>
    <w:basedOn w:val="Normal"/>
    <w:next w:val="En-tte"/>
    <w:uiPriority w:val="99"/>
    <w:unhideWhenUsed/>
    <w:qFormat/>
    <w:pPr>
      <w:tabs>
        <w:tab w:val="center" w:pos="4536"/>
        <w:tab w:val="right" w:pos="9072"/>
      </w:tabs>
      <w:spacing w:after="0" w:line="240" w:lineRule="auto"/>
    </w:pPr>
  </w:style>
  <w:style w:type="character" w:customStyle="1" w:styleId="En-tteCar1">
    <w:name w:val="En-tête Car1"/>
    <w:basedOn w:val="Policepardfaut"/>
    <w:uiPriority w:val="99"/>
    <w:semiHidden/>
    <w:qFormat/>
    <w:rPr>
      <w:rFonts w:ascii="Bahnschrift Light" w:hAnsi="Bahnschrift Light"/>
      <w:sz w:val="24"/>
    </w:rPr>
  </w:style>
  <w:style w:type="paragraph" w:customStyle="1" w:styleId="Pieddepage1">
    <w:name w:val="Pied de page1"/>
    <w:basedOn w:val="Normal"/>
    <w:next w:val="Pieddepage"/>
    <w:uiPriority w:val="99"/>
    <w:unhideWhenUsed/>
    <w:qFormat/>
    <w:pPr>
      <w:tabs>
        <w:tab w:val="center" w:pos="4536"/>
        <w:tab w:val="right" w:pos="9072"/>
      </w:tabs>
      <w:spacing w:after="0" w:line="240" w:lineRule="auto"/>
    </w:pPr>
  </w:style>
  <w:style w:type="paragraph" w:customStyle="1" w:styleId="Commentaire1">
    <w:name w:val="Commentaire1"/>
    <w:basedOn w:val="Normal"/>
    <w:next w:val="Commentaire"/>
    <w:uiPriority w:val="99"/>
    <w:semiHidden/>
    <w:unhideWhenUsed/>
    <w:qFormat/>
    <w:pPr>
      <w:spacing w:after="200" w:line="240" w:lineRule="auto"/>
    </w:pPr>
    <w:rPr>
      <w:sz w:val="20"/>
      <w:szCs w:val="20"/>
    </w:rPr>
  </w:style>
  <w:style w:type="character" w:customStyle="1" w:styleId="CommentaireCar1">
    <w:name w:val="Commentaire Car1"/>
    <w:basedOn w:val="Policepardfaut"/>
    <w:uiPriority w:val="99"/>
    <w:semiHidden/>
    <w:qFormat/>
    <w:rPr>
      <w:kern w:val="0"/>
      <w:sz w:val="20"/>
      <w:szCs w:val="20"/>
      <w:lang w:val="fr-FR"/>
      <w14:ligatures w14:val="none"/>
    </w:rPr>
  </w:style>
  <w:style w:type="character" w:customStyle="1" w:styleId="ObjetducommentaireCar1">
    <w:name w:val="Objet du commentaire Car1"/>
    <w:basedOn w:val="CommentaireCar1"/>
    <w:uiPriority w:val="99"/>
    <w:semiHidden/>
    <w:qFormat/>
    <w:rPr>
      <w:b/>
      <w:bCs/>
      <w:kern w:val="0"/>
      <w:sz w:val="20"/>
      <w:szCs w:val="20"/>
      <w:lang w:val="fr-FR"/>
      <w14:ligatures w14:val="none"/>
    </w:rPr>
  </w:style>
  <w:style w:type="paragraph" w:customStyle="1" w:styleId="Citation1">
    <w:name w:val="Citation1"/>
    <w:basedOn w:val="Normal"/>
    <w:next w:val="Normal"/>
    <w:uiPriority w:val="29"/>
    <w:qFormat/>
    <w:pPr>
      <w:spacing w:before="200" w:line="288" w:lineRule="auto"/>
      <w:ind w:left="864" w:right="864"/>
      <w:jc w:val="center"/>
    </w:pPr>
    <w:rPr>
      <w:rFonts w:ascii="Bahnschrift Light" w:hAnsi="Bahnschrift Light"/>
      <w:i/>
      <w:iCs/>
      <w:color w:val="404040"/>
      <w:sz w:val="24"/>
    </w:rPr>
  </w:style>
  <w:style w:type="character" w:customStyle="1" w:styleId="CitationCar">
    <w:name w:val="Citation Car"/>
    <w:basedOn w:val="Policepardfaut"/>
    <w:link w:val="Citation"/>
    <w:uiPriority w:val="29"/>
    <w:qFormat/>
    <w:rPr>
      <w:rFonts w:ascii="Bahnschrift Light" w:hAnsi="Bahnschrift Light"/>
      <w:i/>
      <w:iCs/>
      <w:color w:val="404040"/>
      <w:sz w:val="24"/>
    </w:rPr>
  </w:style>
  <w:style w:type="paragraph" w:styleId="Citation">
    <w:name w:val="Quote"/>
    <w:basedOn w:val="Normal"/>
    <w:next w:val="Normal"/>
    <w:link w:val="CitationCar"/>
    <w:uiPriority w:val="29"/>
    <w:qFormat/>
    <w:pPr>
      <w:spacing w:before="200"/>
      <w:ind w:left="864" w:right="864"/>
      <w:jc w:val="center"/>
    </w:pPr>
    <w:rPr>
      <w:rFonts w:ascii="Bahnschrift Light" w:hAnsi="Bahnschrift Light"/>
      <w:i/>
      <w:iCs/>
      <w:color w:val="404040"/>
      <w:sz w:val="24"/>
    </w:rPr>
  </w:style>
  <w:style w:type="paragraph" w:customStyle="1" w:styleId="Sous-titre1">
    <w:name w:val="Sous-titre1"/>
    <w:basedOn w:val="Normal"/>
    <w:next w:val="Normal"/>
    <w:uiPriority w:val="11"/>
    <w:qFormat/>
    <w:pPr>
      <w:spacing w:line="288" w:lineRule="auto"/>
      <w:jc w:val="both"/>
    </w:pPr>
    <w:rPr>
      <w:rFonts w:eastAsia="Times New Roman"/>
      <w:color w:val="5A5A5A"/>
      <w:spacing w:val="15"/>
    </w:rPr>
  </w:style>
  <w:style w:type="character" w:customStyle="1" w:styleId="Lienhypertextesuivivisit1">
    <w:name w:val="Lien hypertexte suivi visité1"/>
    <w:basedOn w:val="Policepardfaut"/>
    <w:uiPriority w:val="99"/>
    <w:semiHidden/>
    <w:unhideWhenUsed/>
    <w:qFormat/>
    <w:rPr>
      <w:color w:val="954F72"/>
      <w:u w:val="single"/>
    </w:rPr>
  </w:style>
  <w:style w:type="character" w:customStyle="1" w:styleId="Titre1Car1">
    <w:name w:val="Titre 1 Car1"/>
    <w:basedOn w:val="Policepardfaut"/>
    <w:uiPriority w:val="9"/>
    <w:qFormat/>
    <w:rPr>
      <w:rFonts w:ascii="Calibri Light" w:eastAsia="Times New Roman" w:hAnsi="Calibri Light" w:cs="Times New Roman"/>
      <w:color w:val="2E74B5"/>
      <w:sz w:val="32"/>
      <w:szCs w:val="32"/>
    </w:rPr>
  </w:style>
  <w:style w:type="character" w:customStyle="1" w:styleId="Titre2Car1">
    <w:name w:val="Titre 2 Car1"/>
    <w:basedOn w:val="Policepardfaut"/>
    <w:uiPriority w:val="9"/>
    <w:semiHidden/>
    <w:qFormat/>
    <w:rPr>
      <w:rFonts w:ascii="Calibri Light" w:eastAsia="Times New Roman" w:hAnsi="Calibri Light" w:cs="Times New Roman"/>
      <w:color w:val="2E74B5"/>
      <w:sz w:val="26"/>
      <w:szCs w:val="26"/>
    </w:rPr>
  </w:style>
  <w:style w:type="character" w:customStyle="1" w:styleId="Titre3Car1">
    <w:name w:val="Titre 3 Car1"/>
    <w:basedOn w:val="Policepardfaut"/>
    <w:uiPriority w:val="9"/>
    <w:semiHidden/>
    <w:qFormat/>
    <w:rPr>
      <w:rFonts w:ascii="Calibri Light" w:eastAsia="Times New Roman" w:hAnsi="Calibri Light" w:cs="Times New Roman"/>
      <w:color w:val="1F4D78"/>
      <w:sz w:val="24"/>
      <w:szCs w:val="24"/>
    </w:rPr>
  </w:style>
  <w:style w:type="character" w:customStyle="1" w:styleId="Titre4Car1">
    <w:name w:val="Titre 4 Car1"/>
    <w:basedOn w:val="Policepardfaut"/>
    <w:uiPriority w:val="9"/>
    <w:semiHidden/>
    <w:qFormat/>
    <w:rPr>
      <w:rFonts w:ascii="Calibri Light" w:eastAsia="Times New Roman" w:hAnsi="Calibri Light" w:cs="Times New Roman"/>
      <w:i/>
      <w:iCs/>
      <w:color w:val="2E74B5"/>
    </w:rPr>
  </w:style>
  <w:style w:type="character" w:customStyle="1" w:styleId="Titre5Car1">
    <w:name w:val="Titre 5 Car1"/>
    <w:basedOn w:val="Policepardfaut"/>
    <w:uiPriority w:val="9"/>
    <w:semiHidden/>
    <w:qFormat/>
    <w:rPr>
      <w:rFonts w:ascii="Calibri Light" w:eastAsia="Times New Roman" w:hAnsi="Calibri Light" w:cs="Times New Roman"/>
      <w:color w:val="2E74B5"/>
    </w:rPr>
  </w:style>
  <w:style w:type="character" w:customStyle="1" w:styleId="Titre6Car1">
    <w:name w:val="Titre 6 Car1"/>
    <w:basedOn w:val="Policepardfaut"/>
    <w:uiPriority w:val="9"/>
    <w:semiHidden/>
    <w:qFormat/>
    <w:rPr>
      <w:rFonts w:ascii="Calibri Light" w:eastAsia="Times New Roman" w:hAnsi="Calibri Light" w:cs="Times New Roman"/>
      <w:color w:val="1F4D78"/>
    </w:rPr>
  </w:style>
  <w:style w:type="character" w:customStyle="1" w:styleId="TitreCar1">
    <w:name w:val="Titre Car1"/>
    <w:basedOn w:val="Policepardfaut"/>
    <w:uiPriority w:val="10"/>
    <w:qFormat/>
    <w:rPr>
      <w:rFonts w:asciiTheme="majorHAnsi" w:eastAsiaTheme="majorEastAsia" w:hAnsiTheme="majorHAnsi" w:cstheme="majorBidi"/>
      <w:spacing w:val="-10"/>
      <w:kern w:val="28"/>
      <w:sz w:val="56"/>
      <w:szCs w:val="56"/>
    </w:rPr>
  </w:style>
  <w:style w:type="character" w:customStyle="1" w:styleId="En-tteCar2">
    <w:name w:val="En-tête Car2"/>
    <w:basedOn w:val="Policepardfaut"/>
    <w:uiPriority w:val="99"/>
    <w:semiHidden/>
    <w:qFormat/>
  </w:style>
  <w:style w:type="character" w:customStyle="1" w:styleId="PieddepageCar1">
    <w:name w:val="Pied de page Car1"/>
    <w:basedOn w:val="Policepardfaut"/>
    <w:uiPriority w:val="99"/>
    <w:qFormat/>
    <w:rPr>
      <w:kern w:val="0"/>
      <w:lang w:val="fr-FR"/>
      <w14:ligatures w14:val="none"/>
    </w:rPr>
  </w:style>
  <w:style w:type="character" w:customStyle="1" w:styleId="CitationCar1">
    <w:name w:val="Citation Car1"/>
    <w:basedOn w:val="Policepardfaut"/>
    <w:uiPriority w:val="29"/>
    <w:qFormat/>
    <w:rPr>
      <w:i/>
      <w:iCs/>
      <w:color w:val="404040" w:themeColor="text1" w:themeTint="BF"/>
    </w:rPr>
  </w:style>
  <w:style w:type="character" w:customStyle="1" w:styleId="Sous-titreCar1">
    <w:name w:val="Sous-titre Car1"/>
    <w:basedOn w:val="Policepardfaut"/>
    <w:uiPriority w:val="11"/>
    <w:qFormat/>
    <w:rPr>
      <w:rFonts w:eastAsiaTheme="minorEastAsia"/>
      <w:color w:val="595959" w:themeColor="text1" w:themeTint="A6"/>
      <w:spacing w:val="15"/>
    </w:rPr>
  </w:style>
  <w:style w:type="character" w:customStyle="1" w:styleId="Lienhypertextesuivivisit2">
    <w:name w:val="Lien hypertexte suivi visité2"/>
    <w:basedOn w:val="Policepardfaut"/>
    <w:uiPriority w:val="99"/>
    <w:semiHidden/>
    <w:unhideWhenUsed/>
    <w:qFormat/>
    <w:rPr>
      <w:color w:val="954F72"/>
      <w:u w:val="single"/>
    </w:rPr>
  </w:style>
  <w:style w:type="character" w:customStyle="1" w:styleId="Mentionnonrsolue11">
    <w:name w:val="Mention non résolue11"/>
    <w:basedOn w:val="Policepardfau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timbanews.net" TargetMode="External"/><Relationship Id="rId21" Type="http://schemas.openxmlformats.org/officeDocument/2006/relationships/image" Target="media/image9.jpeg"/><Relationship Id="rId42" Type="http://schemas.openxmlformats.org/officeDocument/2006/relationships/chart" Target="charts/chart11.xml"/><Relationship Id="rId63" Type="http://schemas.openxmlformats.org/officeDocument/2006/relationships/chart" Target="charts/chart23.xml"/><Relationship Id="rId84" Type="http://schemas.openxmlformats.org/officeDocument/2006/relationships/hyperlink" Target="http://www.laborpresse.net" TargetMode="External"/><Relationship Id="rId138" Type="http://schemas.openxmlformats.org/officeDocument/2006/relationships/hyperlink" Target="http://www.infonature.net" TargetMode="External"/><Relationship Id="rId159" Type="http://schemas.openxmlformats.org/officeDocument/2006/relationships/hyperlink" Target="http://www.boima.com" TargetMode="External"/><Relationship Id="rId107" Type="http://schemas.openxmlformats.org/officeDocument/2006/relationships/hyperlink" Target="http://www.sentinellebf.com" TargetMode="External"/><Relationship Id="rId11" Type="http://schemas.microsoft.com/office/2011/relationships/commentsExtended" Target="commentsExtended.xml"/><Relationship Id="rId32" Type="http://schemas.openxmlformats.org/officeDocument/2006/relationships/chart" Target="charts/chart3.xml"/><Relationship Id="rId53" Type="http://schemas.openxmlformats.org/officeDocument/2006/relationships/chart" Target="charts/chart19.xml"/><Relationship Id="rId74" Type="http://schemas.openxmlformats.org/officeDocument/2006/relationships/hyperlink" Target="http://www.burkinaonline.com" TargetMode="External"/><Relationship Id="rId128" Type="http://schemas.openxmlformats.org/officeDocument/2006/relationships/hyperlink" Target="http://www.burkinanews.info" TargetMode="External"/><Relationship Id="rId149" Type="http://schemas.openxmlformats.org/officeDocument/2006/relationships/hyperlink" Target="http://www.noocultures.info" TargetMode="External"/><Relationship Id="rId5" Type="http://schemas.openxmlformats.org/officeDocument/2006/relationships/settings" Target="settings.xml"/><Relationship Id="rId95" Type="http://schemas.openxmlformats.org/officeDocument/2006/relationships/hyperlink" Target="http://www.aconews.net" TargetMode="External"/><Relationship Id="rId160" Type="http://schemas.openxmlformats.org/officeDocument/2006/relationships/hyperlink" Target="http://www.fasotv.net" TargetMode="External"/><Relationship Id="rId22" Type="http://schemas.openxmlformats.org/officeDocument/2006/relationships/image" Target="media/image10.jpeg"/><Relationship Id="rId43" Type="http://schemas.openxmlformats.org/officeDocument/2006/relationships/chart" Target="charts/chart12.xml"/><Relationship Id="rId64" Type="http://schemas.openxmlformats.org/officeDocument/2006/relationships/chart" Target="charts/chart24.xml"/><Relationship Id="rId118" Type="http://schemas.openxmlformats.org/officeDocument/2006/relationships/hyperlink" Target="http://www.directinfoburkina.net" TargetMode="External"/><Relationship Id="rId139" Type="http://schemas.openxmlformats.org/officeDocument/2006/relationships/hyperlink" Target="http://www.mediaplusinfo.com" TargetMode="External"/><Relationship Id="rId85" Type="http://schemas.openxmlformats.org/officeDocument/2006/relationships/hyperlink" Target="http://www.burkinademain.com" TargetMode="External"/><Relationship Id="rId150" Type="http://schemas.openxmlformats.org/officeDocument/2006/relationships/hyperlink" Target="http://www.culturosportinfo.net" TargetMode="External"/><Relationship Id="rId12" Type="http://schemas.microsoft.com/office/2016/09/relationships/commentsIds" Target="commentsIds.xml"/><Relationship Id="rId33" Type="http://schemas.openxmlformats.org/officeDocument/2006/relationships/chart" Target="charts/chart4.xml"/><Relationship Id="rId108" Type="http://schemas.openxmlformats.org/officeDocument/2006/relationships/hyperlink" Target="http://www.islam.bf.com" TargetMode="External"/><Relationship Id="rId129" Type="http://schemas.openxmlformats.org/officeDocument/2006/relationships/hyperlink" Target="http://www.ouestactu.info" TargetMode="External"/><Relationship Id="rId54" Type="http://schemas.openxmlformats.org/officeDocument/2006/relationships/chart" Target="charts/chart20.xml"/><Relationship Id="rId70" Type="http://schemas.openxmlformats.org/officeDocument/2006/relationships/image" Target="media/image21.emf"/><Relationship Id="rId75" Type="http://schemas.openxmlformats.org/officeDocument/2006/relationships/hyperlink" Target="http://www.ouaga24.com" TargetMode="External"/><Relationship Id="rId91" Type="http://schemas.openxmlformats.org/officeDocument/2006/relationships/hyperlink" Target="http://www.infobf.net" TargetMode="External"/><Relationship Id="rId96" Type="http://schemas.openxmlformats.org/officeDocument/2006/relationships/hyperlink" Target="http://www.tinganews.com" TargetMode="External"/><Relationship Id="rId140" Type="http://schemas.openxmlformats.org/officeDocument/2006/relationships/hyperlink" Target="http://www.lemiroirdelinfo.com" TargetMode="External"/><Relationship Id="rId145" Type="http://schemas.openxmlformats.org/officeDocument/2006/relationships/hyperlink" Target="http://www.digitalmagazine.bf" TargetMode="External"/><Relationship Id="rId161" Type="http://schemas.openxmlformats.org/officeDocument/2006/relationships/hyperlink" Target="http://www.zissayatv.net" TargetMode="External"/><Relationship Id="rId16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1.jpeg"/><Relationship Id="rId28" Type="http://schemas.openxmlformats.org/officeDocument/2006/relationships/hyperlink" Target="http://www.toupie.org/Dictionnaire/Environnement.htm" TargetMode="External"/><Relationship Id="rId49" Type="http://schemas.openxmlformats.org/officeDocument/2006/relationships/chart" Target="charts/chart15.xml"/><Relationship Id="rId114" Type="http://schemas.openxmlformats.org/officeDocument/2006/relationships/hyperlink" Target="http://www.nahourinews.bf" TargetMode="External"/><Relationship Id="rId119" Type="http://schemas.openxmlformats.org/officeDocument/2006/relationships/hyperlink" Target="http://www.infoh24.info" TargetMode="External"/><Relationship Id="rId44" Type="http://schemas.openxmlformats.org/officeDocument/2006/relationships/hyperlink" Target="http://www.lefaso.net/" TargetMode="External"/><Relationship Id="rId60" Type="http://schemas.openxmlformats.org/officeDocument/2006/relationships/image" Target="media/image16.jpeg"/><Relationship Id="rId65" Type="http://schemas.openxmlformats.org/officeDocument/2006/relationships/image" Target="media/image19.jpeg"/><Relationship Id="rId81" Type="http://schemas.openxmlformats.org/officeDocument/2006/relationships/hyperlink" Target="http://www.burkina24.com" TargetMode="External"/><Relationship Id="rId86" Type="http://schemas.openxmlformats.org/officeDocument/2006/relationships/hyperlink" Target="http://www.kaceto.net" TargetMode="External"/><Relationship Id="rId130" Type="http://schemas.openxmlformats.org/officeDocument/2006/relationships/hyperlink" Target="http://www.eclairinfo.net" TargetMode="External"/><Relationship Id="rId135" Type="http://schemas.openxmlformats.org/officeDocument/2006/relationships/hyperlink" Target="http://www.globinfos.com" TargetMode="External"/><Relationship Id="rId151" Type="http://schemas.openxmlformats.org/officeDocument/2006/relationships/hyperlink" Target="http://www.zagla.io" TargetMode="External"/><Relationship Id="rId156" Type="http://schemas.openxmlformats.org/officeDocument/2006/relationships/hyperlink" Target="http://www.Cercle" TargetMode="External"/><Relationship Id="rId13" Type="http://schemas.openxmlformats.org/officeDocument/2006/relationships/image" Target="media/image1.jpeg"/><Relationship Id="rId18" Type="http://schemas.openxmlformats.org/officeDocument/2006/relationships/image" Target="media/image6.jpeg"/><Relationship Id="rId39" Type="http://schemas.openxmlformats.org/officeDocument/2006/relationships/chart" Target="charts/chart9.xml"/><Relationship Id="rId109" Type="http://schemas.openxmlformats.org/officeDocument/2006/relationships/hyperlink" Target="http://www.gulmuinfo" TargetMode="External"/><Relationship Id="rId34" Type="http://schemas.openxmlformats.org/officeDocument/2006/relationships/chart" Target="charts/chart5.xml"/><Relationship Id="rId50" Type="http://schemas.openxmlformats.org/officeDocument/2006/relationships/chart" Target="charts/chart16.xml"/><Relationship Id="rId55" Type="http://schemas.openxmlformats.org/officeDocument/2006/relationships/chart" Target="charts/chart21.xml"/><Relationship Id="rId76" Type="http://schemas.openxmlformats.org/officeDocument/2006/relationships/hyperlink" Target="http://www.iburkina.com" TargetMode="External"/><Relationship Id="rId97" Type="http://schemas.openxmlformats.org/officeDocument/2006/relationships/hyperlink" Target="http://www.libreinfo.net" TargetMode="External"/><Relationship Id="rId104" Type="http://schemas.openxmlformats.org/officeDocument/2006/relationships/hyperlink" Target="http://www.raamde-bf.net" TargetMode="External"/><Relationship Id="rId120" Type="http://schemas.openxmlformats.org/officeDocument/2006/relationships/hyperlink" Target="http://www.wouninfo.net" TargetMode="External"/><Relationship Id="rId125" Type="http://schemas.openxmlformats.org/officeDocument/2006/relationships/hyperlink" Target="http://www.lobspaalga.com" TargetMode="External"/><Relationship Id="rId141" Type="http://schemas.openxmlformats.org/officeDocument/2006/relationships/hyperlink" Target="http://www.Burkina7.com" TargetMode="External"/><Relationship Id="rId146" Type="http://schemas.openxmlformats.org/officeDocument/2006/relationships/hyperlink" Target="http://www.burkinasoir.net" TargetMode="External"/><Relationship Id="rId167"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www.fasozine.com" TargetMode="External"/><Relationship Id="rId92" Type="http://schemas.openxmlformats.org/officeDocument/2006/relationships/hyperlink" Target="http://www.Tankonnon.info" TargetMode="External"/><Relationship Id="rId162" Type="http://schemas.openxmlformats.org/officeDocument/2006/relationships/hyperlink" Target="http://www.rcburkina.org" TargetMode="External"/><Relationship Id="rId2" Type="http://schemas.openxmlformats.org/officeDocument/2006/relationships/customXml" Target="../customXml/item2.xml"/><Relationship Id="rId29" Type="http://schemas.openxmlformats.org/officeDocument/2006/relationships/hyperlink" Target="http://www.toupie.org/Dictionnaire/Interaction.htm" TargetMode="External"/><Relationship Id="rId24" Type="http://schemas.openxmlformats.org/officeDocument/2006/relationships/image" Target="media/image12.jpeg"/><Relationship Id="rId40" Type="http://schemas.openxmlformats.org/officeDocument/2006/relationships/hyperlink" Target="http://www.lefaso.net/" TargetMode="External"/><Relationship Id="rId45" Type="http://schemas.openxmlformats.org/officeDocument/2006/relationships/hyperlink" Target="http://www.lefaso.net/" TargetMode="External"/><Relationship Id="rId66" Type="http://schemas.openxmlformats.org/officeDocument/2006/relationships/footer" Target="footer6.xml"/><Relationship Id="rId87" Type="http://schemas.openxmlformats.org/officeDocument/2006/relationships/hyperlink" Target="http://www.wakatsera.bf" TargetMode="External"/><Relationship Id="rId110" Type="http://schemas.openxmlformats.org/officeDocument/2006/relationships/hyperlink" Target="http://www.geo-canal.info" TargetMode="External"/><Relationship Id="rId115" Type="http://schemas.openxmlformats.org/officeDocument/2006/relationships/hyperlink" Target="http://www.voxkultur.com" TargetMode="External"/><Relationship Id="rId131" Type="http://schemas.openxmlformats.org/officeDocument/2006/relationships/hyperlink" Target="http://www.afrikpress.com" TargetMode="External"/><Relationship Id="rId136" Type="http://schemas.openxmlformats.org/officeDocument/2006/relationships/hyperlink" Target="http://www.faso7.com" TargetMode="External"/><Relationship Id="rId157" Type="http://schemas.openxmlformats.org/officeDocument/2006/relationships/hyperlink" Target="http://www.jeunereporter.net" TargetMode="External"/><Relationship Id="rId61" Type="http://schemas.openxmlformats.org/officeDocument/2006/relationships/image" Target="media/image17.jpeg"/><Relationship Id="rId82" Type="http://schemas.openxmlformats.org/officeDocument/2006/relationships/hyperlink" Target="http://www.fasoactu.com" TargetMode="External"/><Relationship Id="rId152" Type="http://schemas.openxmlformats.org/officeDocument/2006/relationships/hyperlink" Target="http://www.letelegramme.bf" TargetMode="External"/><Relationship Id="rId19" Type="http://schemas.openxmlformats.org/officeDocument/2006/relationships/image" Target="media/image7.jpeg"/><Relationship Id="rId14" Type="http://schemas.openxmlformats.org/officeDocument/2006/relationships/image" Target="media/image2.jpeg"/><Relationship Id="rId30" Type="http://schemas.openxmlformats.org/officeDocument/2006/relationships/chart" Target="charts/chart1.xml"/><Relationship Id="rId35" Type="http://schemas.openxmlformats.org/officeDocument/2006/relationships/chart" Target="charts/chart6.xml"/><Relationship Id="rId56" Type="http://schemas.openxmlformats.org/officeDocument/2006/relationships/chart" Target="charts/chart22.xml"/><Relationship Id="rId77" Type="http://schemas.openxmlformats.org/officeDocument/2006/relationships/hyperlink" Target="http://www.touteinfo.com" TargetMode="External"/><Relationship Id="rId100" Type="http://schemas.openxmlformats.org/officeDocument/2006/relationships/hyperlink" Target="http://www.commune-actu.net" TargetMode="External"/><Relationship Id="rId105" Type="http://schemas.openxmlformats.org/officeDocument/2006/relationships/hyperlink" Target="http://www.radarsburkina.net" TargetMode="External"/><Relationship Id="rId126" Type="http://schemas.openxmlformats.org/officeDocument/2006/relationships/hyperlink" Target="http://www.reperemagazine.com" TargetMode="External"/><Relationship Id="rId147" Type="http://schemas.openxmlformats.org/officeDocument/2006/relationships/hyperlink" Target="http://www.inforapide.net" TargetMode="External"/><Relationship Id="rId168" Type="http://schemas.microsoft.com/office/2011/relationships/people" Target="people.xml"/><Relationship Id="rId8" Type="http://schemas.openxmlformats.org/officeDocument/2006/relationships/endnotes" Target="endnotes.xml"/><Relationship Id="rId51" Type="http://schemas.openxmlformats.org/officeDocument/2006/relationships/chart" Target="charts/chart17.xml"/><Relationship Id="rId72" Type="http://schemas.openxmlformats.org/officeDocument/2006/relationships/hyperlink" Target="http://www.santeactu.bf" TargetMode="External"/><Relationship Id="rId93" Type="http://schemas.openxmlformats.org/officeDocument/2006/relationships/hyperlink" Target="http://www.daawatoulislamia.net" TargetMode="External"/><Relationship Id="rId98" Type="http://schemas.openxmlformats.org/officeDocument/2006/relationships/hyperlink" Target="http://www.topinfosplus.com" TargetMode="External"/><Relationship Id="rId121" Type="http://schemas.openxmlformats.org/officeDocument/2006/relationships/hyperlink" Target="http://www.educmedias.com" TargetMode="External"/><Relationship Id="rId142" Type="http://schemas.openxmlformats.org/officeDocument/2006/relationships/hyperlink" Target="http://www.nouvelles-infos.bf" TargetMode="External"/><Relationship Id="rId163" Type="http://schemas.openxmlformats.org/officeDocument/2006/relationships/hyperlink" Target="http://www.focusgroup.africa" TargetMode="External"/><Relationship Id="rId3" Type="http://schemas.openxmlformats.org/officeDocument/2006/relationships/numbering" Target="numbering.xml"/><Relationship Id="rId25" Type="http://schemas.openxmlformats.org/officeDocument/2006/relationships/image" Target="media/image13.jpeg"/><Relationship Id="rId46" Type="http://schemas.openxmlformats.org/officeDocument/2006/relationships/footer" Target="footer3.xml"/><Relationship Id="rId67" Type="http://schemas.openxmlformats.org/officeDocument/2006/relationships/image" Target="media/image20.png"/><Relationship Id="rId116" Type="http://schemas.openxmlformats.org/officeDocument/2006/relationships/hyperlink" Target="http://www.fiinfos.net" TargetMode="External"/><Relationship Id="rId137" Type="http://schemas.openxmlformats.org/officeDocument/2006/relationships/hyperlink" Target="http://www.burkinaweb.net" TargetMode="External"/><Relationship Id="rId158" Type="http://schemas.openxmlformats.org/officeDocument/2006/relationships/hyperlink" Target="http://www.droitlibre.tv" TargetMode="External"/><Relationship Id="rId20" Type="http://schemas.openxmlformats.org/officeDocument/2006/relationships/image" Target="media/image8.jpeg"/><Relationship Id="rId41" Type="http://schemas.openxmlformats.org/officeDocument/2006/relationships/chart" Target="charts/chart10.xml"/><Relationship Id="rId62" Type="http://schemas.openxmlformats.org/officeDocument/2006/relationships/image" Target="media/image18.jpeg"/><Relationship Id="rId83" Type="http://schemas.openxmlformats.org/officeDocument/2006/relationships/hyperlink" Target="http://www.fasoactu.net" TargetMode="External"/><Relationship Id="rId88" Type="http://schemas.openxmlformats.org/officeDocument/2006/relationships/hyperlink" Target="http://www.artistesbf.org" TargetMode="External"/><Relationship Id="rId111" Type="http://schemas.openxmlformats.org/officeDocument/2006/relationships/hyperlink" Target="http://www.biznesskibaya.com" TargetMode="External"/><Relationship Id="rId132" Type="http://schemas.openxmlformats.org/officeDocument/2006/relationships/hyperlink" Target="http://www.noorinfos.com" TargetMode="External"/><Relationship Id="rId153" Type="http://schemas.openxmlformats.org/officeDocument/2006/relationships/hyperlink" Target="http://www.letendardinfos.net" TargetMode="External"/><Relationship Id="rId15" Type="http://schemas.openxmlformats.org/officeDocument/2006/relationships/image" Target="media/image3.jpeg"/><Relationship Id="rId36" Type="http://schemas.openxmlformats.org/officeDocument/2006/relationships/hyperlink" Target="http://www.burkina24.com" TargetMode="External"/><Relationship Id="rId57" Type="http://schemas.openxmlformats.org/officeDocument/2006/relationships/footer" Target="footer4.xml"/><Relationship Id="rId106" Type="http://schemas.openxmlformats.org/officeDocument/2006/relationships/hyperlink" Target="http://www.netafrique.net" TargetMode="External"/><Relationship Id="rId127" Type="http://schemas.openxmlformats.org/officeDocument/2006/relationships/hyperlink" Target="http://www.afrikibaria.com" TargetMode="External"/><Relationship Id="rId10" Type="http://schemas.openxmlformats.org/officeDocument/2006/relationships/comments" Target="comments.xml"/><Relationship Id="rId31" Type="http://schemas.openxmlformats.org/officeDocument/2006/relationships/chart" Target="charts/chart2.xml"/><Relationship Id="rId52" Type="http://schemas.openxmlformats.org/officeDocument/2006/relationships/chart" Target="charts/chart18.xml"/><Relationship Id="rId73" Type="http://schemas.openxmlformats.org/officeDocument/2006/relationships/hyperlink" Target="http://www.switch-maker.com" TargetMode="External"/><Relationship Id="rId78" Type="http://schemas.openxmlformats.org/officeDocument/2006/relationships/hyperlink" Target="http://www.queenmafa.net" TargetMode="External"/><Relationship Id="rId94" Type="http://schemas.openxmlformats.org/officeDocument/2006/relationships/hyperlink" Target="http://www.fasoinfo.com" TargetMode="External"/><Relationship Id="rId99" Type="http://schemas.openxmlformats.org/officeDocument/2006/relationships/hyperlink" Target="http://www.226infos.net" TargetMode="External"/><Relationship Id="rId101" Type="http://schemas.openxmlformats.org/officeDocument/2006/relationships/hyperlink" Target="http://www.minute.bf" TargetMode="External"/><Relationship Id="rId122" Type="http://schemas.openxmlformats.org/officeDocument/2006/relationships/hyperlink" Target="http://www.team2faso.com" TargetMode="External"/><Relationship Id="rId143" Type="http://schemas.openxmlformats.org/officeDocument/2006/relationships/hyperlink" Target="http://www.mediaplusinfo.net" TargetMode="External"/><Relationship Id="rId148" Type="http://schemas.openxmlformats.org/officeDocument/2006/relationships/hyperlink" Target="http://www.emergenceislam.net" TargetMode="External"/><Relationship Id="rId164" Type="http://schemas.openxmlformats.org/officeDocument/2006/relationships/hyperlink" Target="http://www.digitaletvbambf.net" TargetMode="External"/><Relationship Id="rId16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26" Type="http://schemas.openxmlformats.org/officeDocument/2006/relationships/image" Target="media/image14.jpeg"/><Relationship Id="rId47" Type="http://schemas.openxmlformats.org/officeDocument/2006/relationships/chart" Target="charts/chart13.xml"/><Relationship Id="rId68" Type="http://schemas.openxmlformats.org/officeDocument/2006/relationships/image" Target="media/image200.png"/><Relationship Id="rId89" Type="http://schemas.openxmlformats.org/officeDocument/2006/relationships/hyperlink" Target="http://www.infowakat.net" TargetMode="External"/><Relationship Id="rId112" Type="http://schemas.openxmlformats.org/officeDocument/2006/relationships/hyperlink" Target="http://WWW.FEMININ" TargetMode="External"/><Relationship Id="rId133" Type="http://schemas.openxmlformats.org/officeDocument/2006/relationships/hyperlink" Target="http://www.bulletinsante.net" TargetMode="External"/><Relationship Id="rId154" Type="http://schemas.openxmlformats.org/officeDocument/2006/relationships/hyperlink" Target="http://www.letendardinfos.com" TargetMode="External"/><Relationship Id="rId16" Type="http://schemas.openxmlformats.org/officeDocument/2006/relationships/image" Target="media/image4.jpeg"/><Relationship Id="rId37" Type="http://schemas.openxmlformats.org/officeDocument/2006/relationships/chart" Target="charts/chart7.xml"/><Relationship Id="rId58" Type="http://schemas.openxmlformats.org/officeDocument/2006/relationships/footer" Target="footer5.xml"/><Relationship Id="rId79" Type="http://schemas.openxmlformats.org/officeDocument/2006/relationships/hyperlink" Target="http://www.lefaso.net" TargetMode="External"/><Relationship Id="rId102" Type="http://schemas.openxmlformats.org/officeDocument/2006/relationships/hyperlink" Target="http://www.letalon.net" TargetMode="External"/><Relationship Id="rId123" Type="http://schemas.openxmlformats.org/officeDocument/2006/relationships/hyperlink" Target="http://www.actuburkina.net" TargetMode="External"/><Relationship Id="rId144" Type="http://schemas.openxmlformats.org/officeDocument/2006/relationships/hyperlink" Target="http://www.moussonews.com" TargetMode="External"/><Relationship Id="rId90" Type="http://schemas.openxmlformats.org/officeDocument/2006/relationships/hyperlink" Target="http://www.ticmagazine.bf" TargetMode="External"/><Relationship Id="rId165" Type="http://schemas.openxmlformats.org/officeDocument/2006/relationships/hyperlink" Target="http://www.denivoice.com" TargetMode="External"/><Relationship Id="rId27" Type="http://schemas.openxmlformats.org/officeDocument/2006/relationships/footer" Target="footer2.xml"/><Relationship Id="rId48" Type="http://schemas.openxmlformats.org/officeDocument/2006/relationships/chart" Target="charts/chart14.xml"/><Relationship Id="rId69" Type="http://schemas.openxmlformats.org/officeDocument/2006/relationships/footer" Target="footer7.xml"/><Relationship Id="rId113" Type="http://schemas.openxmlformats.org/officeDocument/2006/relationships/hyperlink" Target="http://www.ouaganews.net" TargetMode="External"/><Relationship Id="rId134" Type="http://schemas.openxmlformats.org/officeDocument/2006/relationships/hyperlink" Target="http://www.lessentiels.net" TargetMode="External"/><Relationship Id="rId80" Type="http://schemas.openxmlformats.org/officeDocument/2006/relationships/hyperlink" Target="http://www.zoodomail.com" TargetMode="External"/><Relationship Id="rId155" Type="http://schemas.openxmlformats.org/officeDocument/2006/relationships/hyperlink" Target="http://www.Cercle" TargetMode="External"/><Relationship Id="rId17" Type="http://schemas.openxmlformats.org/officeDocument/2006/relationships/image" Target="media/image5.jpeg"/><Relationship Id="rId38" Type="http://schemas.openxmlformats.org/officeDocument/2006/relationships/chart" Target="charts/chart8.xml"/><Relationship Id="rId59" Type="http://schemas.openxmlformats.org/officeDocument/2006/relationships/image" Target="media/image15.jpeg"/><Relationship Id="rId103" Type="http://schemas.openxmlformats.org/officeDocument/2006/relationships/hyperlink" Target="http://www.bafujiinfos.com" TargetMode="External"/><Relationship Id="rId124" Type="http://schemas.openxmlformats.org/officeDocument/2006/relationships/hyperlink" Target="http://www.Woun-info.ne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SPEL\Desktop\DOSSIERS%202023\STATITIQUES%20BASE%20PE%202023%20QUOTIDIEN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Classeur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hp\Desktop\DONNEES%20RAPPORT%20ANNUEL%20(Enregistr&#233;%20automatiquement)%20(R&#233;cup&#233;r&#233;).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SPEL\Desktop\DOSSIERS%202023\STATITIQUES%20BASE%20PE%202023%20QUOTIDIENS.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Classeur1"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hp\Desktop\DONNEES%20RAPPORT%20ANNUEL%20(Enregistr&#233;%20automatiquement)%20(R&#233;cup&#233;r&#233;).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hp\Desktop\DOSSIER%202022\STATITIQUES%20PL%20T1_%202022.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Classeur1"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hp\Desktop\DONNEES%20RAPPORT%20ANNUEL%202.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hp\Desktop\STATITIQUES%201er%20trimestre%20BASE%20PL%202023.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Classeur1"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hp\Desktop\DONNEES%20RAPPORT%20ANNUEL%202.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C:\Users\DMM\Desktop\RAP%20MONITORING%202023\stat%202023.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C:\Users\DMM\Desktop\stat%202023.xlsx" TargetMode="External"/></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oleObject" Target="file:///C:\Users\DMM\Desktop\stat%202023.xlsx" TargetMode="Externa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oleObject" Target="file:///C:\Users\DMM\Desktop\RAP%20MONITORING%202023\stat%202023.xlsx" TargetMode="External"/></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oleObject" Target="file:///C:\Users\DMM\Desktop\stat%202023.xlsx" TargetMode="External"/></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oleObject" Target="file:///C:\Users\DMM\Desktop\stat%202023.xlsx" TargetMode="External"/></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oleObject" Target="file:///C:\Users\DMM\Desktop\stat%202023.xlsx" TargetMode="Externa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oleObject" Target="file:///C:\Users\DMM\Desktop\stat%202023.xlsx" TargetMode="External"/></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1.xml"/><Relationship Id="rId1" Type="http://schemas.microsoft.com/office/2011/relationships/chartStyle" Target="style21.xml"/></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1581146106737"/>
          <c:y val="0.25083333333333302"/>
          <c:w val="0.853418853893263"/>
          <c:h val="0.53586395450568702"/>
        </c:manualLayout>
      </c:layout>
      <c:barChart>
        <c:barDir val="col"/>
        <c:grouping val="clustered"/>
        <c:varyColors val="0"/>
        <c:ser>
          <c:idx val="0"/>
          <c:order val="0"/>
          <c:tx>
            <c:strRef>
              <c:f>'DONNEES QUOTIDIENS'!$B$45</c:f>
              <c:strCache>
                <c:ptCount val="1"/>
                <c:pt idx="0">
                  <c:v>RPR</c:v>
                </c:pt>
              </c:strCache>
            </c:strRef>
          </c:tx>
          <c:spPr>
            <a:solidFill>
              <a:schemeClr val="accent1"/>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QUOTIDIENS'!$D$45,'DONNEES QUOTIDIENS'!$F$45)</c:f>
              <c:numCache>
                <c:formatCode>0.00%</c:formatCode>
                <c:ptCount val="2"/>
                <c:pt idx="0">
                  <c:v>0.19269134855169801</c:v>
                </c:pt>
                <c:pt idx="1">
                  <c:v>0.192</c:v>
                </c:pt>
              </c:numCache>
            </c:numRef>
          </c:val>
          <c:extLst>
            <c:ext xmlns:c16="http://schemas.microsoft.com/office/drawing/2014/chart" uri="{C3380CC4-5D6E-409C-BE32-E72D297353CC}">
              <c16:uniqueId val="{00000000-AB3E-41E9-840E-47D6E89FE792}"/>
            </c:ext>
          </c:extLst>
        </c:ser>
        <c:ser>
          <c:idx val="1"/>
          <c:order val="1"/>
          <c:tx>
            <c:strRef>
              <c:f>'DONNEES QUOTIDIENS'!$B$46</c:f>
              <c:strCache>
                <c:ptCount val="1"/>
                <c:pt idx="0">
                  <c:v>MCR</c:v>
                </c:pt>
              </c:strCache>
            </c:strRef>
          </c:tx>
          <c:spPr>
            <a:solidFill>
              <a:schemeClr val="accent2"/>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QUOTIDIENS'!$D$46,'DONNEES QUOTIDIENS'!$F$46)</c:f>
              <c:numCache>
                <c:formatCode>0.00%</c:formatCode>
                <c:ptCount val="2"/>
                <c:pt idx="0">
                  <c:v>9.2876782402966901E-2</c:v>
                </c:pt>
                <c:pt idx="1">
                  <c:v>0.13600000000000001</c:v>
                </c:pt>
              </c:numCache>
            </c:numRef>
          </c:val>
          <c:extLst>
            <c:ext xmlns:c16="http://schemas.microsoft.com/office/drawing/2014/chart" uri="{C3380CC4-5D6E-409C-BE32-E72D297353CC}">
              <c16:uniqueId val="{00000001-AB3E-41E9-840E-47D6E89FE792}"/>
            </c:ext>
          </c:extLst>
        </c:ser>
        <c:ser>
          <c:idx val="2"/>
          <c:order val="2"/>
          <c:tx>
            <c:strRef>
              <c:f>'DONNEES QUOTIDIENS'!$B$47</c:f>
              <c:strCache>
                <c:ptCount val="1"/>
                <c:pt idx="0">
                  <c:v>RPI</c:v>
                </c:pt>
              </c:strCache>
            </c:strRef>
          </c:tx>
          <c:spPr>
            <a:solidFill>
              <a:schemeClr val="accent3"/>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QUOTIDIENS'!$D$47,'DONNEES QUOTIDIENS'!$F$47)</c:f>
              <c:numCache>
                <c:formatCode>0.00%</c:formatCode>
                <c:ptCount val="2"/>
                <c:pt idx="0">
                  <c:v>7.11682332629964E-2</c:v>
                </c:pt>
                <c:pt idx="1">
                  <c:v>0.08</c:v>
                </c:pt>
              </c:numCache>
            </c:numRef>
          </c:val>
          <c:extLst>
            <c:ext xmlns:c16="http://schemas.microsoft.com/office/drawing/2014/chart" uri="{C3380CC4-5D6E-409C-BE32-E72D297353CC}">
              <c16:uniqueId val="{00000002-AB3E-41E9-840E-47D6E89FE792}"/>
            </c:ext>
          </c:extLst>
        </c:ser>
        <c:ser>
          <c:idx val="3"/>
          <c:order val="3"/>
          <c:tx>
            <c:strRef>
              <c:f>'DONNEES QUOTIDIENS'!$B$48</c:f>
              <c:strCache>
                <c:ptCount val="1"/>
                <c:pt idx="0">
                  <c:v>FPR</c:v>
                </c:pt>
              </c:strCache>
            </c:strRef>
          </c:tx>
          <c:spPr>
            <a:solidFill>
              <a:schemeClr val="accent4"/>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QUOTIDIENS'!$D$48,'DONNEES QUOTIDIENS'!$F$48)</c:f>
              <c:numCache>
                <c:formatCode>0.00%</c:formatCode>
                <c:ptCount val="2"/>
                <c:pt idx="0">
                  <c:v>5.8187863674148001E-2</c:v>
                </c:pt>
                <c:pt idx="1">
                  <c:v>6.4000000000000001E-2</c:v>
                </c:pt>
              </c:numCache>
            </c:numRef>
          </c:val>
          <c:extLst>
            <c:ext xmlns:c16="http://schemas.microsoft.com/office/drawing/2014/chart" uri="{C3380CC4-5D6E-409C-BE32-E72D297353CC}">
              <c16:uniqueId val="{00000003-AB3E-41E9-840E-47D6E89FE792}"/>
            </c:ext>
          </c:extLst>
        </c:ser>
        <c:ser>
          <c:idx val="4"/>
          <c:order val="4"/>
          <c:tx>
            <c:strRef>
              <c:f>'DONNEES QUOTIDIENS'!$B$49</c:f>
              <c:strCache>
                <c:ptCount val="1"/>
                <c:pt idx="0">
                  <c:v>ADP</c:v>
                </c:pt>
              </c:strCache>
            </c:strRef>
          </c:tx>
          <c:spPr>
            <a:solidFill>
              <a:schemeClr val="accent5"/>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QUOTIDIENS'!$D$49,'DONNEES QUOTIDIENS'!$F$49)</c:f>
              <c:numCache>
                <c:formatCode>0.00%</c:formatCode>
                <c:ptCount val="2"/>
                <c:pt idx="0">
                  <c:v>5.8187863674148001E-2</c:v>
                </c:pt>
                <c:pt idx="1">
                  <c:v>4.8000000000000001E-2</c:v>
                </c:pt>
              </c:numCache>
            </c:numRef>
          </c:val>
          <c:extLst>
            <c:ext xmlns:c16="http://schemas.microsoft.com/office/drawing/2014/chart" uri="{C3380CC4-5D6E-409C-BE32-E72D297353CC}">
              <c16:uniqueId val="{00000004-AB3E-41E9-840E-47D6E89FE792}"/>
            </c:ext>
          </c:extLst>
        </c:ser>
        <c:ser>
          <c:idx val="5"/>
          <c:order val="5"/>
          <c:tx>
            <c:strRef>
              <c:f>'DONNEES QUOTIDIENS'!$B$50</c:f>
              <c:strCache>
                <c:ptCount val="1"/>
                <c:pt idx="0">
                  <c:v>UNDD</c:v>
                </c:pt>
              </c:strCache>
            </c:strRef>
          </c:tx>
          <c:spPr>
            <a:solidFill>
              <a:schemeClr val="accent6"/>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QUOTIDIENS'!$D$50,'DONNEES QUOTIDIENS'!$F$50)</c:f>
              <c:numCache>
                <c:formatCode>0.00%</c:formatCode>
                <c:ptCount val="2"/>
                <c:pt idx="0">
                  <c:v>5.4830871539101003E-2</c:v>
                </c:pt>
                <c:pt idx="1">
                  <c:v>0.04</c:v>
                </c:pt>
              </c:numCache>
            </c:numRef>
          </c:val>
          <c:extLst>
            <c:ext xmlns:c16="http://schemas.microsoft.com/office/drawing/2014/chart" uri="{C3380CC4-5D6E-409C-BE32-E72D297353CC}">
              <c16:uniqueId val="{00000005-AB3E-41E9-840E-47D6E89FE792}"/>
            </c:ext>
          </c:extLst>
        </c:ser>
        <c:ser>
          <c:idx val="6"/>
          <c:order val="6"/>
          <c:tx>
            <c:strRef>
              <c:f>'DONNEES QUOTIDIENS'!$B$51</c:f>
              <c:strCache>
                <c:ptCount val="1"/>
                <c:pt idx="0">
                  <c:v>APC</c:v>
                </c:pt>
              </c:strCache>
            </c:strRef>
          </c:tx>
          <c:spPr>
            <a:solidFill>
              <a:schemeClr val="accent1">
                <a:lumMod val="60000"/>
              </a:schemeClr>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QUOTIDIENS'!$D$51,'DONNEES QUOTIDIENS'!$F$51)</c:f>
              <c:numCache>
                <c:formatCode>0.00%</c:formatCode>
                <c:ptCount val="2"/>
                <c:pt idx="0">
                  <c:v>5.3711874160752002E-2</c:v>
                </c:pt>
                <c:pt idx="1">
                  <c:v>6.4000000000000001E-2</c:v>
                </c:pt>
              </c:numCache>
            </c:numRef>
          </c:val>
          <c:extLst>
            <c:ext xmlns:c16="http://schemas.microsoft.com/office/drawing/2014/chart" uri="{C3380CC4-5D6E-409C-BE32-E72D297353CC}">
              <c16:uniqueId val="{00000006-AB3E-41E9-840E-47D6E89FE792}"/>
            </c:ext>
          </c:extLst>
        </c:ser>
        <c:ser>
          <c:idx val="7"/>
          <c:order val="7"/>
          <c:tx>
            <c:strRef>
              <c:f>'DONNEES QUOTIDIENS'!$B$52</c:f>
              <c:strCache>
                <c:ptCount val="1"/>
                <c:pt idx="0">
                  <c:v>CDP</c:v>
                </c:pt>
              </c:strCache>
            </c:strRef>
          </c:tx>
          <c:spPr>
            <a:solidFill>
              <a:schemeClr val="accent2">
                <a:lumMod val="60000"/>
              </a:schemeClr>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QUOTIDIENS'!$D$52,'DONNEES QUOTIDIENS'!$F$52)</c:f>
              <c:numCache>
                <c:formatCode>0.00%</c:formatCode>
                <c:ptCount val="2"/>
                <c:pt idx="0">
                  <c:v>5.0578681501374803E-2</c:v>
                </c:pt>
                <c:pt idx="1">
                  <c:v>5.6000000000000001E-2</c:v>
                </c:pt>
              </c:numCache>
            </c:numRef>
          </c:val>
          <c:extLst>
            <c:ext xmlns:c16="http://schemas.microsoft.com/office/drawing/2014/chart" uri="{C3380CC4-5D6E-409C-BE32-E72D297353CC}">
              <c16:uniqueId val="{00000007-AB3E-41E9-840E-47D6E89FE792}"/>
            </c:ext>
          </c:extLst>
        </c:ser>
        <c:ser>
          <c:idx val="8"/>
          <c:order val="8"/>
          <c:tx>
            <c:strRef>
              <c:f>'DONNEES QUOTIDIENS'!$B$53</c:f>
              <c:strCache>
                <c:ptCount val="1"/>
                <c:pt idx="0">
                  <c:v>MAE</c:v>
                </c:pt>
              </c:strCache>
            </c:strRef>
          </c:tx>
          <c:spPr>
            <a:solidFill>
              <a:schemeClr val="accent3">
                <a:lumMod val="60000"/>
              </a:schemeClr>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QUOTIDIENS'!$D$53,'DONNEES QUOTIDIENS'!$F$53)</c:f>
              <c:numCache>
                <c:formatCode>0.00%</c:formatCode>
                <c:ptCount val="2"/>
                <c:pt idx="0">
                  <c:v>4.2362043608926397E-2</c:v>
                </c:pt>
                <c:pt idx="1">
                  <c:v>3.2000000000000001E-2</c:v>
                </c:pt>
              </c:numCache>
            </c:numRef>
          </c:val>
          <c:extLst>
            <c:ext xmlns:c16="http://schemas.microsoft.com/office/drawing/2014/chart" uri="{C3380CC4-5D6E-409C-BE32-E72D297353CC}">
              <c16:uniqueId val="{00000008-AB3E-41E9-840E-47D6E89FE792}"/>
            </c:ext>
          </c:extLst>
        </c:ser>
        <c:ser>
          <c:idx val="9"/>
          <c:order val="9"/>
          <c:tx>
            <c:strRef>
              <c:f>'DONNEES QUOTIDIENS'!$B$54</c:f>
              <c:strCache>
                <c:ptCount val="1"/>
                <c:pt idx="0">
                  <c:v>MRB</c:v>
                </c:pt>
              </c:strCache>
            </c:strRef>
          </c:tx>
          <c:spPr>
            <a:solidFill>
              <a:schemeClr val="accent4">
                <a:lumMod val="60000"/>
              </a:schemeClr>
            </a:solidFill>
            <a:ln>
              <a:noFill/>
            </a:ln>
            <a:effectLst/>
            <a:scene3d>
              <a:camera prst="orthographicFront"/>
              <a:lightRig rig="threePt" dir="t"/>
            </a:scene3d>
            <a:sp3d>
              <a:bevelT w="139700" h="139700"/>
            </a:sp3d>
          </c:spPr>
          <c:invertIfNegative val="0"/>
          <c:cat>
            <c:strRef>
              <c:f>('DONNEES QUOTIDIENS'!$D$44,'DONNEES QUOTIDIENS'!$F$44)</c:f>
              <c:strCache>
                <c:ptCount val="2"/>
                <c:pt idx="0">
                  <c:v>% NP</c:v>
                </c:pt>
                <c:pt idx="1">
                  <c:v>% NI</c:v>
                </c:pt>
              </c:strCache>
            </c:strRef>
          </c:cat>
          <c:val>
            <c:numRef>
              <c:f>('DONNEES QUOTIDIENS'!$D$54,'DONNEES QUOTIDIENS'!$F$54)</c:f>
              <c:numCache>
                <c:formatCode>0.00%</c:formatCode>
                <c:ptCount val="2"/>
                <c:pt idx="0">
                  <c:v>3.3569921350470003E-2</c:v>
                </c:pt>
                <c:pt idx="1">
                  <c:v>2.4E-2</c:v>
                </c:pt>
              </c:numCache>
            </c:numRef>
          </c:val>
          <c:extLst>
            <c:ext xmlns:c16="http://schemas.microsoft.com/office/drawing/2014/chart" uri="{C3380CC4-5D6E-409C-BE32-E72D297353CC}">
              <c16:uniqueId val="{00000009-AB3E-41E9-840E-47D6E89FE792}"/>
            </c:ext>
          </c:extLst>
        </c:ser>
        <c:dLbls>
          <c:showLegendKey val="0"/>
          <c:showVal val="0"/>
          <c:showCatName val="0"/>
          <c:showSerName val="0"/>
          <c:showPercent val="0"/>
          <c:showBubbleSize val="0"/>
        </c:dLbls>
        <c:gapWidth val="219"/>
        <c:overlap val="-27"/>
        <c:axId val="139068056"/>
        <c:axId val="139068448"/>
      </c:barChart>
      <c:catAx>
        <c:axId val="139068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39068448"/>
        <c:crosses val="autoZero"/>
        <c:auto val="1"/>
        <c:lblAlgn val="ctr"/>
        <c:lblOffset val="100"/>
        <c:noMultiLvlLbl val="0"/>
      </c:catAx>
      <c:valAx>
        <c:axId val="1390684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39068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Feuil1!$B$7</c:f>
              <c:strCache>
                <c:ptCount val="1"/>
                <c:pt idx="0">
                  <c:v>Gouvernement</c:v>
                </c:pt>
              </c:strCache>
            </c:strRef>
          </c:tx>
          <c:spPr>
            <a:solidFill>
              <a:schemeClr val="accent1"/>
            </a:solidFill>
            <a:ln>
              <a:noFill/>
            </a:ln>
            <a:effectLst/>
            <a:scene3d>
              <a:camera prst="orthographicFront"/>
              <a:lightRig rig="threePt" dir="t"/>
            </a:scene3d>
            <a:sp3d>
              <a:bevelT/>
            </a:sp3d>
          </c:spPr>
          <c:invertIfNegative val="0"/>
          <c:cat>
            <c:strRef>
              <c:f>Feuil1!$C$6:$D$6</c:f>
              <c:strCache>
                <c:ptCount val="2"/>
                <c:pt idx="0">
                  <c:v>% NP</c:v>
                </c:pt>
                <c:pt idx="1">
                  <c:v>% NI</c:v>
                </c:pt>
              </c:strCache>
            </c:strRef>
          </c:cat>
          <c:val>
            <c:numRef>
              <c:f>Feuil1!$C$7:$D$7</c:f>
              <c:numCache>
                <c:formatCode>0.00%</c:formatCode>
                <c:ptCount val="2"/>
                <c:pt idx="0">
                  <c:v>0.50280000000000002</c:v>
                </c:pt>
                <c:pt idx="1">
                  <c:v>0.52559999999999996</c:v>
                </c:pt>
              </c:numCache>
            </c:numRef>
          </c:val>
          <c:extLst>
            <c:ext xmlns:c16="http://schemas.microsoft.com/office/drawing/2014/chart" uri="{C3380CC4-5D6E-409C-BE32-E72D297353CC}">
              <c16:uniqueId val="{00000000-439E-442A-A6FE-76B1447D04A1}"/>
            </c:ext>
          </c:extLst>
        </c:ser>
        <c:ser>
          <c:idx val="1"/>
          <c:order val="1"/>
          <c:tx>
            <c:strRef>
              <c:f>Feuil1!$B$8</c:f>
              <c:strCache>
                <c:ptCount val="1"/>
                <c:pt idx="0">
                  <c:v>OSC</c:v>
                </c:pt>
              </c:strCache>
            </c:strRef>
          </c:tx>
          <c:spPr>
            <a:solidFill>
              <a:schemeClr val="accent2"/>
            </a:solidFill>
            <a:ln>
              <a:noFill/>
            </a:ln>
            <a:effectLst/>
            <a:scene3d>
              <a:camera prst="orthographicFront"/>
              <a:lightRig rig="threePt" dir="t"/>
            </a:scene3d>
            <a:sp3d>
              <a:bevelT/>
            </a:sp3d>
          </c:spPr>
          <c:invertIfNegative val="0"/>
          <c:cat>
            <c:strRef>
              <c:f>Feuil1!$C$6:$D$6</c:f>
              <c:strCache>
                <c:ptCount val="2"/>
                <c:pt idx="0">
                  <c:v>% NP</c:v>
                </c:pt>
                <c:pt idx="1">
                  <c:v>% NI</c:v>
                </c:pt>
              </c:strCache>
            </c:strRef>
          </c:cat>
          <c:val>
            <c:numRef>
              <c:f>Feuil1!$C$8:$D$8</c:f>
              <c:numCache>
                <c:formatCode>0.00%</c:formatCode>
                <c:ptCount val="2"/>
                <c:pt idx="0">
                  <c:v>0.16320000000000001</c:v>
                </c:pt>
                <c:pt idx="1">
                  <c:v>0.17100000000000001</c:v>
                </c:pt>
              </c:numCache>
            </c:numRef>
          </c:val>
          <c:extLst>
            <c:ext xmlns:c16="http://schemas.microsoft.com/office/drawing/2014/chart" uri="{C3380CC4-5D6E-409C-BE32-E72D297353CC}">
              <c16:uniqueId val="{00000001-439E-442A-A6FE-76B1447D04A1}"/>
            </c:ext>
          </c:extLst>
        </c:ser>
        <c:ser>
          <c:idx val="2"/>
          <c:order val="2"/>
          <c:tx>
            <c:strRef>
              <c:f>Feuil1!$B$9</c:f>
              <c:strCache>
                <c:ptCount val="1"/>
                <c:pt idx="0">
                  <c:v>Présidence</c:v>
                </c:pt>
              </c:strCache>
            </c:strRef>
          </c:tx>
          <c:spPr>
            <a:solidFill>
              <a:schemeClr val="accent3"/>
            </a:solidFill>
            <a:ln>
              <a:noFill/>
            </a:ln>
            <a:effectLst/>
            <a:scene3d>
              <a:camera prst="orthographicFront"/>
              <a:lightRig rig="threePt" dir="t"/>
            </a:scene3d>
            <a:sp3d>
              <a:bevelT/>
            </a:sp3d>
          </c:spPr>
          <c:invertIfNegative val="0"/>
          <c:cat>
            <c:strRef>
              <c:f>Feuil1!$C$6:$D$6</c:f>
              <c:strCache>
                <c:ptCount val="2"/>
                <c:pt idx="0">
                  <c:v>% NP</c:v>
                </c:pt>
                <c:pt idx="1">
                  <c:v>% NI</c:v>
                </c:pt>
              </c:strCache>
            </c:strRef>
          </c:cat>
          <c:val>
            <c:numRef>
              <c:f>Feuil1!$C$9:$D$9</c:f>
              <c:numCache>
                <c:formatCode>0.00%</c:formatCode>
                <c:ptCount val="2"/>
                <c:pt idx="0">
                  <c:v>0.1057</c:v>
                </c:pt>
                <c:pt idx="1">
                  <c:v>9.7799999999999998E-2</c:v>
                </c:pt>
              </c:numCache>
            </c:numRef>
          </c:val>
          <c:extLst>
            <c:ext xmlns:c16="http://schemas.microsoft.com/office/drawing/2014/chart" uri="{C3380CC4-5D6E-409C-BE32-E72D297353CC}">
              <c16:uniqueId val="{00000002-439E-442A-A6FE-76B1447D04A1}"/>
            </c:ext>
          </c:extLst>
        </c:ser>
        <c:ser>
          <c:idx val="3"/>
          <c:order val="3"/>
          <c:tx>
            <c:strRef>
              <c:f>Feuil1!$B$10</c:f>
              <c:strCache>
                <c:ptCount val="1"/>
                <c:pt idx="0">
                  <c:v>ALT</c:v>
                </c:pt>
              </c:strCache>
            </c:strRef>
          </c:tx>
          <c:spPr>
            <a:solidFill>
              <a:schemeClr val="accent4"/>
            </a:solidFill>
            <a:ln>
              <a:noFill/>
            </a:ln>
            <a:effectLst/>
            <a:scene3d>
              <a:camera prst="orthographicFront"/>
              <a:lightRig rig="threePt" dir="t"/>
            </a:scene3d>
            <a:sp3d>
              <a:bevelT/>
            </a:sp3d>
          </c:spPr>
          <c:invertIfNegative val="0"/>
          <c:cat>
            <c:strRef>
              <c:f>Feuil1!$C$6:$D$6</c:f>
              <c:strCache>
                <c:ptCount val="2"/>
                <c:pt idx="0">
                  <c:v>% NP</c:v>
                </c:pt>
                <c:pt idx="1">
                  <c:v>% NI</c:v>
                </c:pt>
              </c:strCache>
            </c:strRef>
          </c:cat>
          <c:val>
            <c:numRef>
              <c:f>Feuil1!$C$10:$D$10</c:f>
              <c:numCache>
                <c:formatCode>0.00%</c:formatCode>
                <c:ptCount val="2"/>
                <c:pt idx="0">
                  <c:v>8.5999999999999993E-2</c:v>
                </c:pt>
                <c:pt idx="1">
                  <c:v>8.3699999999999997E-2</c:v>
                </c:pt>
              </c:numCache>
            </c:numRef>
          </c:val>
          <c:extLst>
            <c:ext xmlns:c16="http://schemas.microsoft.com/office/drawing/2014/chart" uri="{C3380CC4-5D6E-409C-BE32-E72D297353CC}">
              <c16:uniqueId val="{00000003-439E-442A-A6FE-76B1447D04A1}"/>
            </c:ext>
          </c:extLst>
        </c:ser>
        <c:ser>
          <c:idx val="4"/>
          <c:order val="4"/>
          <c:tx>
            <c:strRef>
              <c:f>Feuil1!$B$11</c:f>
              <c:strCache>
                <c:ptCount val="1"/>
                <c:pt idx="0">
                  <c:v>Autres Institutions</c:v>
                </c:pt>
              </c:strCache>
            </c:strRef>
          </c:tx>
          <c:spPr>
            <a:solidFill>
              <a:schemeClr val="accent5"/>
            </a:solidFill>
            <a:ln>
              <a:noFill/>
            </a:ln>
            <a:effectLst/>
            <a:scene3d>
              <a:camera prst="orthographicFront"/>
              <a:lightRig rig="threePt" dir="t"/>
            </a:scene3d>
            <a:sp3d>
              <a:bevelT/>
            </a:sp3d>
          </c:spPr>
          <c:invertIfNegative val="0"/>
          <c:cat>
            <c:strRef>
              <c:f>Feuil1!$C$6:$D$6</c:f>
              <c:strCache>
                <c:ptCount val="2"/>
                <c:pt idx="0">
                  <c:v>% NP</c:v>
                </c:pt>
                <c:pt idx="1">
                  <c:v>% NI</c:v>
                </c:pt>
              </c:strCache>
            </c:strRef>
          </c:cat>
          <c:val>
            <c:numRef>
              <c:f>Feuil1!$C$11:$D$11</c:f>
              <c:numCache>
                <c:formatCode>0.00%</c:formatCode>
                <c:ptCount val="2"/>
                <c:pt idx="0">
                  <c:v>8.3699999999999997E-2</c:v>
                </c:pt>
                <c:pt idx="1">
                  <c:v>8.3699999999999997E-2</c:v>
                </c:pt>
              </c:numCache>
            </c:numRef>
          </c:val>
          <c:extLst>
            <c:ext xmlns:c16="http://schemas.microsoft.com/office/drawing/2014/chart" uri="{C3380CC4-5D6E-409C-BE32-E72D297353CC}">
              <c16:uniqueId val="{00000004-439E-442A-A6FE-76B1447D04A1}"/>
            </c:ext>
          </c:extLst>
        </c:ser>
        <c:ser>
          <c:idx val="5"/>
          <c:order val="5"/>
          <c:tx>
            <c:strRef>
              <c:f>Feuil1!$B$12</c:f>
              <c:strCache>
                <c:ptCount val="1"/>
                <c:pt idx="0">
                  <c:v>Partis politiques</c:v>
                </c:pt>
              </c:strCache>
            </c:strRef>
          </c:tx>
          <c:spPr>
            <a:solidFill>
              <a:schemeClr val="accent6"/>
            </a:solidFill>
            <a:ln>
              <a:noFill/>
            </a:ln>
            <a:effectLst/>
            <a:scene3d>
              <a:camera prst="orthographicFront"/>
              <a:lightRig rig="threePt" dir="t"/>
            </a:scene3d>
            <a:sp3d>
              <a:bevelT/>
            </a:sp3d>
          </c:spPr>
          <c:invertIfNegative val="0"/>
          <c:cat>
            <c:strRef>
              <c:f>Feuil1!$C$6:$D$6</c:f>
              <c:strCache>
                <c:ptCount val="2"/>
                <c:pt idx="0">
                  <c:v>% NP</c:v>
                </c:pt>
                <c:pt idx="1">
                  <c:v>% NI</c:v>
                </c:pt>
              </c:strCache>
            </c:strRef>
          </c:cat>
          <c:val>
            <c:numRef>
              <c:f>Feuil1!$C$12:$D$12</c:f>
              <c:numCache>
                <c:formatCode>0.00%</c:formatCode>
                <c:ptCount val="2"/>
                <c:pt idx="0">
                  <c:v>5.8700000000000002E-2</c:v>
                </c:pt>
                <c:pt idx="1">
                  <c:v>3.8199999999999998E-2</c:v>
                </c:pt>
              </c:numCache>
            </c:numRef>
          </c:val>
          <c:extLst>
            <c:ext xmlns:c16="http://schemas.microsoft.com/office/drawing/2014/chart" uri="{C3380CC4-5D6E-409C-BE32-E72D297353CC}">
              <c16:uniqueId val="{00000005-439E-442A-A6FE-76B1447D04A1}"/>
            </c:ext>
          </c:extLst>
        </c:ser>
        <c:dLbls>
          <c:showLegendKey val="0"/>
          <c:showVal val="0"/>
          <c:showCatName val="0"/>
          <c:showSerName val="0"/>
          <c:showPercent val="0"/>
          <c:showBubbleSize val="0"/>
        </c:dLbls>
        <c:gapWidth val="219"/>
        <c:overlap val="-27"/>
        <c:axId val="1787108767"/>
        <c:axId val="1787114591"/>
      </c:barChart>
      <c:catAx>
        <c:axId val="17871087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787114591"/>
        <c:crosses val="autoZero"/>
        <c:auto val="1"/>
        <c:lblAlgn val="ctr"/>
        <c:lblOffset val="100"/>
        <c:noMultiLvlLbl val="0"/>
      </c:catAx>
      <c:valAx>
        <c:axId val="178711459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787108767"/>
        <c:crosses val="autoZero"/>
        <c:crossBetween val="between"/>
      </c:valAx>
      <c:spPr>
        <a:noFill/>
        <a:ln>
          <a:noFill/>
        </a:ln>
        <a:effectLst/>
      </c:spPr>
    </c:plotArea>
    <c:legend>
      <c:legendPos val="b"/>
      <c:layout>
        <c:manualLayout>
          <c:xMode val="edge"/>
          <c:yMode val="edge"/>
          <c:x val="1.7439319772348E-2"/>
          <c:y val="0.85551662443578602"/>
          <c:w val="0.95001276894085995"/>
          <c:h val="0.14438710732092699"/>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Feuil2!$B$37</c:f>
              <c:strCache>
                <c:ptCount val="1"/>
                <c:pt idx="0">
                  <c:v>SOCIETE</c:v>
                </c:pt>
              </c:strCache>
            </c:strRef>
          </c:tx>
          <c:spPr>
            <a:solidFill>
              <a:schemeClr val="accent1"/>
            </a:solidFill>
            <a:ln>
              <a:noFill/>
            </a:ln>
            <a:effectLst/>
            <a:scene3d>
              <a:camera prst="orthographicFront"/>
              <a:lightRig rig="threePt" dir="t"/>
            </a:scene3d>
            <a:sp3d>
              <a:bevelT w="139700" h="139700"/>
            </a:sp3d>
          </c:spPr>
          <c:invertIfNegative val="0"/>
          <c:cat>
            <c:strRef>
              <c:f>(Feuil2!$D$36,Feuil2!$F$36)</c:f>
              <c:strCache>
                <c:ptCount val="2"/>
                <c:pt idx="0">
                  <c:v>% NP</c:v>
                </c:pt>
                <c:pt idx="1">
                  <c:v>% NI</c:v>
                </c:pt>
              </c:strCache>
            </c:strRef>
          </c:cat>
          <c:val>
            <c:numRef>
              <c:f>(Feuil2!$D$37,Feuil2!$F$37)</c:f>
              <c:numCache>
                <c:formatCode>0.00%</c:formatCode>
                <c:ptCount val="2"/>
                <c:pt idx="0">
                  <c:v>0.25936770190665398</c:v>
                </c:pt>
                <c:pt idx="1">
                  <c:v>0.25632740980075402</c:v>
                </c:pt>
              </c:numCache>
            </c:numRef>
          </c:val>
          <c:extLst>
            <c:ext xmlns:c16="http://schemas.microsoft.com/office/drawing/2014/chart" uri="{C3380CC4-5D6E-409C-BE32-E72D297353CC}">
              <c16:uniqueId val="{00000000-D421-439A-8248-36BBBB76E0C9}"/>
            </c:ext>
          </c:extLst>
        </c:ser>
        <c:ser>
          <c:idx val="1"/>
          <c:order val="1"/>
          <c:tx>
            <c:strRef>
              <c:f>Feuil2!$B$38</c:f>
              <c:strCache>
                <c:ptCount val="1"/>
                <c:pt idx="0">
                  <c:v>POLITIQUE</c:v>
                </c:pt>
              </c:strCache>
            </c:strRef>
          </c:tx>
          <c:spPr>
            <a:solidFill>
              <a:schemeClr val="accent2"/>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(Feuil2!$D$38,Feuil2!$F$38)</c:f>
              <c:numCache>
                <c:formatCode>0.00%</c:formatCode>
                <c:ptCount val="2"/>
                <c:pt idx="0">
                  <c:v>0.229112203283488</c:v>
                </c:pt>
                <c:pt idx="1">
                  <c:v>0.212170166935918</c:v>
                </c:pt>
              </c:numCache>
            </c:numRef>
          </c:val>
          <c:extLst>
            <c:ext xmlns:c16="http://schemas.microsoft.com/office/drawing/2014/chart" uri="{C3380CC4-5D6E-409C-BE32-E72D297353CC}">
              <c16:uniqueId val="{00000001-D421-439A-8248-36BBBB76E0C9}"/>
            </c:ext>
          </c:extLst>
        </c:ser>
        <c:ser>
          <c:idx val="2"/>
          <c:order val="2"/>
          <c:tx>
            <c:strRef>
              <c:f>Feuil2!$B$39</c:f>
              <c:strCache>
                <c:ptCount val="1"/>
                <c:pt idx="0">
                  <c:v>SECURITE</c:v>
                </c:pt>
              </c:strCache>
            </c:strRef>
          </c:tx>
          <c:spPr>
            <a:solidFill>
              <a:schemeClr val="accent3"/>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(Feuil2!$D$39,Feuil2!$F$39)</c:f>
              <c:numCache>
                <c:formatCode>0.00%</c:formatCode>
                <c:ptCount val="2"/>
                <c:pt idx="0">
                  <c:v>0.19129283000453101</c:v>
                </c:pt>
                <c:pt idx="1">
                  <c:v>0.18578352180936999</c:v>
                </c:pt>
              </c:numCache>
            </c:numRef>
          </c:val>
          <c:extLst>
            <c:ext xmlns:c16="http://schemas.microsoft.com/office/drawing/2014/chart" uri="{C3380CC4-5D6E-409C-BE32-E72D297353CC}">
              <c16:uniqueId val="{00000002-D421-439A-8248-36BBBB76E0C9}"/>
            </c:ext>
          </c:extLst>
        </c:ser>
        <c:ser>
          <c:idx val="3"/>
          <c:order val="3"/>
          <c:tx>
            <c:strRef>
              <c:f>Feuil2!$B$40</c:f>
              <c:strCache>
                <c:ptCount val="1"/>
                <c:pt idx="0">
                  <c:v>SANTE</c:v>
                </c:pt>
              </c:strCache>
            </c:strRef>
          </c:tx>
          <c:spPr>
            <a:solidFill>
              <a:schemeClr val="accent4"/>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(Feuil2!$D$40,Feuil2!$F$40)</c:f>
              <c:numCache>
                <c:formatCode>0.00%</c:formatCode>
                <c:ptCount val="2"/>
                <c:pt idx="0">
                  <c:v>0.12968385095332699</c:v>
                </c:pt>
                <c:pt idx="1">
                  <c:v>0.13624124932687101</c:v>
                </c:pt>
              </c:numCache>
            </c:numRef>
          </c:val>
          <c:extLst>
            <c:ext xmlns:c16="http://schemas.microsoft.com/office/drawing/2014/chart" uri="{C3380CC4-5D6E-409C-BE32-E72D297353CC}">
              <c16:uniqueId val="{00000003-D421-439A-8248-36BBBB76E0C9}"/>
            </c:ext>
          </c:extLst>
        </c:ser>
        <c:ser>
          <c:idx val="4"/>
          <c:order val="4"/>
          <c:tx>
            <c:strRef>
              <c:f>Feuil2!$B$41</c:f>
              <c:strCache>
                <c:ptCount val="1"/>
                <c:pt idx="0">
                  <c:v>ECONOMIE</c:v>
                </c:pt>
              </c:strCache>
            </c:strRef>
          </c:tx>
          <c:spPr>
            <a:solidFill>
              <a:schemeClr val="accent5"/>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(Feuil2!$D$41,Feuil2!$F$41)</c:f>
              <c:numCache>
                <c:formatCode>0.00%</c:formatCode>
                <c:ptCount val="2"/>
                <c:pt idx="0">
                  <c:v>0.109554184530656</c:v>
                </c:pt>
                <c:pt idx="1">
                  <c:v>0.11685514270328499</c:v>
                </c:pt>
              </c:numCache>
            </c:numRef>
          </c:val>
          <c:extLst>
            <c:ext xmlns:c16="http://schemas.microsoft.com/office/drawing/2014/chart" uri="{C3380CC4-5D6E-409C-BE32-E72D297353CC}">
              <c16:uniqueId val="{00000004-D421-439A-8248-36BBBB76E0C9}"/>
            </c:ext>
          </c:extLst>
        </c:ser>
        <c:ser>
          <c:idx val="5"/>
          <c:order val="5"/>
          <c:tx>
            <c:strRef>
              <c:f>Feuil2!$B$42</c:f>
              <c:strCache>
                <c:ptCount val="1"/>
                <c:pt idx="0">
                  <c:v>GENRE</c:v>
                </c:pt>
              </c:strCache>
            </c:strRef>
          </c:tx>
          <c:spPr>
            <a:solidFill>
              <a:schemeClr val="accent6"/>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(Feuil2!$D$42,Feuil2!$F$42)</c:f>
              <c:numCache>
                <c:formatCode>0.00%</c:formatCode>
                <c:ptCount val="2"/>
                <c:pt idx="0">
                  <c:v>3.6459967234828701E-2</c:v>
                </c:pt>
                <c:pt idx="1">
                  <c:v>4.3618739903069498E-2</c:v>
                </c:pt>
              </c:numCache>
            </c:numRef>
          </c:val>
          <c:extLst>
            <c:ext xmlns:c16="http://schemas.microsoft.com/office/drawing/2014/chart" uri="{C3380CC4-5D6E-409C-BE32-E72D297353CC}">
              <c16:uniqueId val="{00000005-D421-439A-8248-36BBBB76E0C9}"/>
            </c:ext>
          </c:extLst>
        </c:ser>
        <c:ser>
          <c:idx val="6"/>
          <c:order val="6"/>
          <c:tx>
            <c:strRef>
              <c:f>Feuil2!$B$43</c:f>
              <c:strCache>
                <c:ptCount val="1"/>
                <c:pt idx="0">
                  <c:v>CULTURE</c:v>
                </c:pt>
              </c:strCache>
            </c:strRef>
          </c:tx>
          <c:spPr>
            <a:solidFill>
              <a:schemeClr val="accent1">
                <a:lumMod val="60000"/>
              </a:schemeClr>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(Feuil2!$D$43,Feuil2!$F$43)</c:f>
              <c:numCache>
                <c:formatCode>0.00%</c:formatCode>
                <c:ptCount val="2"/>
                <c:pt idx="0">
                  <c:v>3.5013419777615101E-2</c:v>
                </c:pt>
                <c:pt idx="1">
                  <c:v>3.87722132471729E-2</c:v>
                </c:pt>
              </c:numCache>
            </c:numRef>
          </c:val>
          <c:extLst>
            <c:ext xmlns:c16="http://schemas.microsoft.com/office/drawing/2014/chart" uri="{C3380CC4-5D6E-409C-BE32-E72D297353CC}">
              <c16:uniqueId val="{00000006-D421-439A-8248-36BBBB76E0C9}"/>
            </c:ext>
          </c:extLst>
        </c:ser>
        <c:ser>
          <c:idx val="7"/>
          <c:order val="7"/>
          <c:tx>
            <c:strRef>
              <c:f>Feuil2!$B$44</c:f>
              <c:strCache>
                <c:ptCount val="1"/>
                <c:pt idx="0">
                  <c:v>RELIGION</c:v>
                </c:pt>
              </c:strCache>
            </c:strRef>
          </c:tx>
          <c:spPr>
            <a:solidFill>
              <a:schemeClr val="accent2">
                <a:lumMod val="60000"/>
              </a:schemeClr>
            </a:solidFill>
            <a:ln>
              <a:noFill/>
            </a:ln>
            <a:effectLst/>
            <a:scene3d>
              <a:camera prst="orthographicFront"/>
              <a:lightRig rig="threePt" dir="t"/>
            </a:scene3d>
            <a:sp3d prstMaterial="matte">
              <a:bevelT w="127000" h="63500"/>
            </a:sp3d>
          </c:spPr>
          <c:invertIfNegative val="0"/>
          <c:cat>
            <c:strRef>
              <c:f>(Feuil2!$D$36,Feuil2!$F$36)</c:f>
              <c:strCache>
                <c:ptCount val="2"/>
                <c:pt idx="0">
                  <c:v>% NP</c:v>
                </c:pt>
                <c:pt idx="1">
                  <c:v>% NI</c:v>
                </c:pt>
              </c:strCache>
            </c:strRef>
          </c:cat>
          <c:val>
            <c:numRef>
              <c:f>(Feuil2!$D$44,Feuil2!$F$44)</c:f>
              <c:numCache>
                <c:formatCode>0.00%</c:formatCode>
                <c:ptCount val="2"/>
                <c:pt idx="0">
                  <c:v>9.5158423088988805E-3</c:v>
                </c:pt>
                <c:pt idx="1">
                  <c:v>1.0231556273559501E-2</c:v>
                </c:pt>
              </c:numCache>
            </c:numRef>
          </c:val>
          <c:extLst>
            <c:ext xmlns:c16="http://schemas.microsoft.com/office/drawing/2014/chart" uri="{C3380CC4-5D6E-409C-BE32-E72D297353CC}">
              <c16:uniqueId val="{00000007-D421-439A-8248-36BBBB76E0C9}"/>
            </c:ext>
          </c:extLst>
        </c:ser>
        <c:dLbls>
          <c:showLegendKey val="0"/>
          <c:showVal val="0"/>
          <c:showCatName val="0"/>
          <c:showSerName val="0"/>
          <c:showPercent val="0"/>
          <c:showBubbleSize val="0"/>
        </c:dLbls>
        <c:gapWidth val="219"/>
        <c:overlap val="-27"/>
        <c:axId val="717641119"/>
        <c:axId val="717642367"/>
      </c:barChart>
      <c:catAx>
        <c:axId val="717641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717642367"/>
        <c:crosses val="autoZero"/>
        <c:auto val="1"/>
        <c:lblAlgn val="ctr"/>
        <c:lblOffset val="100"/>
        <c:noMultiLvlLbl val="0"/>
      </c:catAx>
      <c:valAx>
        <c:axId val="71764236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7176411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'CLASSEMENT DES NP ET NI DANS LE'!$B$6</c:f>
              <c:strCache>
                <c:ptCount val="1"/>
                <c:pt idx="0">
                  <c:v>LE PAYS</c:v>
                </c:pt>
              </c:strCache>
            </c:strRef>
          </c:tx>
          <c:spPr>
            <a:solidFill>
              <a:schemeClr val="accent1"/>
            </a:solidFill>
            <a:ln>
              <a:noFill/>
            </a:ln>
            <a:effectLst/>
            <a:scene3d>
              <a:camera prst="orthographicFront"/>
              <a:lightRig rig="threePt" dir="t"/>
            </a:scene3d>
            <a:sp3d>
              <a:bevelT w="139700" h="139700"/>
            </a:sp3d>
          </c:spPr>
          <c:invertIfNegative val="0"/>
          <c:cat>
            <c:strRef>
              <c:f>('CLASSEMENT DES NP ET NI DANS LE'!$D$5,'CLASSEMENT DES NP ET NI DANS LE'!$F$5)</c:f>
              <c:strCache>
                <c:ptCount val="2"/>
                <c:pt idx="0">
                  <c:v>%NP</c:v>
                </c:pt>
                <c:pt idx="1">
                  <c:v>%NI</c:v>
                </c:pt>
              </c:strCache>
            </c:strRef>
          </c:cat>
          <c:val>
            <c:numRef>
              <c:f>('CLASSEMENT DES NP ET NI DANS LE'!$D$6,'CLASSEMENT DES NP ET NI DANS LE'!$F$6)</c:f>
              <c:numCache>
                <c:formatCode>0.00%</c:formatCode>
                <c:ptCount val="2"/>
                <c:pt idx="0">
                  <c:v>0.37620362767783799</c:v>
                </c:pt>
                <c:pt idx="1">
                  <c:v>0.376</c:v>
                </c:pt>
              </c:numCache>
            </c:numRef>
          </c:val>
          <c:extLst>
            <c:ext xmlns:c16="http://schemas.microsoft.com/office/drawing/2014/chart" uri="{C3380CC4-5D6E-409C-BE32-E72D297353CC}">
              <c16:uniqueId val="{00000000-63D3-475A-852B-53A3DA0EA5C1}"/>
            </c:ext>
          </c:extLst>
        </c:ser>
        <c:ser>
          <c:idx val="1"/>
          <c:order val="1"/>
          <c:tx>
            <c:strRef>
              <c:f>'CLASSEMENT DES NP ET NI DANS LE'!$B$7</c:f>
              <c:strCache>
                <c:ptCount val="1"/>
                <c:pt idx="0">
                  <c:v>L'OBSERVATEUR PAALGA</c:v>
                </c:pt>
              </c:strCache>
            </c:strRef>
          </c:tx>
          <c:spPr>
            <a:solidFill>
              <a:schemeClr val="accent2"/>
            </a:solidFill>
            <a:ln>
              <a:noFill/>
            </a:ln>
            <a:effectLst/>
            <a:scene3d>
              <a:camera prst="orthographicFront"/>
              <a:lightRig rig="threePt" dir="t"/>
            </a:scene3d>
            <a:sp3d>
              <a:bevelT w="139700" h="139700"/>
            </a:sp3d>
          </c:spPr>
          <c:invertIfNegative val="0"/>
          <c:cat>
            <c:strRef>
              <c:f>('CLASSEMENT DES NP ET NI DANS LE'!$D$5,'CLASSEMENT DES NP ET NI DANS LE'!$F$5)</c:f>
              <c:strCache>
                <c:ptCount val="2"/>
                <c:pt idx="0">
                  <c:v>%NP</c:v>
                </c:pt>
                <c:pt idx="1">
                  <c:v>%NI</c:v>
                </c:pt>
              </c:strCache>
            </c:strRef>
          </c:cat>
          <c:val>
            <c:numRef>
              <c:f>('CLASSEMENT DES NP ET NI DANS LE'!$D$7,'CLASSEMENT DES NP ET NI DANS LE'!$F$7)</c:f>
              <c:numCache>
                <c:formatCode>0.00%</c:formatCode>
                <c:ptCount val="2"/>
                <c:pt idx="0">
                  <c:v>0.20489661864596601</c:v>
                </c:pt>
                <c:pt idx="1">
                  <c:v>0.2</c:v>
                </c:pt>
              </c:numCache>
            </c:numRef>
          </c:val>
          <c:extLst>
            <c:ext xmlns:c16="http://schemas.microsoft.com/office/drawing/2014/chart" uri="{C3380CC4-5D6E-409C-BE32-E72D297353CC}">
              <c16:uniqueId val="{00000001-63D3-475A-852B-53A3DA0EA5C1}"/>
            </c:ext>
          </c:extLst>
        </c:ser>
        <c:ser>
          <c:idx val="2"/>
          <c:order val="2"/>
          <c:tx>
            <c:strRef>
              <c:f>'CLASSEMENT DES NP ET NI DANS LE'!$B$8</c:f>
              <c:strCache>
                <c:ptCount val="1"/>
                <c:pt idx="0">
                  <c:v>AUJOURD'HUI AU FASO</c:v>
                </c:pt>
              </c:strCache>
            </c:strRef>
          </c:tx>
          <c:spPr>
            <a:solidFill>
              <a:schemeClr val="accent3"/>
            </a:solidFill>
            <a:ln>
              <a:noFill/>
            </a:ln>
            <a:effectLst/>
            <a:scene3d>
              <a:camera prst="orthographicFront"/>
              <a:lightRig rig="threePt" dir="t"/>
            </a:scene3d>
            <a:sp3d>
              <a:bevelT w="139700" h="139700"/>
            </a:sp3d>
          </c:spPr>
          <c:invertIfNegative val="0"/>
          <c:cat>
            <c:strRef>
              <c:f>('CLASSEMENT DES NP ET NI DANS LE'!$D$5,'CLASSEMENT DES NP ET NI DANS LE'!$F$5)</c:f>
              <c:strCache>
                <c:ptCount val="2"/>
                <c:pt idx="0">
                  <c:v>%NP</c:v>
                </c:pt>
                <c:pt idx="1">
                  <c:v>%NI</c:v>
                </c:pt>
              </c:strCache>
            </c:strRef>
          </c:cat>
          <c:val>
            <c:numRef>
              <c:f>('CLASSEMENT DES NP ET NI DANS LE'!$D$8,'CLASSEMENT DES NP ET NI DANS LE'!$F$8)</c:f>
              <c:numCache>
                <c:formatCode>0.00%</c:formatCode>
                <c:ptCount val="2"/>
                <c:pt idx="0">
                  <c:v>0.139732775994626</c:v>
                </c:pt>
                <c:pt idx="1">
                  <c:v>0.14399999999999999</c:v>
                </c:pt>
              </c:numCache>
            </c:numRef>
          </c:val>
          <c:extLst>
            <c:ext xmlns:c16="http://schemas.microsoft.com/office/drawing/2014/chart" uri="{C3380CC4-5D6E-409C-BE32-E72D297353CC}">
              <c16:uniqueId val="{00000002-63D3-475A-852B-53A3DA0EA5C1}"/>
            </c:ext>
          </c:extLst>
        </c:ser>
        <c:ser>
          <c:idx val="3"/>
          <c:order val="3"/>
          <c:tx>
            <c:strRef>
              <c:f>'CLASSEMENT DES NP ET NI DANS LE'!$B$9</c:f>
              <c:strCache>
                <c:ptCount val="1"/>
                <c:pt idx="0">
                  <c:v>LE QUOTIDIEN</c:v>
                </c:pt>
              </c:strCache>
            </c:strRef>
          </c:tx>
          <c:spPr>
            <a:solidFill>
              <a:schemeClr val="accent4"/>
            </a:solidFill>
            <a:ln>
              <a:noFill/>
            </a:ln>
            <a:effectLst/>
            <a:scene3d>
              <a:camera prst="orthographicFront"/>
              <a:lightRig rig="threePt" dir="t"/>
            </a:scene3d>
            <a:sp3d>
              <a:bevelT w="139700" h="139700"/>
            </a:sp3d>
          </c:spPr>
          <c:invertIfNegative val="0"/>
          <c:cat>
            <c:strRef>
              <c:f>('CLASSEMENT DES NP ET NI DANS LE'!$D$5,'CLASSEMENT DES NP ET NI DANS LE'!$F$5)</c:f>
              <c:strCache>
                <c:ptCount val="2"/>
                <c:pt idx="0">
                  <c:v>%NP</c:v>
                </c:pt>
                <c:pt idx="1">
                  <c:v>%NI</c:v>
                </c:pt>
              </c:strCache>
            </c:strRef>
          </c:cat>
          <c:val>
            <c:numRef>
              <c:f>('CLASSEMENT DES NP ET NI DANS LE'!$D$9,'CLASSEMENT DES NP ET NI DANS LE'!$F$9)</c:f>
              <c:numCache>
                <c:formatCode>0.00%</c:formatCode>
                <c:ptCount val="2"/>
                <c:pt idx="0">
                  <c:v>0.12241546614913799</c:v>
                </c:pt>
                <c:pt idx="1">
                  <c:v>0.152</c:v>
                </c:pt>
              </c:numCache>
            </c:numRef>
          </c:val>
          <c:extLst>
            <c:ext xmlns:c16="http://schemas.microsoft.com/office/drawing/2014/chart" uri="{C3380CC4-5D6E-409C-BE32-E72D297353CC}">
              <c16:uniqueId val="{00000003-63D3-475A-852B-53A3DA0EA5C1}"/>
            </c:ext>
          </c:extLst>
        </c:ser>
        <c:ser>
          <c:idx val="4"/>
          <c:order val="4"/>
          <c:tx>
            <c:strRef>
              <c:f>'CLASSEMENT DES NP ET NI DANS LE'!$B$10</c:f>
              <c:strCache>
                <c:ptCount val="1"/>
                <c:pt idx="0">
                  <c:v>L'EXPRESS DU FASO</c:v>
                </c:pt>
              </c:strCache>
            </c:strRef>
          </c:tx>
          <c:spPr>
            <a:solidFill>
              <a:schemeClr val="accent5"/>
            </a:solidFill>
            <a:ln>
              <a:noFill/>
            </a:ln>
            <a:effectLst/>
            <a:scene3d>
              <a:camera prst="orthographicFront"/>
              <a:lightRig rig="threePt" dir="t"/>
            </a:scene3d>
            <a:sp3d>
              <a:bevelT w="139700" h="139700"/>
            </a:sp3d>
          </c:spPr>
          <c:invertIfNegative val="0"/>
          <c:cat>
            <c:strRef>
              <c:f>('CLASSEMENT DES NP ET NI DANS LE'!$D$5,'CLASSEMENT DES NP ET NI DANS LE'!$F$5)</c:f>
              <c:strCache>
                <c:ptCount val="2"/>
                <c:pt idx="0">
                  <c:v>%NP</c:v>
                </c:pt>
                <c:pt idx="1">
                  <c:v>%NI</c:v>
                </c:pt>
              </c:strCache>
            </c:strRef>
          </c:cat>
          <c:val>
            <c:numRef>
              <c:f>('CLASSEMENT DES NP ET NI DANS LE'!$D$10,'CLASSEMENT DES NP ET NI DANS LE'!$F$10)</c:f>
              <c:numCache>
                <c:formatCode>0.00%</c:formatCode>
                <c:ptCount val="2"/>
                <c:pt idx="0">
                  <c:v>0.116443979995521</c:v>
                </c:pt>
                <c:pt idx="1">
                  <c:v>6.4000000000000001E-2</c:v>
                </c:pt>
              </c:numCache>
            </c:numRef>
          </c:val>
          <c:extLst>
            <c:ext xmlns:c16="http://schemas.microsoft.com/office/drawing/2014/chart" uri="{C3380CC4-5D6E-409C-BE32-E72D297353CC}">
              <c16:uniqueId val="{00000004-63D3-475A-852B-53A3DA0EA5C1}"/>
            </c:ext>
          </c:extLst>
        </c:ser>
        <c:ser>
          <c:idx val="5"/>
          <c:order val="5"/>
          <c:tx>
            <c:strRef>
              <c:f>'CLASSEMENT DES NP ET NI DANS LE'!$B$11</c:f>
              <c:strCache>
                <c:ptCount val="1"/>
                <c:pt idx="0">
                  <c:v>SIDWAYA</c:v>
                </c:pt>
              </c:strCache>
            </c:strRef>
          </c:tx>
          <c:spPr>
            <a:solidFill>
              <a:schemeClr val="accent6"/>
            </a:solidFill>
            <a:ln>
              <a:noFill/>
            </a:ln>
            <a:effectLst/>
            <a:scene3d>
              <a:camera prst="orthographicFront"/>
              <a:lightRig rig="threePt" dir="t"/>
            </a:scene3d>
            <a:sp3d>
              <a:bevelT w="139700" h="139700"/>
            </a:sp3d>
          </c:spPr>
          <c:invertIfNegative val="0"/>
          <c:cat>
            <c:strRef>
              <c:f>('CLASSEMENT DES NP ET NI DANS LE'!$D$5,'CLASSEMENT DES NP ET NI DANS LE'!$F$5)</c:f>
              <c:strCache>
                <c:ptCount val="2"/>
                <c:pt idx="0">
                  <c:v>%NP</c:v>
                </c:pt>
                <c:pt idx="1">
                  <c:v>%NI</c:v>
                </c:pt>
              </c:strCache>
            </c:strRef>
          </c:cat>
          <c:val>
            <c:numRef>
              <c:f>('CLASSEMENT DES NP ET NI DANS LE'!$D$11,'CLASSEMENT DES NP ET NI DANS LE'!$F$11)</c:f>
              <c:numCache>
                <c:formatCode>0.00%</c:formatCode>
                <c:ptCount val="2"/>
                <c:pt idx="0">
                  <c:v>4.0307531536911301E-2</c:v>
                </c:pt>
                <c:pt idx="1">
                  <c:v>6.4000000000000001E-2</c:v>
                </c:pt>
              </c:numCache>
            </c:numRef>
          </c:val>
          <c:extLst>
            <c:ext xmlns:c16="http://schemas.microsoft.com/office/drawing/2014/chart" uri="{C3380CC4-5D6E-409C-BE32-E72D297353CC}">
              <c16:uniqueId val="{00000005-63D3-475A-852B-53A3DA0EA5C1}"/>
            </c:ext>
          </c:extLst>
        </c:ser>
        <c:dLbls>
          <c:showLegendKey val="0"/>
          <c:showVal val="0"/>
          <c:showCatName val="0"/>
          <c:showSerName val="0"/>
          <c:showPercent val="0"/>
          <c:showBubbleSize val="0"/>
        </c:dLbls>
        <c:gapWidth val="219"/>
        <c:overlap val="-27"/>
        <c:axId val="139069232"/>
        <c:axId val="139069624"/>
      </c:barChart>
      <c:catAx>
        <c:axId val="139069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39069624"/>
        <c:crosses val="autoZero"/>
        <c:auto val="1"/>
        <c:lblAlgn val="ctr"/>
        <c:lblOffset val="100"/>
        <c:noMultiLvlLbl val="0"/>
      </c:catAx>
      <c:valAx>
        <c:axId val="1390696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39069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Feuil1!$B$19</c:f>
              <c:strCache>
                <c:ptCount val="1"/>
                <c:pt idx="0">
                  <c:v>Sidwaya</c:v>
                </c:pt>
              </c:strCache>
            </c:strRef>
          </c:tx>
          <c:spPr>
            <a:solidFill>
              <a:schemeClr val="accent1"/>
            </a:solidFill>
            <a:ln>
              <a:noFill/>
            </a:ln>
            <a:effectLst/>
            <a:scene3d>
              <a:camera prst="orthographicFront"/>
              <a:lightRig rig="threePt" dir="t"/>
            </a:scene3d>
            <a:sp3d>
              <a:bevelT/>
            </a:sp3d>
          </c:spPr>
          <c:invertIfNegative val="0"/>
          <c:cat>
            <c:strRef>
              <c:f>Feuil1!$C$18:$D$18</c:f>
              <c:strCache>
                <c:ptCount val="2"/>
                <c:pt idx="0">
                  <c:v>%NP</c:v>
                </c:pt>
                <c:pt idx="1">
                  <c:v>%NI</c:v>
                </c:pt>
              </c:strCache>
            </c:strRef>
          </c:cat>
          <c:val>
            <c:numRef>
              <c:f>Feuil1!$C$19:$D$19</c:f>
              <c:numCache>
                <c:formatCode>0.00%</c:formatCode>
                <c:ptCount val="2"/>
                <c:pt idx="0">
                  <c:v>0.28489999999999999</c:v>
                </c:pt>
                <c:pt idx="1">
                  <c:v>0.31169999999999998</c:v>
                </c:pt>
              </c:numCache>
            </c:numRef>
          </c:val>
          <c:extLst>
            <c:ext xmlns:c16="http://schemas.microsoft.com/office/drawing/2014/chart" uri="{C3380CC4-5D6E-409C-BE32-E72D297353CC}">
              <c16:uniqueId val="{00000000-1973-4772-999E-437AB826807B}"/>
            </c:ext>
          </c:extLst>
        </c:ser>
        <c:ser>
          <c:idx val="1"/>
          <c:order val="1"/>
          <c:tx>
            <c:strRef>
              <c:f>Feuil1!$B$20</c:f>
              <c:strCache>
                <c:ptCount val="1"/>
                <c:pt idx="0">
                  <c:v>Aujourd'hui au Faso</c:v>
                </c:pt>
              </c:strCache>
            </c:strRef>
          </c:tx>
          <c:spPr>
            <a:solidFill>
              <a:schemeClr val="accent2"/>
            </a:solidFill>
            <a:ln>
              <a:noFill/>
            </a:ln>
            <a:effectLst/>
            <a:scene3d>
              <a:camera prst="orthographicFront"/>
              <a:lightRig rig="threePt" dir="t"/>
            </a:scene3d>
            <a:sp3d>
              <a:bevelT/>
            </a:sp3d>
          </c:spPr>
          <c:invertIfNegative val="0"/>
          <c:cat>
            <c:strRef>
              <c:f>Feuil1!$C$18:$D$18</c:f>
              <c:strCache>
                <c:ptCount val="2"/>
                <c:pt idx="0">
                  <c:v>%NP</c:v>
                </c:pt>
                <c:pt idx="1">
                  <c:v>%NI</c:v>
                </c:pt>
              </c:strCache>
            </c:strRef>
          </c:cat>
          <c:val>
            <c:numRef>
              <c:f>Feuil1!$C$20:$D$20</c:f>
              <c:numCache>
                <c:formatCode>0.00%</c:formatCode>
                <c:ptCount val="2"/>
                <c:pt idx="0">
                  <c:v>0.18590000000000001</c:v>
                </c:pt>
                <c:pt idx="1">
                  <c:v>0.16</c:v>
                </c:pt>
              </c:numCache>
            </c:numRef>
          </c:val>
          <c:extLst>
            <c:ext xmlns:c16="http://schemas.microsoft.com/office/drawing/2014/chart" uri="{C3380CC4-5D6E-409C-BE32-E72D297353CC}">
              <c16:uniqueId val="{00000001-1973-4772-999E-437AB826807B}"/>
            </c:ext>
          </c:extLst>
        </c:ser>
        <c:ser>
          <c:idx val="2"/>
          <c:order val="2"/>
          <c:tx>
            <c:strRef>
              <c:f>Feuil1!$B$21</c:f>
              <c:strCache>
                <c:ptCount val="1"/>
                <c:pt idx="0">
                  <c:v>Le Pays</c:v>
                </c:pt>
              </c:strCache>
            </c:strRef>
          </c:tx>
          <c:spPr>
            <a:solidFill>
              <a:schemeClr val="accent3"/>
            </a:solidFill>
            <a:ln>
              <a:noFill/>
            </a:ln>
            <a:effectLst/>
            <a:scene3d>
              <a:camera prst="orthographicFront"/>
              <a:lightRig rig="threePt" dir="t"/>
            </a:scene3d>
            <a:sp3d>
              <a:bevelT/>
            </a:sp3d>
          </c:spPr>
          <c:invertIfNegative val="0"/>
          <c:cat>
            <c:strRef>
              <c:f>Feuil1!$C$18:$D$18</c:f>
              <c:strCache>
                <c:ptCount val="2"/>
                <c:pt idx="0">
                  <c:v>%NP</c:v>
                </c:pt>
                <c:pt idx="1">
                  <c:v>%NI</c:v>
                </c:pt>
              </c:strCache>
            </c:strRef>
          </c:cat>
          <c:val>
            <c:numRef>
              <c:f>Feuil1!$C$21:$D$21</c:f>
              <c:numCache>
                <c:formatCode>0.00%</c:formatCode>
                <c:ptCount val="2"/>
                <c:pt idx="0">
                  <c:v>0.17219999999999999</c:v>
                </c:pt>
                <c:pt idx="1">
                  <c:v>0.16889999999999999</c:v>
                </c:pt>
              </c:numCache>
            </c:numRef>
          </c:val>
          <c:extLst>
            <c:ext xmlns:c16="http://schemas.microsoft.com/office/drawing/2014/chart" uri="{C3380CC4-5D6E-409C-BE32-E72D297353CC}">
              <c16:uniqueId val="{00000002-1973-4772-999E-437AB826807B}"/>
            </c:ext>
          </c:extLst>
        </c:ser>
        <c:ser>
          <c:idx val="3"/>
          <c:order val="3"/>
          <c:tx>
            <c:strRef>
              <c:f>Feuil1!$B$22</c:f>
              <c:strCache>
                <c:ptCount val="1"/>
                <c:pt idx="0">
                  <c:v>Le Quotidien</c:v>
                </c:pt>
              </c:strCache>
            </c:strRef>
          </c:tx>
          <c:spPr>
            <a:solidFill>
              <a:schemeClr val="accent4"/>
            </a:solidFill>
            <a:ln>
              <a:noFill/>
            </a:ln>
            <a:effectLst/>
            <a:scene3d>
              <a:camera prst="orthographicFront"/>
              <a:lightRig rig="threePt" dir="t"/>
            </a:scene3d>
            <a:sp3d>
              <a:bevelT/>
            </a:sp3d>
          </c:spPr>
          <c:invertIfNegative val="0"/>
          <c:cat>
            <c:strRef>
              <c:f>Feuil1!$C$18:$D$18</c:f>
              <c:strCache>
                <c:ptCount val="2"/>
                <c:pt idx="0">
                  <c:v>%NP</c:v>
                </c:pt>
                <c:pt idx="1">
                  <c:v>%NI</c:v>
                </c:pt>
              </c:strCache>
            </c:strRef>
          </c:cat>
          <c:val>
            <c:numRef>
              <c:f>Feuil1!$C$22:$D$22</c:f>
              <c:numCache>
                <c:formatCode>0.00%</c:formatCode>
                <c:ptCount val="2"/>
                <c:pt idx="0">
                  <c:v>0.1517</c:v>
                </c:pt>
                <c:pt idx="1">
                  <c:v>0.16420000000000001</c:v>
                </c:pt>
              </c:numCache>
            </c:numRef>
          </c:val>
          <c:extLst>
            <c:ext xmlns:c16="http://schemas.microsoft.com/office/drawing/2014/chart" uri="{C3380CC4-5D6E-409C-BE32-E72D297353CC}">
              <c16:uniqueId val="{00000003-1973-4772-999E-437AB826807B}"/>
            </c:ext>
          </c:extLst>
        </c:ser>
        <c:ser>
          <c:idx val="4"/>
          <c:order val="4"/>
          <c:tx>
            <c:strRef>
              <c:f>Feuil1!$B$23</c:f>
              <c:strCache>
                <c:ptCount val="1"/>
                <c:pt idx="0">
                  <c:v>L'Observateur Paalga</c:v>
                </c:pt>
              </c:strCache>
            </c:strRef>
          </c:tx>
          <c:spPr>
            <a:solidFill>
              <a:schemeClr val="accent5"/>
            </a:solidFill>
            <a:ln>
              <a:noFill/>
            </a:ln>
            <a:effectLst/>
            <a:scene3d>
              <a:camera prst="orthographicFront"/>
              <a:lightRig rig="threePt" dir="t"/>
            </a:scene3d>
            <a:sp3d>
              <a:bevelT/>
            </a:sp3d>
          </c:spPr>
          <c:invertIfNegative val="0"/>
          <c:cat>
            <c:strRef>
              <c:f>Feuil1!$C$18:$D$18</c:f>
              <c:strCache>
                <c:ptCount val="2"/>
                <c:pt idx="0">
                  <c:v>%NP</c:v>
                </c:pt>
                <c:pt idx="1">
                  <c:v>%NI</c:v>
                </c:pt>
              </c:strCache>
            </c:strRef>
          </c:cat>
          <c:val>
            <c:numRef>
              <c:f>Feuil1!$C$23:$D$23</c:f>
              <c:numCache>
                <c:formatCode>0.00%</c:formatCode>
                <c:ptCount val="2"/>
                <c:pt idx="0">
                  <c:v>0.1215</c:v>
                </c:pt>
                <c:pt idx="1">
                  <c:v>0.113</c:v>
                </c:pt>
              </c:numCache>
            </c:numRef>
          </c:val>
          <c:extLst>
            <c:ext xmlns:c16="http://schemas.microsoft.com/office/drawing/2014/chart" uri="{C3380CC4-5D6E-409C-BE32-E72D297353CC}">
              <c16:uniqueId val="{00000004-1973-4772-999E-437AB826807B}"/>
            </c:ext>
          </c:extLst>
        </c:ser>
        <c:ser>
          <c:idx val="5"/>
          <c:order val="5"/>
          <c:tx>
            <c:strRef>
              <c:f>Feuil1!$B$24</c:f>
              <c:strCache>
                <c:ptCount val="1"/>
                <c:pt idx="0">
                  <c:v>L'Express du Faso</c:v>
                </c:pt>
              </c:strCache>
            </c:strRef>
          </c:tx>
          <c:spPr>
            <a:solidFill>
              <a:schemeClr val="accent6"/>
            </a:solidFill>
            <a:ln>
              <a:noFill/>
            </a:ln>
            <a:effectLst/>
            <a:scene3d>
              <a:camera prst="orthographicFront"/>
              <a:lightRig rig="threePt" dir="t"/>
            </a:scene3d>
            <a:sp3d>
              <a:bevelT/>
            </a:sp3d>
          </c:spPr>
          <c:invertIfNegative val="0"/>
          <c:cat>
            <c:strRef>
              <c:f>Feuil1!$C$18:$D$18</c:f>
              <c:strCache>
                <c:ptCount val="2"/>
                <c:pt idx="0">
                  <c:v>%NP</c:v>
                </c:pt>
                <c:pt idx="1">
                  <c:v>%NI</c:v>
                </c:pt>
              </c:strCache>
            </c:strRef>
          </c:cat>
          <c:val>
            <c:numRef>
              <c:f>Feuil1!$C$24:$D$24</c:f>
              <c:numCache>
                <c:formatCode>0.00%</c:formatCode>
                <c:ptCount val="2"/>
                <c:pt idx="0">
                  <c:v>8.3699999999999997E-2</c:v>
                </c:pt>
                <c:pt idx="1">
                  <c:v>8.2100000000000006E-2</c:v>
                </c:pt>
              </c:numCache>
            </c:numRef>
          </c:val>
          <c:extLst>
            <c:ext xmlns:c16="http://schemas.microsoft.com/office/drawing/2014/chart" uri="{C3380CC4-5D6E-409C-BE32-E72D297353CC}">
              <c16:uniqueId val="{00000005-1973-4772-999E-437AB826807B}"/>
            </c:ext>
          </c:extLst>
        </c:ser>
        <c:dLbls>
          <c:showLegendKey val="0"/>
          <c:showVal val="0"/>
          <c:showCatName val="0"/>
          <c:showSerName val="0"/>
          <c:showPercent val="0"/>
          <c:showBubbleSize val="0"/>
        </c:dLbls>
        <c:gapWidth val="219"/>
        <c:overlap val="-27"/>
        <c:axId val="1788693615"/>
        <c:axId val="1788698607"/>
      </c:barChart>
      <c:catAx>
        <c:axId val="1788693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788698607"/>
        <c:crosses val="autoZero"/>
        <c:auto val="1"/>
        <c:lblAlgn val="ctr"/>
        <c:lblOffset val="100"/>
        <c:noMultiLvlLbl val="0"/>
      </c:catAx>
      <c:valAx>
        <c:axId val="17886986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788693615"/>
        <c:crosses val="autoZero"/>
        <c:crossBetween val="between"/>
      </c:valAx>
      <c:spPr>
        <a:noFill/>
        <a:ln>
          <a:noFill/>
        </a:ln>
        <a:effectLst/>
      </c:spPr>
    </c:plotArea>
    <c:legend>
      <c:legendPos val="b"/>
      <c:layout>
        <c:manualLayout>
          <c:xMode val="edge"/>
          <c:yMode val="edge"/>
          <c:x val="2.9544126370895801E-2"/>
          <c:y val="0.82291557305336804"/>
          <c:w val="0.93836458739860795"/>
          <c:h val="0.149306649168854"/>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Feuil2!$B$115</c:f>
              <c:strCache>
                <c:ptCount val="1"/>
                <c:pt idx="0">
                  <c:v>SIDWAYA</c:v>
                </c:pt>
              </c:strCache>
            </c:strRef>
          </c:tx>
          <c:spPr>
            <a:solidFill>
              <a:schemeClr val="accent1"/>
            </a:solidFill>
            <a:ln>
              <a:noFill/>
            </a:ln>
            <a:effectLst/>
            <a:scene3d>
              <a:camera prst="orthographicFront"/>
              <a:lightRig rig="threePt" dir="t"/>
            </a:scene3d>
            <a:sp3d prstMaterial="matte">
              <a:bevelT w="127000" h="63500"/>
            </a:sp3d>
          </c:spPr>
          <c:invertIfNegative val="0"/>
          <c:cat>
            <c:strRef>
              <c:f>(Feuil2!$D$114,Feuil2!$F$114)</c:f>
              <c:strCache>
                <c:ptCount val="2"/>
                <c:pt idx="0">
                  <c:v>%NP</c:v>
                </c:pt>
                <c:pt idx="1">
                  <c:v>%NI</c:v>
                </c:pt>
              </c:strCache>
            </c:strRef>
          </c:cat>
          <c:val>
            <c:numRef>
              <c:f>(Feuil2!$D$115,Feuil2!$F$115)</c:f>
              <c:numCache>
                <c:formatCode>0%</c:formatCode>
                <c:ptCount val="2"/>
                <c:pt idx="0">
                  <c:v>0.36237188872620801</c:v>
                </c:pt>
                <c:pt idx="1">
                  <c:v>0.37264404954227198</c:v>
                </c:pt>
              </c:numCache>
            </c:numRef>
          </c:val>
          <c:extLst>
            <c:ext xmlns:c16="http://schemas.microsoft.com/office/drawing/2014/chart" uri="{C3380CC4-5D6E-409C-BE32-E72D297353CC}">
              <c16:uniqueId val="{00000000-AFE9-43A7-B051-DD8C5F1BAB5F}"/>
            </c:ext>
          </c:extLst>
        </c:ser>
        <c:ser>
          <c:idx val="1"/>
          <c:order val="1"/>
          <c:tx>
            <c:strRef>
              <c:f>Feuil2!$B$116</c:f>
              <c:strCache>
                <c:ptCount val="1"/>
                <c:pt idx="0">
                  <c:v>LE PAYS</c:v>
                </c:pt>
              </c:strCache>
            </c:strRef>
          </c:tx>
          <c:spPr>
            <a:solidFill>
              <a:schemeClr val="accent2"/>
            </a:solidFill>
            <a:ln>
              <a:noFill/>
            </a:ln>
            <a:effectLst/>
            <a:scene3d>
              <a:camera prst="orthographicFront"/>
              <a:lightRig rig="threePt" dir="t"/>
            </a:scene3d>
            <a:sp3d prstMaterial="matte">
              <a:bevelT w="127000" h="63500"/>
            </a:sp3d>
          </c:spPr>
          <c:invertIfNegative val="0"/>
          <c:cat>
            <c:strRef>
              <c:f>(Feuil2!$D$114,Feuil2!$F$114)</c:f>
              <c:strCache>
                <c:ptCount val="2"/>
                <c:pt idx="0">
                  <c:v>%NP</c:v>
                </c:pt>
                <c:pt idx="1">
                  <c:v>%NI</c:v>
                </c:pt>
              </c:strCache>
            </c:strRef>
          </c:cat>
          <c:val>
            <c:numRef>
              <c:f>(Feuil2!$D$116,Feuil2!$F$116)</c:f>
              <c:numCache>
                <c:formatCode>0%</c:formatCode>
                <c:ptCount val="2"/>
                <c:pt idx="0">
                  <c:v>0.202049780380674</c:v>
                </c:pt>
                <c:pt idx="1">
                  <c:v>0.21755519655358099</c:v>
                </c:pt>
              </c:numCache>
            </c:numRef>
          </c:val>
          <c:extLst>
            <c:ext xmlns:c16="http://schemas.microsoft.com/office/drawing/2014/chart" uri="{C3380CC4-5D6E-409C-BE32-E72D297353CC}">
              <c16:uniqueId val="{00000001-AFE9-43A7-B051-DD8C5F1BAB5F}"/>
            </c:ext>
          </c:extLst>
        </c:ser>
        <c:ser>
          <c:idx val="2"/>
          <c:order val="2"/>
          <c:tx>
            <c:strRef>
              <c:f>Feuil2!$B$117</c:f>
              <c:strCache>
                <c:ptCount val="1"/>
                <c:pt idx="0">
                  <c:v>L'OBSERVATEUR PAALGA</c:v>
                </c:pt>
              </c:strCache>
            </c:strRef>
          </c:tx>
          <c:spPr>
            <a:solidFill>
              <a:schemeClr val="accent3"/>
            </a:solidFill>
            <a:ln>
              <a:noFill/>
            </a:ln>
            <a:effectLst/>
            <a:scene3d>
              <a:camera prst="orthographicFront"/>
              <a:lightRig rig="threePt" dir="t"/>
            </a:scene3d>
            <a:sp3d prstMaterial="matte">
              <a:bevelT w="127000" h="63500"/>
            </a:sp3d>
          </c:spPr>
          <c:invertIfNegative val="0"/>
          <c:cat>
            <c:strRef>
              <c:f>(Feuil2!$D$114,Feuil2!$F$114)</c:f>
              <c:strCache>
                <c:ptCount val="2"/>
                <c:pt idx="0">
                  <c:v>%NP</c:v>
                </c:pt>
                <c:pt idx="1">
                  <c:v>%NI</c:v>
                </c:pt>
              </c:strCache>
            </c:strRef>
          </c:cat>
          <c:val>
            <c:numRef>
              <c:f>(Feuil2!$D$117,Feuil2!$F$117)</c:f>
              <c:numCache>
                <c:formatCode>0%</c:formatCode>
                <c:ptCount val="2"/>
                <c:pt idx="0">
                  <c:v>0.16398243045388</c:v>
                </c:pt>
                <c:pt idx="1">
                  <c:v>0.150242326332795</c:v>
                </c:pt>
              </c:numCache>
            </c:numRef>
          </c:val>
          <c:extLst>
            <c:ext xmlns:c16="http://schemas.microsoft.com/office/drawing/2014/chart" uri="{C3380CC4-5D6E-409C-BE32-E72D297353CC}">
              <c16:uniqueId val="{00000002-AFE9-43A7-B051-DD8C5F1BAB5F}"/>
            </c:ext>
          </c:extLst>
        </c:ser>
        <c:ser>
          <c:idx val="3"/>
          <c:order val="3"/>
          <c:tx>
            <c:strRef>
              <c:f>Feuil2!$B$118</c:f>
              <c:strCache>
                <c:ptCount val="1"/>
                <c:pt idx="0">
                  <c:v>L'EXPRESS DU FASO</c:v>
                </c:pt>
              </c:strCache>
            </c:strRef>
          </c:tx>
          <c:spPr>
            <a:solidFill>
              <a:schemeClr val="accent4"/>
            </a:solidFill>
            <a:ln>
              <a:noFill/>
            </a:ln>
            <a:effectLst/>
            <a:scene3d>
              <a:camera prst="orthographicFront"/>
              <a:lightRig rig="threePt" dir="t"/>
            </a:scene3d>
            <a:sp3d prstMaterial="matte">
              <a:bevelT w="127000" h="63500"/>
            </a:sp3d>
          </c:spPr>
          <c:invertIfNegative val="0"/>
          <c:cat>
            <c:strRef>
              <c:f>(Feuil2!$D$114,Feuil2!$F$114)</c:f>
              <c:strCache>
                <c:ptCount val="2"/>
                <c:pt idx="0">
                  <c:v>%NP</c:v>
                </c:pt>
                <c:pt idx="1">
                  <c:v>%NI</c:v>
                </c:pt>
              </c:strCache>
            </c:strRef>
          </c:cat>
          <c:val>
            <c:numRef>
              <c:f>(Feuil2!$D$118,Feuil2!$F$118)</c:f>
              <c:numCache>
                <c:formatCode>0%</c:formatCode>
                <c:ptCount val="2"/>
                <c:pt idx="0">
                  <c:v>0.115666178623719</c:v>
                </c:pt>
                <c:pt idx="1">
                  <c:v>0.119547657512116</c:v>
                </c:pt>
              </c:numCache>
            </c:numRef>
          </c:val>
          <c:extLst>
            <c:ext xmlns:c16="http://schemas.microsoft.com/office/drawing/2014/chart" uri="{C3380CC4-5D6E-409C-BE32-E72D297353CC}">
              <c16:uniqueId val="{00000003-AFE9-43A7-B051-DD8C5F1BAB5F}"/>
            </c:ext>
          </c:extLst>
        </c:ser>
        <c:ser>
          <c:idx val="4"/>
          <c:order val="4"/>
          <c:tx>
            <c:strRef>
              <c:f>Feuil2!$B$119</c:f>
              <c:strCache>
                <c:ptCount val="1"/>
                <c:pt idx="0">
                  <c:v>AUJOURD'HUI AU FASO</c:v>
                </c:pt>
              </c:strCache>
            </c:strRef>
          </c:tx>
          <c:spPr>
            <a:solidFill>
              <a:schemeClr val="accent5"/>
            </a:solidFill>
            <a:ln>
              <a:noFill/>
            </a:ln>
            <a:effectLst/>
            <a:scene3d>
              <a:camera prst="orthographicFront"/>
              <a:lightRig rig="threePt" dir="t"/>
            </a:scene3d>
            <a:sp3d prstMaterial="matte">
              <a:bevelT w="127000" h="63500"/>
            </a:sp3d>
          </c:spPr>
          <c:invertIfNegative val="0"/>
          <c:cat>
            <c:strRef>
              <c:f>(Feuil2!$D$114,Feuil2!$F$114)</c:f>
              <c:strCache>
                <c:ptCount val="2"/>
                <c:pt idx="0">
                  <c:v>%NP</c:v>
                </c:pt>
                <c:pt idx="1">
                  <c:v>%NI</c:v>
                </c:pt>
              </c:strCache>
            </c:strRef>
          </c:cat>
          <c:val>
            <c:numRef>
              <c:f>(Feuil2!$D$119,Feuil2!$F$119)</c:f>
              <c:numCache>
                <c:formatCode>0%</c:formatCode>
                <c:ptCount val="2"/>
                <c:pt idx="0">
                  <c:v>0.10139092240117099</c:v>
                </c:pt>
                <c:pt idx="1">
                  <c:v>8.3467959073774897E-2</c:v>
                </c:pt>
              </c:numCache>
            </c:numRef>
          </c:val>
          <c:extLst>
            <c:ext xmlns:c16="http://schemas.microsoft.com/office/drawing/2014/chart" uri="{C3380CC4-5D6E-409C-BE32-E72D297353CC}">
              <c16:uniqueId val="{00000004-AFE9-43A7-B051-DD8C5F1BAB5F}"/>
            </c:ext>
          </c:extLst>
        </c:ser>
        <c:ser>
          <c:idx val="5"/>
          <c:order val="5"/>
          <c:tx>
            <c:strRef>
              <c:f>Feuil2!$B$120</c:f>
              <c:strCache>
                <c:ptCount val="1"/>
                <c:pt idx="0">
                  <c:v>LE QUOTIDIEN</c:v>
                </c:pt>
              </c:strCache>
            </c:strRef>
          </c:tx>
          <c:spPr>
            <a:solidFill>
              <a:schemeClr val="accent6"/>
            </a:solidFill>
            <a:ln>
              <a:noFill/>
            </a:ln>
            <a:effectLst/>
            <a:scene3d>
              <a:camera prst="orthographicFront"/>
              <a:lightRig rig="threePt" dir="t"/>
            </a:scene3d>
            <a:sp3d prstMaterial="matte">
              <a:bevelT w="127000" h="63500"/>
            </a:sp3d>
          </c:spPr>
          <c:invertIfNegative val="0"/>
          <c:cat>
            <c:strRef>
              <c:f>(Feuil2!$D$114,Feuil2!$F$114)</c:f>
              <c:strCache>
                <c:ptCount val="2"/>
                <c:pt idx="0">
                  <c:v>%NP</c:v>
                </c:pt>
                <c:pt idx="1">
                  <c:v>%NI</c:v>
                </c:pt>
              </c:strCache>
            </c:strRef>
          </c:cat>
          <c:val>
            <c:numRef>
              <c:f>(Feuil2!$D$120,Feuil2!$F$120)</c:f>
              <c:numCache>
                <c:formatCode>0%</c:formatCode>
                <c:ptCount val="2"/>
                <c:pt idx="0">
                  <c:v>5.4538799414348499E-2</c:v>
                </c:pt>
                <c:pt idx="1">
                  <c:v>5.65428109854604E-2</c:v>
                </c:pt>
              </c:numCache>
            </c:numRef>
          </c:val>
          <c:extLst>
            <c:ext xmlns:c16="http://schemas.microsoft.com/office/drawing/2014/chart" uri="{C3380CC4-5D6E-409C-BE32-E72D297353CC}">
              <c16:uniqueId val="{00000005-AFE9-43A7-B051-DD8C5F1BAB5F}"/>
            </c:ext>
          </c:extLst>
        </c:ser>
        <c:dLbls>
          <c:showLegendKey val="0"/>
          <c:showVal val="0"/>
          <c:showCatName val="0"/>
          <c:showSerName val="0"/>
          <c:showPercent val="0"/>
          <c:showBubbleSize val="0"/>
        </c:dLbls>
        <c:gapWidth val="219"/>
        <c:overlap val="-27"/>
        <c:axId val="1099406256"/>
        <c:axId val="1099406672"/>
      </c:barChart>
      <c:catAx>
        <c:axId val="1099406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099406672"/>
        <c:crosses val="autoZero"/>
        <c:auto val="1"/>
        <c:lblAlgn val="ctr"/>
        <c:lblOffset val="100"/>
        <c:noMultiLvlLbl val="0"/>
      </c:catAx>
      <c:valAx>
        <c:axId val="10994066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099406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STATISTIQUES!$C$7</c:f>
              <c:strCache>
                <c:ptCount val="1"/>
                <c:pt idx="0">
                  <c:v>CDP</c:v>
                </c:pt>
              </c:strCache>
            </c:strRef>
          </c:tx>
          <c:spPr>
            <a:solidFill>
              <a:schemeClr val="accent1"/>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STATISTIQUES!$D$7:$E$7</c:f>
              <c:numCache>
                <c:formatCode>0.00%</c:formatCode>
                <c:ptCount val="2"/>
                <c:pt idx="0">
                  <c:v>0.14710000000000001</c:v>
                </c:pt>
                <c:pt idx="1">
                  <c:v>0.1598</c:v>
                </c:pt>
              </c:numCache>
            </c:numRef>
          </c:val>
          <c:extLst>
            <c:ext xmlns:c16="http://schemas.microsoft.com/office/drawing/2014/chart" uri="{C3380CC4-5D6E-409C-BE32-E72D297353CC}">
              <c16:uniqueId val="{00000000-0953-4993-8551-8A2022509317}"/>
            </c:ext>
          </c:extLst>
        </c:ser>
        <c:ser>
          <c:idx val="1"/>
          <c:order val="1"/>
          <c:tx>
            <c:strRef>
              <c:f>STATISTIQUES!$C$8</c:f>
              <c:strCache>
                <c:ptCount val="1"/>
                <c:pt idx="0">
                  <c:v>UNIR/MPS</c:v>
                </c:pt>
              </c:strCache>
            </c:strRef>
          </c:tx>
          <c:spPr>
            <a:solidFill>
              <a:schemeClr val="accent2"/>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STATISTIQUES!$D$8:$E$8</c:f>
              <c:numCache>
                <c:formatCode>0.00%</c:formatCode>
                <c:ptCount val="2"/>
                <c:pt idx="0">
                  <c:v>0.1353</c:v>
                </c:pt>
                <c:pt idx="1">
                  <c:v>0.1096</c:v>
                </c:pt>
              </c:numCache>
            </c:numRef>
          </c:val>
          <c:extLst>
            <c:ext xmlns:c16="http://schemas.microsoft.com/office/drawing/2014/chart" uri="{C3380CC4-5D6E-409C-BE32-E72D297353CC}">
              <c16:uniqueId val="{00000001-0953-4993-8551-8A2022509317}"/>
            </c:ext>
          </c:extLst>
        </c:ser>
        <c:ser>
          <c:idx val="2"/>
          <c:order val="2"/>
          <c:tx>
            <c:strRef>
              <c:f>STATISTIQUES!$C$9</c:f>
              <c:strCache>
                <c:ptCount val="1"/>
                <c:pt idx="0">
                  <c:v>MRB</c:v>
                </c:pt>
              </c:strCache>
            </c:strRef>
          </c:tx>
          <c:spPr>
            <a:solidFill>
              <a:schemeClr val="accent3"/>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STATISTIQUES!$D$9:$E$9</c:f>
              <c:numCache>
                <c:formatCode>0.00%</c:formatCode>
                <c:ptCount val="2"/>
                <c:pt idx="0">
                  <c:v>0.1235</c:v>
                </c:pt>
                <c:pt idx="1">
                  <c:v>0.1507</c:v>
                </c:pt>
              </c:numCache>
            </c:numRef>
          </c:val>
          <c:extLst>
            <c:ext xmlns:c16="http://schemas.microsoft.com/office/drawing/2014/chart" uri="{C3380CC4-5D6E-409C-BE32-E72D297353CC}">
              <c16:uniqueId val="{00000002-0953-4993-8551-8A2022509317}"/>
            </c:ext>
          </c:extLst>
        </c:ser>
        <c:ser>
          <c:idx val="3"/>
          <c:order val="3"/>
          <c:tx>
            <c:strRef>
              <c:f>STATISTIQUES!$C$10</c:f>
              <c:strCache>
                <c:ptCount val="1"/>
                <c:pt idx="0">
                  <c:v>MPP</c:v>
                </c:pt>
              </c:strCache>
            </c:strRef>
          </c:tx>
          <c:spPr>
            <a:solidFill>
              <a:schemeClr val="accent4"/>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STATISTIQUES!$D$10:$E$10</c:f>
              <c:numCache>
                <c:formatCode>0.00%</c:formatCode>
                <c:ptCount val="2"/>
                <c:pt idx="0">
                  <c:v>0.1235</c:v>
                </c:pt>
                <c:pt idx="1">
                  <c:v>0.1416</c:v>
                </c:pt>
              </c:numCache>
            </c:numRef>
          </c:val>
          <c:extLst>
            <c:ext xmlns:c16="http://schemas.microsoft.com/office/drawing/2014/chart" uri="{C3380CC4-5D6E-409C-BE32-E72D297353CC}">
              <c16:uniqueId val="{00000003-0953-4993-8551-8A2022509317}"/>
            </c:ext>
          </c:extLst>
        </c:ser>
        <c:ser>
          <c:idx val="4"/>
          <c:order val="4"/>
          <c:tx>
            <c:strRef>
              <c:f>STATISTIQUES!$C$11</c:f>
              <c:strCache>
                <c:ptCount val="1"/>
                <c:pt idx="0">
                  <c:v>UPC</c:v>
                </c:pt>
              </c:strCache>
            </c:strRef>
          </c:tx>
          <c:spPr>
            <a:solidFill>
              <a:schemeClr val="accent5"/>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STATISTIQUES!$D$11:$E$11</c:f>
              <c:numCache>
                <c:formatCode>0.00%</c:formatCode>
                <c:ptCount val="2"/>
                <c:pt idx="0">
                  <c:v>0.10589999999999999</c:v>
                </c:pt>
                <c:pt idx="1">
                  <c:v>0.10050000000000001</c:v>
                </c:pt>
              </c:numCache>
            </c:numRef>
          </c:val>
          <c:extLst>
            <c:ext xmlns:c16="http://schemas.microsoft.com/office/drawing/2014/chart" uri="{C3380CC4-5D6E-409C-BE32-E72D297353CC}">
              <c16:uniqueId val="{00000004-0953-4993-8551-8A2022509317}"/>
            </c:ext>
          </c:extLst>
        </c:ser>
        <c:ser>
          <c:idx val="5"/>
          <c:order val="5"/>
          <c:tx>
            <c:strRef>
              <c:f>STATISTIQUES!$C$12</c:f>
              <c:strCache>
                <c:ptCount val="1"/>
                <c:pt idx="0">
                  <c:v>ADF/RDA</c:v>
                </c:pt>
              </c:strCache>
            </c:strRef>
          </c:tx>
          <c:spPr>
            <a:solidFill>
              <a:schemeClr val="accent6"/>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STATISTIQUES!$D$12:$E$12</c:f>
              <c:numCache>
                <c:formatCode>0.00%</c:formatCode>
                <c:ptCount val="2"/>
                <c:pt idx="0">
                  <c:v>2.9399999999999999E-2</c:v>
                </c:pt>
                <c:pt idx="1">
                  <c:v>2.2800000000000001E-2</c:v>
                </c:pt>
              </c:numCache>
            </c:numRef>
          </c:val>
          <c:extLst>
            <c:ext xmlns:c16="http://schemas.microsoft.com/office/drawing/2014/chart" uri="{C3380CC4-5D6E-409C-BE32-E72D297353CC}">
              <c16:uniqueId val="{00000005-0953-4993-8551-8A2022509317}"/>
            </c:ext>
          </c:extLst>
        </c:ser>
        <c:ser>
          <c:idx val="6"/>
          <c:order val="6"/>
          <c:tx>
            <c:strRef>
              <c:f>STATISTIQUES!$C$13</c:f>
              <c:strCache>
                <c:ptCount val="1"/>
                <c:pt idx="0">
                  <c:v>SA</c:v>
                </c:pt>
              </c:strCache>
            </c:strRef>
          </c:tx>
          <c:spPr>
            <a:solidFill>
              <a:schemeClr val="accent1">
                <a:lumMod val="6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STATISTIQUES!$D$13:$E$13</c:f>
              <c:numCache>
                <c:formatCode>0.00%</c:formatCode>
                <c:ptCount val="2"/>
                <c:pt idx="0">
                  <c:v>2.9399999999999999E-2</c:v>
                </c:pt>
                <c:pt idx="1">
                  <c:v>2.2800000000000001E-2</c:v>
                </c:pt>
              </c:numCache>
            </c:numRef>
          </c:val>
          <c:extLst>
            <c:ext xmlns:c16="http://schemas.microsoft.com/office/drawing/2014/chart" uri="{C3380CC4-5D6E-409C-BE32-E72D297353CC}">
              <c16:uniqueId val="{00000006-0953-4993-8551-8A2022509317}"/>
            </c:ext>
          </c:extLst>
        </c:ser>
        <c:ser>
          <c:idx val="7"/>
          <c:order val="7"/>
          <c:tx>
            <c:strRef>
              <c:f>STATISTIQUES!$C$14</c:f>
              <c:strCache>
                <c:ptCount val="1"/>
                <c:pt idx="0">
                  <c:v>PDS/PS</c:v>
                </c:pt>
              </c:strCache>
            </c:strRef>
          </c:tx>
          <c:spPr>
            <a:solidFill>
              <a:schemeClr val="accent2">
                <a:lumMod val="6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STATISTIQUES!$D$14:$E$14</c:f>
              <c:numCache>
                <c:formatCode>0.00%</c:formatCode>
                <c:ptCount val="2"/>
                <c:pt idx="0">
                  <c:v>2.35E-2</c:v>
                </c:pt>
                <c:pt idx="1">
                  <c:v>3.6499999999999998E-2</c:v>
                </c:pt>
              </c:numCache>
            </c:numRef>
          </c:val>
          <c:extLst>
            <c:ext xmlns:c16="http://schemas.microsoft.com/office/drawing/2014/chart" uri="{C3380CC4-5D6E-409C-BE32-E72D297353CC}">
              <c16:uniqueId val="{00000007-0953-4993-8551-8A2022509317}"/>
            </c:ext>
          </c:extLst>
        </c:ser>
        <c:ser>
          <c:idx val="8"/>
          <c:order val="8"/>
          <c:tx>
            <c:strRef>
              <c:f>STATISTIQUES!$C$15</c:f>
              <c:strCache>
                <c:ptCount val="1"/>
                <c:pt idx="0">
                  <c:v>NOVI</c:v>
                </c:pt>
              </c:strCache>
            </c:strRef>
          </c:tx>
          <c:spPr>
            <a:solidFill>
              <a:schemeClr val="accent3">
                <a:lumMod val="6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STATISTIQUES!$D$15:$E$15</c:f>
              <c:numCache>
                <c:formatCode>0.00%</c:formatCode>
                <c:ptCount val="2"/>
                <c:pt idx="0">
                  <c:v>2.35E-2</c:v>
                </c:pt>
                <c:pt idx="1">
                  <c:v>3.2000000000000001E-2</c:v>
                </c:pt>
              </c:numCache>
            </c:numRef>
          </c:val>
          <c:extLst>
            <c:ext xmlns:c16="http://schemas.microsoft.com/office/drawing/2014/chart" uri="{C3380CC4-5D6E-409C-BE32-E72D297353CC}">
              <c16:uniqueId val="{00000008-0953-4993-8551-8A2022509317}"/>
            </c:ext>
          </c:extLst>
        </c:ser>
        <c:ser>
          <c:idx val="9"/>
          <c:order val="9"/>
          <c:tx>
            <c:strRef>
              <c:f>STATISTIQUES!$C$16</c:f>
              <c:strCache>
                <c:ptCount val="1"/>
                <c:pt idx="0">
                  <c:v>SENS</c:v>
                </c:pt>
              </c:strCache>
            </c:strRef>
          </c:tx>
          <c:spPr>
            <a:solidFill>
              <a:schemeClr val="accent4">
                <a:lumMod val="6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STATISTIQUES!$D$16:$E$16</c:f>
              <c:numCache>
                <c:formatCode>0.00%</c:formatCode>
                <c:ptCount val="2"/>
                <c:pt idx="0">
                  <c:v>2.35E-2</c:v>
                </c:pt>
                <c:pt idx="1">
                  <c:v>2.7400000000000001E-2</c:v>
                </c:pt>
              </c:numCache>
            </c:numRef>
          </c:val>
          <c:extLst>
            <c:ext xmlns:c16="http://schemas.microsoft.com/office/drawing/2014/chart" uri="{C3380CC4-5D6E-409C-BE32-E72D297353CC}">
              <c16:uniqueId val="{00000009-0953-4993-8551-8A2022509317}"/>
            </c:ext>
          </c:extLst>
        </c:ser>
        <c:ser>
          <c:idx val="10"/>
          <c:order val="10"/>
          <c:tx>
            <c:strRef>
              <c:f>STATISTIQUES!$C$17</c:f>
              <c:strCache>
                <c:ptCount val="1"/>
                <c:pt idx="0">
                  <c:v>FA</c:v>
                </c:pt>
              </c:strCache>
            </c:strRef>
          </c:tx>
          <c:spPr>
            <a:solidFill>
              <a:schemeClr val="accent5">
                <a:lumMod val="6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STATISTIQUES!$D$17:$E$17</c:f>
              <c:numCache>
                <c:formatCode>0.00%</c:formatCode>
                <c:ptCount val="2"/>
                <c:pt idx="0">
                  <c:v>2.35E-2</c:v>
                </c:pt>
                <c:pt idx="1">
                  <c:v>1.83E-2</c:v>
                </c:pt>
              </c:numCache>
            </c:numRef>
          </c:val>
          <c:extLst>
            <c:ext xmlns:c16="http://schemas.microsoft.com/office/drawing/2014/chart" uri="{C3380CC4-5D6E-409C-BE32-E72D297353CC}">
              <c16:uniqueId val="{0000000A-0953-4993-8551-8A2022509317}"/>
            </c:ext>
          </c:extLst>
        </c:ser>
        <c:ser>
          <c:idx val="11"/>
          <c:order val="11"/>
          <c:tx>
            <c:strRef>
              <c:f>STATISTIQUES!$C$18</c:f>
              <c:strCache>
                <c:ptCount val="1"/>
                <c:pt idx="0">
                  <c:v>NTD</c:v>
                </c:pt>
              </c:strCache>
            </c:strRef>
          </c:tx>
          <c:spPr>
            <a:solidFill>
              <a:schemeClr val="accent6">
                <a:lumMod val="6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STATISTIQUES!$D$18:$E$18</c:f>
              <c:numCache>
                <c:formatCode>0.00%</c:formatCode>
                <c:ptCount val="2"/>
                <c:pt idx="0">
                  <c:v>2.35E-2</c:v>
                </c:pt>
                <c:pt idx="1">
                  <c:v>1.83E-2</c:v>
                </c:pt>
              </c:numCache>
            </c:numRef>
          </c:val>
          <c:extLst>
            <c:ext xmlns:c16="http://schemas.microsoft.com/office/drawing/2014/chart" uri="{C3380CC4-5D6E-409C-BE32-E72D297353CC}">
              <c16:uniqueId val="{0000000B-0953-4993-8551-8A2022509317}"/>
            </c:ext>
          </c:extLst>
        </c:ser>
        <c:ser>
          <c:idx val="12"/>
          <c:order val="12"/>
          <c:tx>
            <c:strRef>
              <c:f>STATISTIQUES!$C$19</c:f>
              <c:strCache>
                <c:ptCount val="1"/>
                <c:pt idx="0">
                  <c:v>RPD</c:v>
                </c:pt>
              </c:strCache>
            </c:strRef>
          </c:tx>
          <c:spPr>
            <a:solidFill>
              <a:schemeClr val="accent1">
                <a:lumMod val="80000"/>
                <a:lumOff val="20000"/>
              </a:schemeClr>
            </a:solidFill>
            <a:ln>
              <a:noFill/>
            </a:ln>
            <a:effectLst/>
            <a:scene3d>
              <a:camera prst="orthographicFront"/>
              <a:lightRig rig="threePt" dir="t"/>
            </a:scene3d>
            <a:sp3d>
              <a:bevelT/>
            </a:sp3d>
          </c:spPr>
          <c:invertIfNegative val="0"/>
          <c:cat>
            <c:strRef>
              <c:f>STATISTIQUES!$D$6:$E$6</c:f>
              <c:strCache>
                <c:ptCount val="2"/>
                <c:pt idx="0">
                  <c:v>% NA</c:v>
                </c:pt>
                <c:pt idx="1">
                  <c:v>% NI</c:v>
                </c:pt>
              </c:strCache>
            </c:strRef>
          </c:cat>
          <c:val>
            <c:numRef>
              <c:f>STATISTIQUES!$D$19:$E$19</c:f>
              <c:numCache>
                <c:formatCode>0.00%</c:formatCode>
                <c:ptCount val="2"/>
                <c:pt idx="0">
                  <c:v>2.35E-2</c:v>
                </c:pt>
                <c:pt idx="1">
                  <c:v>1.83E-2</c:v>
                </c:pt>
              </c:numCache>
            </c:numRef>
          </c:val>
          <c:extLst>
            <c:ext xmlns:c16="http://schemas.microsoft.com/office/drawing/2014/chart" uri="{C3380CC4-5D6E-409C-BE32-E72D297353CC}">
              <c16:uniqueId val="{0000000C-0953-4993-8551-8A2022509317}"/>
            </c:ext>
          </c:extLst>
        </c:ser>
        <c:dLbls>
          <c:showLegendKey val="0"/>
          <c:showVal val="0"/>
          <c:showCatName val="0"/>
          <c:showSerName val="0"/>
          <c:showPercent val="0"/>
          <c:showBubbleSize val="0"/>
        </c:dLbls>
        <c:gapWidth val="219"/>
        <c:overlap val="-27"/>
        <c:axId val="155933048"/>
        <c:axId val="155933440"/>
      </c:barChart>
      <c:catAx>
        <c:axId val="155933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55933440"/>
        <c:crosses val="autoZero"/>
        <c:auto val="1"/>
        <c:lblAlgn val="ctr"/>
        <c:lblOffset val="100"/>
        <c:noMultiLvlLbl val="0"/>
      </c:catAx>
      <c:valAx>
        <c:axId val="1559334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55933048"/>
        <c:crosses val="autoZero"/>
        <c:crossBetween val="between"/>
      </c:valAx>
      <c:spPr>
        <a:noFill/>
        <a:ln>
          <a:noFill/>
        </a:ln>
        <a:effectLst/>
      </c:spPr>
    </c:plotArea>
    <c:legend>
      <c:legendPos val="b"/>
      <c:layout>
        <c:manualLayout>
          <c:xMode val="edge"/>
          <c:yMode val="edge"/>
          <c:x val="1.99508114024372E-2"/>
          <c:y val="0.86326997156629703"/>
          <c:w val="0.95309906902459396"/>
          <c:h val="0.11528231329088399"/>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Feuil1!$B$37</c:f>
              <c:strCache>
                <c:ptCount val="1"/>
                <c:pt idx="0">
                  <c:v>Gouvernement</c:v>
                </c:pt>
              </c:strCache>
            </c:strRef>
          </c:tx>
          <c:spPr>
            <a:solidFill>
              <a:schemeClr val="accent1"/>
            </a:solidFill>
            <a:ln>
              <a:noFill/>
            </a:ln>
            <a:effectLst/>
          </c:spPr>
          <c:invertIfNegative val="0"/>
          <c:dPt>
            <c:idx val="0"/>
            <c:invertIfNegative val="0"/>
            <c:bubble3D val="0"/>
            <c:spPr>
              <a:solidFill>
                <a:schemeClr val="accent1"/>
              </a:solidFill>
              <a:ln>
                <a:noFill/>
              </a:ln>
              <a:effectLst/>
              <a:scene3d>
                <a:camera prst="orthographicFront"/>
                <a:lightRig rig="threePt" dir="t"/>
              </a:scene3d>
              <a:sp3d>
                <a:bevelT/>
              </a:sp3d>
            </c:spPr>
            <c:extLst>
              <c:ext xmlns:c16="http://schemas.microsoft.com/office/drawing/2014/chart" uri="{C3380CC4-5D6E-409C-BE32-E72D297353CC}">
                <c16:uniqueId val="{00000001-5C42-4503-AD3E-94AC8E9CC45B}"/>
              </c:ext>
            </c:extLst>
          </c:dPt>
          <c:cat>
            <c:strRef>
              <c:f>Feuil1!$C$36:$D$36</c:f>
              <c:strCache>
                <c:ptCount val="2"/>
                <c:pt idx="0">
                  <c:v>% NA</c:v>
                </c:pt>
                <c:pt idx="1">
                  <c:v>% NI</c:v>
                </c:pt>
              </c:strCache>
            </c:strRef>
          </c:cat>
          <c:val>
            <c:numRef>
              <c:f>Feuil1!$C$37:$D$37</c:f>
              <c:numCache>
                <c:formatCode>0.00%</c:formatCode>
                <c:ptCount val="2"/>
                <c:pt idx="0">
                  <c:v>0.50529999999999997</c:v>
                </c:pt>
                <c:pt idx="1">
                  <c:v>0.4955</c:v>
                </c:pt>
              </c:numCache>
            </c:numRef>
          </c:val>
          <c:extLst>
            <c:ext xmlns:c16="http://schemas.microsoft.com/office/drawing/2014/chart" uri="{C3380CC4-5D6E-409C-BE32-E72D297353CC}">
              <c16:uniqueId val="{00000002-5C42-4503-AD3E-94AC8E9CC45B}"/>
            </c:ext>
          </c:extLst>
        </c:ser>
        <c:ser>
          <c:idx val="1"/>
          <c:order val="1"/>
          <c:tx>
            <c:strRef>
              <c:f>Feuil1!$B$38</c:f>
              <c:strCache>
                <c:ptCount val="1"/>
                <c:pt idx="0">
                  <c:v>OSC</c:v>
                </c:pt>
              </c:strCache>
            </c:strRef>
          </c:tx>
          <c:spPr>
            <a:solidFill>
              <a:schemeClr val="accent2"/>
            </a:solidFill>
            <a:ln>
              <a:noFill/>
            </a:ln>
            <a:effectLst/>
            <a:scene3d>
              <a:camera prst="orthographicFront"/>
              <a:lightRig rig="threePt" dir="t"/>
            </a:scene3d>
            <a:sp3d>
              <a:bevelT/>
            </a:sp3d>
          </c:spPr>
          <c:invertIfNegative val="0"/>
          <c:cat>
            <c:strRef>
              <c:f>Feuil1!$C$36:$D$36</c:f>
              <c:strCache>
                <c:ptCount val="2"/>
                <c:pt idx="0">
                  <c:v>% NA</c:v>
                </c:pt>
                <c:pt idx="1">
                  <c:v>% NI</c:v>
                </c:pt>
              </c:strCache>
            </c:strRef>
          </c:cat>
          <c:val>
            <c:numRef>
              <c:f>Feuil1!$C$38:$D$38</c:f>
              <c:numCache>
                <c:formatCode>0.00%</c:formatCode>
                <c:ptCount val="2"/>
                <c:pt idx="0">
                  <c:v>0.22140000000000001</c:v>
                </c:pt>
                <c:pt idx="1">
                  <c:v>0.2366</c:v>
                </c:pt>
              </c:numCache>
            </c:numRef>
          </c:val>
          <c:extLst>
            <c:ext xmlns:c16="http://schemas.microsoft.com/office/drawing/2014/chart" uri="{C3380CC4-5D6E-409C-BE32-E72D297353CC}">
              <c16:uniqueId val="{00000003-5C42-4503-AD3E-94AC8E9CC45B}"/>
            </c:ext>
          </c:extLst>
        </c:ser>
        <c:ser>
          <c:idx val="2"/>
          <c:order val="2"/>
          <c:tx>
            <c:strRef>
              <c:f>Feuil1!$B$39</c:f>
              <c:strCache>
                <c:ptCount val="1"/>
                <c:pt idx="0">
                  <c:v>Présidence</c:v>
                </c:pt>
              </c:strCache>
            </c:strRef>
          </c:tx>
          <c:spPr>
            <a:solidFill>
              <a:schemeClr val="accent3"/>
            </a:solidFill>
            <a:ln>
              <a:noFill/>
            </a:ln>
            <a:effectLst/>
            <a:scene3d>
              <a:camera prst="orthographicFront"/>
              <a:lightRig rig="threePt" dir="t"/>
            </a:scene3d>
            <a:sp3d>
              <a:bevelT/>
            </a:sp3d>
          </c:spPr>
          <c:invertIfNegative val="0"/>
          <c:cat>
            <c:strRef>
              <c:f>Feuil1!$C$36:$D$36</c:f>
              <c:strCache>
                <c:ptCount val="2"/>
                <c:pt idx="0">
                  <c:v>% NA</c:v>
                </c:pt>
                <c:pt idx="1">
                  <c:v>% NI</c:v>
                </c:pt>
              </c:strCache>
            </c:strRef>
          </c:cat>
          <c:val>
            <c:numRef>
              <c:f>Feuil1!$C$39:$D$39</c:f>
              <c:numCache>
                <c:formatCode>0.00%</c:formatCode>
                <c:ptCount val="2"/>
                <c:pt idx="0">
                  <c:v>0.16339999999999999</c:v>
                </c:pt>
                <c:pt idx="1">
                  <c:v>0.16039999999999999</c:v>
                </c:pt>
              </c:numCache>
            </c:numRef>
          </c:val>
          <c:extLst>
            <c:ext xmlns:c16="http://schemas.microsoft.com/office/drawing/2014/chart" uri="{C3380CC4-5D6E-409C-BE32-E72D297353CC}">
              <c16:uniqueId val="{00000004-5C42-4503-AD3E-94AC8E9CC45B}"/>
            </c:ext>
          </c:extLst>
        </c:ser>
        <c:ser>
          <c:idx val="3"/>
          <c:order val="3"/>
          <c:tx>
            <c:strRef>
              <c:f>Feuil1!$B$40</c:f>
              <c:strCache>
                <c:ptCount val="1"/>
                <c:pt idx="0">
                  <c:v>Partis politiques</c:v>
                </c:pt>
              </c:strCache>
            </c:strRef>
          </c:tx>
          <c:spPr>
            <a:solidFill>
              <a:schemeClr val="accent4"/>
            </a:solidFill>
            <a:ln>
              <a:noFill/>
            </a:ln>
            <a:effectLst/>
            <a:scene3d>
              <a:camera prst="orthographicFront"/>
              <a:lightRig rig="threePt" dir="t"/>
            </a:scene3d>
            <a:sp3d>
              <a:bevelT/>
            </a:sp3d>
          </c:spPr>
          <c:invertIfNegative val="0"/>
          <c:cat>
            <c:strRef>
              <c:f>Feuil1!$C$36:$D$36</c:f>
              <c:strCache>
                <c:ptCount val="2"/>
                <c:pt idx="0">
                  <c:v>% NA</c:v>
                </c:pt>
                <c:pt idx="1">
                  <c:v>% NI</c:v>
                </c:pt>
              </c:strCache>
            </c:strRef>
          </c:cat>
          <c:val>
            <c:numRef>
              <c:f>Feuil1!$C$40:$D$40</c:f>
              <c:numCache>
                <c:formatCode>0.00%</c:formatCode>
                <c:ptCount val="2"/>
                <c:pt idx="0">
                  <c:v>4.4299999999999999E-2</c:v>
                </c:pt>
                <c:pt idx="1">
                  <c:v>3.1300000000000001E-2</c:v>
                </c:pt>
              </c:numCache>
            </c:numRef>
          </c:val>
          <c:extLst>
            <c:ext xmlns:c16="http://schemas.microsoft.com/office/drawing/2014/chart" uri="{C3380CC4-5D6E-409C-BE32-E72D297353CC}">
              <c16:uniqueId val="{00000005-5C42-4503-AD3E-94AC8E9CC45B}"/>
            </c:ext>
          </c:extLst>
        </c:ser>
        <c:ser>
          <c:idx val="4"/>
          <c:order val="4"/>
          <c:tx>
            <c:strRef>
              <c:f>Feuil1!$B$41</c:f>
              <c:strCache>
                <c:ptCount val="1"/>
                <c:pt idx="0">
                  <c:v>ALT</c:v>
                </c:pt>
              </c:strCache>
            </c:strRef>
          </c:tx>
          <c:spPr>
            <a:solidFill>
              <a:schemeClr val="accent5"/>
            </a:solidFill>
            <a:ln>
              <a:noFill/>
            </a:ln>
            <a:effectLst/>
            <a:scene3d>
              <a:camera prst="orthographicFront"/>
              <a:lightRig rig="threePt" dir="t"/>
            </a:scene3d>
            <a:sp3d>
              <a:bevelT/>
            </a:sp3d>
          </c:spPr>
          <c:invertIfNegative val="0"/>
          <c:cat>
            <c:strRef>
              <c:f>Feuil1!$C$36:$D$36</c:f>
              <c:strCache>
                <c:ptCount val="2"/>
                <c:pt idx="0">
                  <c:v>% NA</c:v>
                </c:pt>
                <c:pt idx="1">
                  <c:v>% NI</c:v>
                </c:pt>
              </c:strCache>
            </c:strRef>
          </c:cat>
          <c:val>
            <c:numRef>
              <c:f>Feuil1!$C$41:$D$41</c:f>
              <c:numCache>
                <c:formatCode>0.00%</c:formatCode>
                <c:ptCount val="2"/>
                <c:pt idx="0">
                  <c:v>3.5099999999999999E-2</c:v>
                </c:pt>
                <c:pt idx="1">
                  <c:v>0.05</c:v>
                </c:pt>
              </c:numCache>
            </c:numRef>
          </c:val>
          <c:extLst>
            <c:ext xmlns:c16="http://schemas.microsoft.com/office/drawing/2014/chart" uri="{C3380CC4-5D6E-409C-BE32-E72D297353CC}">
              <c16:uniqueId val="{00000006-5C42-4503-AD3E-94AC8E9CC45B}"/>
            </c:ext>
          </c:extLst>
        </c:ser>
        <c:ser>
          <c:idx val="5"/>
          <c:order val="5"/>
          <c:tx>
            <c:strRef>
              <c:f>Feuil1!$B$42</c:f>
              <c:strCache>
                <c:ptCount val="1"/>
                <c:pt idx="0">
                  <c:v>Autres Institutions</c:v>
                </c:pt>
              </c:strCache>
            </c:strRef>
          </c:tx>
          <c:spPr>
            <a:solidFill>
              <a:schemeClr val="accent6"/>
            </a:solidFill>
            <a:ln>
              <a:noFill/>
            </a:ln>
            <a:effectLst/>
            <a:scene3d>
              <a:camera prst="orthographicFront"/>
              <a:lightRig rig="threePt" dir="t"/>
            </a:scene3d>
            <a:sp3d>
              <a:bevelT/>
            </a:sp3d>
          </c:spPr>
          <c:invertIfNegative val="0"/>
          <c:cat>
            <c:strRef>
              <c:f>Feuil1!$C$36:$D$36</c:f>
              <c:strCache>
                <c:ptCount val="2"/>
                <c:pt idx="0">
                  <c:v>% NA</c:v>
                </c:pt>
                <c:pt idx="1">
                  <c:v>% NI</c:v>
                </c:pt>
              </c:strCache>
            </c:strRef>
          </c:cat>
          <c:val>
            <c:numRef>
              <c:f>Feuil1!$C$42:$D$42</c:f>
              <c:numCache>
                <c:formatCode>0.00%</c:formatCode>
                <c:ptCount val="2"/>
                <c:pt idx="0">
                  <c:v>3.0499999999999999E-2</c:v>
                </c:pt>
                <c:pt idx="1">
                  <c:v>2.6100000000000002E-2</c:v>
                </c:pt>
              </c:numCache>
            </c:numRef>
          </c:val>
          <c:extLst>
            <c:ext xmlns:c16="http://schemas.microsoft.com/office/drawing/2014/chart" uri="{C3380CC4-5D6E-409C-BE32-E72D297353CC}">
              <c16:uniqueId val="{00000007-5C42-4503-AD3E-94AC8E9CC45B}"/>
            </c:ext>
          </c:extLst>
        </c:ser>
        <c:dLbls>
          <c:showLegendKey val="0"/>
          <c:showVal val="0"/>
          <c:showCatName val="0"/>
          <c:showSerName val="0"/>
          <c:showPercent val="0"/>
          <c:showBubbleSize val="0"/>
        </c:dLbls>
        <c:gapWidth val="219"/>
        <c:overlap val="-27"/>
        <c:axId val="1822488847"/>
        <c:axId val="1822488015"/>
      </c:barChart>
      <c:catAx>
        <c:axId val="1822488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822488015"/>
        <c:crosses val="autoZero"/>
        <c:auto val="1"/>
        <c:lblAlgn val="ctr"/>
        <c:lblOffset val="100"/>
        <c:noMultiLvlLbl val="0"/>
      </c:catAx>
      <c:valAx>
        <c:axId val="182248801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822488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r>
              <a:rPr lang="en-US" b="1"/>
              <a:t>THEMES</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Feuil2!$B$9</c:f>
              <c:strCache>
                <c:ptCount val="1"/>
                <c:pt idx="0">
                  <c:v>RELIGION</c:v>
                </c:pt>
              </c:strCache>
            </c:strRef>
          </c:tx>
          <c:spPr>
            <a:solidFill>
              <a:schemeClr val="accent1"/>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(Feuil2!$D$9,Feuil2!$F$9)</c:f>
              <c:numCache>
                <c:formatCode>0.00%</c:formatCode>
                <c:ptCount val="2"/>
                <c:pt idx="0">
                  <c:v>0.309338521400778</c:v>
                </c:pt>
                <c:pt idx="1">
                  <c:v>0.37267688294750601</c:v>
                </c:pt>
              </c:numCache>
            </c:numRef>
          </c:val>
          <c:extLst>
            <c:ext xmlns:c16="http://schemas.microsoft.com/office/drawing/2014/chart" uri="{C3380CC4-5D6E-409C-BE32-E72D297353CC}">
              <c16:uniqueId val="{00000000-3578-43EB-8AE8-CE8FC9297C08}"/>
            </c:ext>
          </c:extLst>
        </c:ser>
        <c:ser>
          <c:idx val="1"/>
          <c:order val="1"/>
          <c:tx>
            <c:strRef>
              <c:f>Feuil2!$B$10</c:f>
              <c:strCache>
                <c:ptCount val="1"/>
                <c:pt idx="0">
                  <c:v>SANTE</c:v>
                </c:pt>
              </c:strCache>
            </c:strRef>
          </c:tx>
          <c:spPr>
            <a:solidFill>
              <a:schemeClr val="accent2"/>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(Feuil2!$D$10,Feuil2!$F$10)</c:f>
              <c:numCache>
                <c:formatCode>0.00%</c:formatCode>
                <c:ptCount val="2"/>
                <c:pt idx="0">
                  <c:v>0.30609597924773002</c:v>
                </c:pt>
                <c:pt idx="1">
                  <c:v>0.247799152266058</c:v>
                </c:pt>
              </c:numCache>
            </c:numRef>
          </c:val>
          <c:extLst>
            <c:ext xmlns:c16="http://schemas.microsoft.com/office/drawing/2014/chart" uri="{C3380CC4-5D6E-409C-BE32-E72D297353CC}">
              <c16:uniqueId val="{00000001-3578-43EB-8AE8-CE8FC9297C08}"/>
            </c:ext>
          </c:extLst>
        </c:ser>
        <c:ser>
          <c:idx val="2"/>
          <c:order val="2"/>
          <c:tx>
            <c:strRef>
              <c:f>Feuil2!$B$11</c:f>
              <c:strCache>
                <c:ptCount val="1"/>
                <c:pt idx="0">
                  <c:v>POLITIQUE</c:v>
                </c:pt>
              </c:strCache>
            </c:strRef>
          </c:tx>
          <c:spPr>
            <a:solidFill>
              <a:schemeClr val="accent3"/>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(Feuil2!$D$11,Feuil2!$F$11)</c:f>
              <c:numCache>
                <c:formatCode>0.00%</c:formatCode>
                <c:ptCount val="2"/>
                <c:pt idx="0">
                  <c:v>0.133592736705577</c:v>
                </c:pt>
                <c:pt idx="1">
                  <c:v>0.167916530811868</c:v>
                </c:pt>
              </c:numCache>
            </c:numRef>
          </c:val>
          <c:extLst>
            <c:ext xmlns:c16="http://schemas.microsoft.com/office/drawing/2014/chart" uri="{C3380CC4-5D6E-409C-BE32-E72D297353CC}">
              <c16:uniqueId val="{00000002-3578-43EB-8AE8-CE8FC9297C08}"/>
            </c:ext>
          </c:extLst>
        </c:ser>
        <c:ser>
          <c:idx val="3"/>
          <c:order val="3"/>
          <c:tx>
            <c:strRef>
              <c:f>Feuil2!$B$12</c:f>
              <c:strCache>
                <c:ptCount val="1"/>
                <c:pt idx="0">
                  <c:v>ECONOMIE</c:v>
                </c:pt>
              </c:strCache>
            </c:strRef>
          </c:tx>
          <c:spPr>
            <a:solidFill>
              <a:schemeClr val="accent4"/>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(Feuil2!$D$12,Feuil2!$F$12)</c:f>
              <c:numCache>
                <c:formatCode>0.00%</c:formatCode>
                <c:ptCount val="2"/>
                <c:pt idx="0">
                  <c:v>0.106355382619974</c:v>
                </c:pt>
                <c:pt idx="1">
                  <c:v>6.1297685034235397E-2</c:v>
                </c:pt>
              </c:numCache>
            </c:numRef>
          </c:val>
          <c:extLst>
            <c:ext xmlns:c16="http://schemas.microsoft.com/office/drawing/2014/chart" uri="{C3380CC4-5D6E-409C-BE32-E72D297353CC}">
              <c16:uniqueId val="{00000003-3578-43EB-8AE8-CE8FC9297C08}"/>
            </c:ext>
          </c:extLst>
        </c:ser>
        <c:ser>
          <c:idx val="4"/>
          <c:order val="4"/>
          <c:tx>
            <c:strRef>
              <c:f>Feuil2!$B$13</c:f>
              <c:strCache>
                <c:ptCount val="1"/>
                <c:pt idx="0">
                  <c:v>SOCIETE</c:v>
                </c:pt>
              </c:strCache>
            </c:strRef>
          </c:tx>
          <c:spPr>
            <a:solidFill>
              <a:schemeClr val="accent5"/>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(Feuil2!$D$13,Feuil2!$F$13)</c:f>
              <c:numCache>
                <c:formatCode>0.00%</c:formatCode>
                <c:ptCount val="2"/>
                <c:pt idx="0">
                  <c:v>8.0415045395590107E-2</c:v>
                </c:pt>
                <c:pt idx="1">
                  <c:v>6.6514509292468202E-2</c:v>
                </c:pt>
              </c:numCache>
            </c:numRef>
          </c:val>
          <c:extLst>
            <c:ext xmlns:c16="http://schemas.microsoft.com/office/drawing/2014/chart" uri="{C3380CC4-5D6E-409C-BE32-E72D297353CC}">
              <c16:uniqueId val="{00000004-3578-43EB-8AE8-CE8FC9297C08}"/>
            </c:ext>
          </c:extLst>
        </c:ser>
        <c:ser>
          <c:idx val="5"/>
          <c:order val="5"/>
          <c:tx>
            <c:strRef>
              <c:f>Feuil2!$B$14</c:f>
              <c:strCache>
                <c:ptCount val="1"/>
                <c:pt idx="0">
                  <c:v>CULTURE</c:v>
                </c:pt>
              </c:strCache>
            </c:strRef>
          </c:tx>
          <c:spPr>
            <a:solidFill>
              <a:schemeClr val="accent6"/>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(Feuil2!$D$14,Feuil2!$F$14)</c:f>
              <c:numCache>
                <c:formatCode>0.00%</c:formatCode>
                <c:ptCount val="2"/>
                <c:pt idx="0">
                  <c:v>2.7237354085603099E-2</c:v>
                </c:pt>
                <c:pt idx="1">
                  <c:v>3.3583306162373698E-2</c:v>
                </c:pt>
              </c:numCache>
            </c:numRef>
          </c:val>
          <c:extLst>
            <c:ext xmlns:c16="http://schemas.microsoft.com/office/drawing/2014/chart" uri="{C3380CC4-5D6E-409C-BE32-E72D297353CC}">
              <c16:uniqueId val="{00000005-3578-43EB-8AE8-CE8FC9297C08}"/>
            </c:ext>
          </c:extLst>
        </c:ser>
        <c:ser>
          <c:idx val="6"/>
          <c:order val="6"/>
          <c:tx>
            <c:strRef>
              <c:f>Feuil2!$B$15</c:f>
              <c:strCache>
                <c:ptCount val="1"/>
                <c:pt idx="0">
                  <c:v>SECURITE</c:v>
                </c:pt>
              </c:strCache>
            </c:strRef>
          </c:tx>
          <c:spPr>
            <a:solidFill>
              <a:schemeClr val="accent1">
                <a:lumMod val="60000"/>
              </a:schemeClr>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(Feuil2!$D$15,Feuil2!$F$15)</c:f>
              <c:numCache>
                <c:formatCode>0.00%</c:formatCode>
                <c:ptCount val="2"/>
                <c:pt idx="0">
                  <c:v>2.0103761348897499E-2</c:v>
                </c:pt>
                <c:pt idx="1">
                  <c:v>2.0867297032931199E-2</c:v>
                </c:pt>
              </c:numCache>
            </c:numRef>
          </c:val>
          <c:extLst>
            <c:ext xmlns:c16="http://schemas.microsoft.com/office/drawing/2014/chart" uri="{C3380CC4-5D6E-409C-BE32-E72D297353CC}">
              <c16:uniqueId val="{00000006-3578-43EB-8AE8-CE8FC9297C08}"/>
            </c:ext>
          </c:extLst>
        </c:ser>
        <c:ser>
          <c:idx val="7"/>
          <c:order val="7"/>
          <c:tx>
            <c:strRef>
              <c:f>Feuil2!$B$16</c:f>
              <c:strCache>
                <c:ptCount val="1"/>
                <c:pt idx="0">
                  <c:v>GENRE</c:v>
                </c:pt>
              </c:strCache>
            </c:strRef>
          </c:tx>
          <c:spPr>
            <a:solidFill>
              <a:schemeClr val="accent2">
                <a:lumMod val="60000"/>
              </a:schemeClr>
            </a:solidFill>
            <a:ln>
              <a:noFill/>
            </a:ln>
            <a:effectLst/>
            <a:scene3d>
              <a:camera prst="orthographicFront"/>
              <a:lightRig rig="threePt" dir="t"/>
            </a:scene3d>
            <a:sp3d prstMaterial="matte">
              <a:bevelT w="127000" h="63500"/>
            </a:sp3d>
          </c:spPr>
          <c:invertIfNegative val="0"/>
          <c:cat>
            <c:strRef>
              <c:f>(Feuil2!$D$8,Feuil2!$F$8)</c:f>
              <c:strCache>
                <c:ptCount val="2"/>
                <c:pt idx="0">
                  <c:v>% NA</c:v>
                </c:pt>
                <c:pt idx="1">
                  <c:v>% NI</c:v>
                </c:pt>
              </c:strCache>
            </c:strRef>
          </c:cat>
          <c:val>
            <c:numRef>
              <c:f>(Feuil2!$D$16,Feuil2!$F$16)</c:f>
              <c:numCache>
                <c:formatCode>0.00%</c:formatCode>
                <c:ptCount val="2"/>
                <c:pt idx="0">
                  <c:v>1.68612191958495E-2</c:v>
                </c:pt>
                <c:pt idx="1">
                  <c:v>2.9344636452559501E-2</c:v>
                </c:pt>
              </c:numCache>
            </c:numRef>
          </c:val>
          <c:extLst>
            <c:ext xmlns:c16="http://schemas.microsoft.com/office/drawing/2014/chart" uri="{C3380CC4-5D6E-409C-BE32-E72D297353CC}">
              <c16:uniqueId val="{00000007-3578-43EB-8AE8-CE8FC9297C08}"/>
            </c:ext>
          </c:extLst>
        </c:ser>
        <c:dLbls>
          <c:showLegendKey val="0"/>
          <c:showVal val="0"/>
          <c:showCatName val="0"/>
          <c:showSerName val="0"/>
          <c:showPercent val="0"/>
          <c:showBubbleSize val="0"/>
        </c:dLbls>
        <c:gapWidth val="219"/>
        <c:overlap val="-27"/>
        <c:axId val="1157260352"/>
        <c:axId val="1157256608"/>
      </c:barChart>
      <c:catAx>
        <c:axId val="1157260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157256608"/>
        <c:crosses val="autoZero"/>
        <c:auto val="1"/>
        <c:lblAlgn val="ctr"/>
        <c:lblOffset val="100"/>
        <c:noMultiLvlLbl val="0"/>
      </c:catAx>
      <c:valAx>
        <c:axId val="11572566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157260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Feuil1!$L$45</c:f>
              <c:strCache>
                <c:ptCount val="1"/>
                <c:pt idx="0">
                  <c:v>www.actualites.bf </c:v>
                </c:pt>
              </c:strCache>
            </c:strRef>
          </c:tx>
          <c:spPr>
            <a:solidFill>
              <a:schemeClr val="accent1"/>
            </a:solidFill>
            <a:ln>
              <a:noFill/>
            </a:ln>
            <a:effectLst/>
            <a:scene3d>
              <a:camera prst="orthographicFront"/>
              <a:lightRig rig="threePt" dir="t"/>
            </a:scene3d>
            <a:sp3d>
              <a:bevelT/>
            </a:sp3d>
          </c:spPr>
          <c:invertIfNegative val="0"/>
          <c:cat>
            <c:strRef>
              <c:f>(Feuil1!$N$44,Feuil1!$P$44)</c:f>
              <c:strCache>
                <c:ptCount val="2"/>
                <c:pt idx="0">
                  <c:v>%NA</c:v>
                </c:pt>
                <c:pt idx="1">
                  <c:v>%NI</c:v>
                </c:pt>
              </c:strCache>
            </c:strRef>
          </c:cat>
          <c:val>
            <c:numRef>
              <c:f>(Feuil1!$N$45,Feuil1!$P$45)</c:f>
              <c:numCache>
                <c:formatCode>0.00%</c:formatCode>
                <c:ptCount val="2"/>
                <c:pt idx="0">
                  <c:v>0.3649</c:v>
                </c:pt>
                <c:pt idx="1">
                  <c:v>0.29899999999999999</c:v>
                </c:pt>
              </c:numCache>
            </c:numRef>
          </c:val>
          <c:extLst>
            <c:ext xmlns:c16="http://schemas.microsoft.com/office/drawing/2014/chart" uri="{C3380CC4-5D6E-409C-BE32-E72D297353CC}">
              <c16:uniqueId val="{00000000-A1EC-438D-A57E-7DCE055389CC}"/>
            </c:ext>
          </c:extLst>
        </c:ser>
        <c:ser>
          <c:idx val="1"/>
          <c:order val="1"/>
          <c:tx>
            <c:strRef>
              <c:f>Feuil1!$L$46</c:f>
              <c:strCache>
                <c:ptCount val="1"/>
                <c:pt idx="0">
                  <c:v>www.minute.bf</c:v>
                </c:pt>
              </c:strCache>
            </c:strRef>
          </c:tx>
          <c:spPr>
            <a:solidFill>
              <a:schemeClr val="accent2"/>
            </a:solidFill>
            <a:ln>
              <a:noFill/>
            </a:ln>
            <a:effectLst/>
            <a:scene3d>
              <a:camera prst="orthographicFront"/>
              <a:lightRig rig="threePt" dir="t"/>
            </a:scene3d>
            <a:sp3d>
              <a:bevelT/>
            </a:sp3d>
          </c:spPr>
          <c:invertIfNegative val="0"/>
          <c:cat>
            <c:strRef>
              <c:f>(Feuil1!$N$44,Feuil1!$P$44)</c:f>
              <c:strCache>
                <c:ptCount val="2"/>
                <c:pt idx="0">
                  <c:v>%NA</c:v>
                </c:pt>
                <c:pt idx="1">
                  <c:v>%NI</c:v>
                </c:pt>
              </c:strCache>
            </c:strRef>
          </c:cat>
          <c:val>
            <c:numRef>
              <c:f>(Feuil1!$N$46,Feuil1!$P$46)</c:f>
              <c:numCache>
                <c:formatCode>0.00%</c:formatCode>
                <c:ptCount val="2"/>
                <c:pt idx="0">
                  <c:v>0.2432</c:v>
                </c:pt>
                <c:pt idx="1">
                  <c:v>0.24740000000000001</c:v>
                </c:pt>
              </c:numCache>
            </c:numRef>
          </c:val>
          <c:extLst>
            <c:ext xmlns:c16="http://schemas.microsoft.com/office/drawing/2014/chart" uri="{C3380CC4-5D6E-409C-BE32-E72D297353CC}">
              <c16:uniqueId val="{00000001-A1EC-438D-A57E-7DCE055389CC}"/>
            </c:ext>
          </c:extLst>
        </c:ser>
        <c:ser>
          <c:idx val="2"/>
          <c:order val="2"/>
          <c:tx>
            <c:strRef>
              <c:f>Feuil1!$L$47</c:f>
              <c:strCache>
                <c:ptCount val="1"/>
                <c:pt idx="0">
                  <c:v>www.lefaso.net </c:v>
                </c:pt>
              </c:strCache>
            </c:strRef>
          </c:tx>
          <c:spPr>
            <a:solidFill>
              <a:schemeClr val="accent3"/>
            </a:solidFill>
            <a:ln>
              <a:noFill/>
            </a:ln>
            <a:effectLst/>
            <a:scene3d>
              <a:camera prst="orthographicFront"/>
              <a:lightRig rig="threePt" dir="t"/>
            </a:scene3d>
            <a:sp3d>
              <a:bevelT/>
            </a:sp3d>
          </c:spPr>
          <c:invertIfNegative val="0"/>
          <c:cat>
            <c:strRef>
              <c:f>(Feuil1!$N$44,Feuil1!$P$44)</c:f>
              <c:strCache>
                <c:ptCount val="2"/>
                <c:pt idx="0">
                  <c:v>%NA</c:v>
                </c:pt>
                <c:pt idx="1">
                  <c:v>%NI</c:v>
                </c:pt>
              </c:strCache>
            </c:strRef>
          </c:cat>
          <c:val>
            <c:numRef>
              <c:f>(Feuil1!$N$47,Feuil1!$P$47)</c:f>
              <c:numCache>
                <c:formatCode>0.00%</c:formatCode>
                <c:ptCount val="2"/>
                <c:pt idx="0">
                  <c:v>0.22969999999999999</c:v>
                </c:pt>
                <c:pt idx="1">
                  <c:v>0.25769999999999998</c:v>
                </c:pt>
              </c:numCache>
            </c:numRef>
          </c:val>
          <c:extLst>
            <c:ext xmlns:c16="http://schemas.microsoft.com/office/drawing/2014/chart" uri="{C3380CC4-5D6E-409C-BE32-E72D297353CC}">
              <c16:uniqueId val="{00000002-A1EC-438D-A57E-7DCE055389CC}"/>
            </c:ext>
          </c:extLst>
        </c:ser>
        <c:ser>
          <c:idx val="3"/>
          <c:order val="3"/>
          <c:tx>
            <c:strRef>
              <c:f>Feuil1!$L$48</c:f>
              <c:strCache>
                <c:ptCount val="1"/>
                <c:pt idx="0">
                  <c:v>www.burkina24.com </c:v>
                </c:pt>
              </c:strCache>
            </c:strRef>
          </c:tx>
          <c:spPr>
            <a:solidFill>
              <a:schemeClr val="accent4"/>
            </a:solidFill>
            <a:ln>
              <a:noFill/>
            </a:ln>
            <a:effectLst/>
            <a:scene3d>
              <a:camera prst="orthographicFront"/>
              <a:lightRig rig="threePt" dir="t"/>
            </a:scene3d>
            <a:sp3d>
              <a:bevelT/>
            </a:sp3d>
          </c:spPr>
          <c:invertIfNegative val="0"/>
          <c:cat>
            <c:strRef>
              <c:f>(Feuil1!$N$44,Feuil1!$P$44)</c:f>
              <c:strCache>
                <c:ptCount val="2"/>
                <c:pt idx="0">
                  <c:v>%NA</c:v>
                </c:pt>
                <c:pt idx="1">
                  <c:v>%NI</c:v>
                </c:pt>
              </c:strCache>
            </c:strRef>
          </c:cat>
          <c:val>
            <c:numRef>
              <c:f>(Feuil1!$N$48,Feuil1!$P$48)</c:f>
              <c:numCache>
                <c:formatCode>0.00%</c:formatCode>
                <c:ptCount val="2"/>
                <c:pt idx="0">
                  <c:v>0.1081</c:v>
                </c:pt>
                <c:pt idx="1">
                  <c:v>0.14430000000000001</c:v>
                </c:pt>
              </c:numCache>
            </c:numRef>
          </c:val>
          <c:extLst>
            <c:ext xmlns:c16="http://schemas.microsoft.com/office/drawing/2014/chart" uri="{C3380CC4-5D6E-409C-BE32-E72D297353CC}">
              <c16:uniqueId val="{00000003-A1EC-438D-A57E-7DCE055389CC}"/>
            </c:ext>
          </c:extLst>
        </c:ser>
        <c:ser>
          <c:idx val="4"/>
          <c:order val="4"/>
          <c:tx>
            <c:strRef>
              <c:f>Feuil1!$L$49</c:f>
              <c:strCache>
                <c:ptCount val="1"/>
                <c:pt idx="0">
                  <c:v>www.infowakat.net   </c:v>
                </c:pt>
              </c:strCache>
            </c:strRef>
          </c:tx>
          <c:spPr>
            <a:solidFill>
              <a:schemeClr val="accent5"/>
            </a:solidFill>
            <a:ln>
              <a:noFill/>
            </a:ln>
            <a:effectLst/>
            <a:scene3d>
              <a:camera prst="orthographicFront"/>
              <a:lightRig rig="threePt" dir="t"/>
            </a:scene3d>
            <a:sp3d>
              <a:bevelT/>
            </a:sp3d>
          </c:spPr>
          <c:invertIfNegative val="0"/>
          <c:cat>
            <c:strRef>
              <c:f>(Feuil1!$N$44,Feuil1!$P$44)</c:f>
              <c:strCache>
                <c:ptCount val="2"/>
                <c:pt idx="0">
                  <c:v>%NA</c:v>
                </c:pt>
                <c:pt idx="1">
                  <c:v>%NI</c:v>
                </c:pt>
              </c:strCache>
            </c:strRef>
          </c:cat>
          <c:val>
            <c:numRef>
              <c:f>(Feuil1!$N$49,Feuil1!$P$49)</c:f>
              <c:numCache>
                <c:formatCode>0.00%</c:formatCode>
                <c:ptCount val="2"/>
                <c:pt idx="0">
                  <c:v>5.4100000000000002E-2</c:v>
                </c:pt>
                <c:pt idx="1">
                  <c:v>5.1499999999999997E-2</c:v>
                </c:pt>
              </c:numCache>
            </c:numRef>
          </c:val>
          <c:extLst>
            <c:ext xmlns:c16="http://schemas.microsoft.com/office/drawing/2014/chart" uri="{C3380CC4-5D6E-409C-BE32-E72D297353CC}">
              <c16:uniqueId val="{00000004-A1EC-438D-A57E-7DCE055389CC}"/>
            </c:ext>
          </c:extLst>
        </c:ser>
        <c:dLbls>
          <c:showLegendKey val="0"/>
          <c:showVal val="0"/>
          <c:showCatName val="0"/>
          <c:showSerName val="0"/>
          <c:showPercent val="0"/>
          <c:showBubbleSize val="0"/>
        </c:dLbls>
        <c:gapWidth val="219"/>
        <c:overlap val="-27"/>
        <c:axId val="155934224"/>
        <c:axId val="155934616"/>
      </c:barChart>
      <c:catAx>
        <c:axId val="15593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55934616"/>
        <c:crosses val="autoZero"/>
        <c:auto val="1"/>
        <c:lblAlgn val="ctr"/>
        <c:lblOffset val="100"/>
        <c:noMultiLvlLbl val="0"/>
      </c:catAx>
      <c:valAx>
        <c:axId val="1559346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55934224"/>
        <c:crosses val="autoZero"/>
        <c:crossBetween val="between"/>
      </c:valAx>
      <c:spPr>
        <a:noFill/>
        <a:ln>
          <a:noFill/>
        </a:ln>
        <a:effectLst/>
      </c:spPr>
    </c:plotArea>
    <c:legend>
      <c:legendPos val="b"/>
      <c:layout>
        <c:manualLayout>
          <c:xMode val="edge"/>
          <c:yMode val="edge"/>
          <c:x val="2.58375817581275E-2"/>
          <c:y val="0.87485564304461905"/>
          <c:w val="0.94063830094632706"/>
          <c:h val="0.121127647776422"/>
        </c:manualLayout>
      </c:layout>
      <c:overlay val="0"/>
      <c:spPr>
        <a:noFill/>
        <a:ln>
          <a:noFill/>
        </a:ln>
        <a:effectLst/>
      </c:spPr>
      <c:txPr>
        <a:bodyPr rot="0" spcFirstLastPara="1" vertOverflow="ellipsis" vert="horz" wrap="square" anchor="ctr" anchorCtr="1"/>
        <a:lstStyle/>
        <a:p>
          <a:pPr>
            <a:defRPr lang="fr-FR" sz="10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Feuil1!$C$52</c:f>
              <c:strCache>
                <c:ptCount val="1"/>
                <c:pt idx="0">
                  <c:v>www.actualites.bf </c:v>
                </c:pt>
              </c:strCache>
            </c:strRef>
          </c:tx>
          <c:spPr>
            <a:solidFill>
              <a:schemeClr val="accent1"/>
            </a:solidFill>
            <a:ln>
              <a:noFill/>
            </a:ln>
            <a:effectLst/>
            <a:scene3d>
              <a:camera prst="orthographicFront"/>
              <a:lightRig rig="threePt" dir="t"/>
            </a:scene3d>
            <a:sp3d>
              <a:bevelT/>
            </a:sp3d>
          </c:spPr>
          <c:invertIfNegative val="0"/>
          <c:cat>
            <c:strRef>
              <c:f>Feuil1!$D$51:$E$51</c:f>
              <c:strCache>
                <c:ptCount val="2"/>
                <c:pt idx="0">
                  <c:v>%NA</c:v>
                </c:pt>
                <c:pt idx="1">
                  <c:v>%NI</c:v>
                </c:pt>
              </c:strCache>
            </c:strRef>
          </c:cat>
          <c:val>
            <c:numRef>
              <c:f>Feuil1!$D$52:$E$52</c:f>
              <c:numCache>
                <c:formatCode>0.00%</c:formatCode>
                <c:ptCount val="2"/>
                <c:pt idx="0">
                  <c:v>0.3206</c:v>
                </c:pt>
                <c:pt idx="1">
                  <c:v>0.21870000000000001</c:v>
                </c:pt>
              </c:numCache>
            </c:numRef>
          </c:val>
          <c:extLst>
            <c:ext xmlns:c16="http://schemas.microsoft.com/office/drawing/2014/chart" uri="{C3380CC4-5D6E-409C-BE32-E72D297353CC}">
              <c16:uniqueId val="{00000000-41B9-4370-8436-D3E6368950AE}"/>
            </c:ext>
          </c:extLst>
        </c:ser>
        <c:ser>
          <c:idx val="1"/>
          <c:order val="1"/>
          <c:tx>
            <c:strRef>
              <c:f>Feuil1!$C$53</c:f>
              <c:strCache>
                <c:ptCount val="1"/>
                <c:pt idx="0">
                  <c:v>www.minute.bf</c:v>
                </c:pt>
              </c:strCache>
            </c:strRef>
          </c:tx>
          <c:spPr>
            <a:solidFill>
              <a:schemeClr val="accent2"/>
            </a:solidFill>
            <a:ln>
              <a:noFill/>
            </a:ln>
            <a:effectLst/>
            <a:scene3d>
              <a:camera prst="orthographicFront"/>
              <a:lightRig rig="threePt" dir="t"/>
            </a:scene3d>
            <a:sp3d>
              <a:bevelT/>
            </a:sp3d>
          </c:spPr>
          <c:invertIfNegative val="0"/>
          <c:cat>
            <c:strRef>
              <c:f>Feuil1!$D$51:$E$51</c:f>
              <c:strCache>
                <c:ptCount val="2"/>
                <c:pt idx="0">
                  <c:v>%NA</c:v>
                </c:pt>
                <c:pt idx="1">
                  <c:v>%NI</c:v>
                </c:pt>
              </c:strCache>
            </c:strRef>
          </c:cat>
          <c:val>
            <c:numRef>
              <c:f>Feuil1!$D$53:$E$53</c:f>
              <c:numCache>
                <c:formatCode>0.00%</c:formatCode>
                <c:ptCount val="2"/>
                <c:pt idx="0">
                  <c:v>0.26719999999999999</c:v>
                </c:pt>
                <c:pt idx="1">
                  <c:v>0.247</c:v>
                </c:pt>
              </c:numCache>
            </c:numRef>
          </c:val>
          <c:extLst>
            <c:ext xmlns:c16="http://schemas.microsoft.com/office/drawing/2014/chart" uri="{C3380CC4-5D6E-409C-BE32-E72D297353CC}">
              <c16:uniqueId val="{00000001-41B9-4370-8436-D3E6368950AE}"/>
            </c:ext>
          </c:extLst>
        </c:ser>
        <c:ser>
          <c:idx val="2"/>
          <c:order val="2"/>
          <c:tx>
            <c:strRef>
              <c:f>Feuil1!$C$54</c:f>
              <c:strCache>
                <c:ptCount val="1"/>
                <c:pt idx="0">
                  <c:v>www.lefaso.net </c:v>
                </c:pt>
              </c:strCache>
            </c:strRef>
          </c:tx>
          <c:spPr>
            <a:solidFill>
              <a:schemeClr val="accent3"/>
            </a:solidFill>
            <a:ln>
              <a:noFill/>
            </a:ln>
            <a:effectLst/>
            <a:scene3d>
              <a:camera prst="orthographicFront"/>
              <a:lightRig rig="threePt" dir="t"/>
            </a:scene3d>
            <a:sp3d>
              <a:bevelT/>
            </a:sp3d>
          </c:spPr>
          <c:invertIfNegative val="0"/>
          <c:cat>
            <c:strRef>
              <c:f>Feuil1!$D$51:$E$51</c:f>
              <c:strCache>
                <c:ptCount val="2"/>
                <c:pt idx="0">
                  <c:v>%NA</c:v>
                </c:pt>
                <c:pt idx="1">
                  <c:v>%NI</c:v>
                </c:pt>
              </c:strCache>
            </c:strRef>
          </c:cat>
          <c:val>
            <c:numRef>
              <c:f>Feuil1!$D$54:$E$54</c:f>
              <c:numCache>
                <c:formatCode>0.00%</c:formatCode>
                <c:ptCount val="2"/>
                <c:pt idx="0">
                  <c:v>0.19539999999999999</c:v>
                </c:pt>
                <c:pt idx="1">
                  <c:v>0.32840000000000003</c:v>
                </c:pt>
              </c:numCache>
            </c:numRef>
          </c:val>
          <c:extLst>
            <c:ext xmlns:c16="http://schemas.microsoft.com/office/drawing/2014/chart" uri="{C3380CC4-5D6E-409C-BE32-E72D297353CC}">
              <c16:uniqueId val="{00000002-41B9-4370-8436-D3E6368950AE}"/>
            </c:ext>
          </c:extLst>
        </c:ser>
        <c:ser>
          <c:idx val="3"/>
          <c:order val="3"/>
          <c:tx>
            <c:strRef>
              <c:f>Feuil1!$C$55</c:f>
              <c:strCache>
                <c:ptCount val="1"/>
                <c:pt idx="0">
                  <c:v>www.burkina24.com </c:v>
                </c:pt>
              </c:strCache>
            </c:strRef>
          </c:tx>
          <c:spPr>
            <a:solidFill>
              <a:schemeClr val="accent4"/>
            </a:solidFill>
            <a:ln>
              <a:noFill/>
            </a:ln>
            <a:effectLst/>
            <a:scene3d>
              <a:camera prst="orthographicFront"/>
              <a:lightRig rig="threePt" dir="t"/>
            </a:scene3d>
            <a:sp3d>
              <a:bevelT/>
            </a:sp3d>
          </c:spPr>
          <c:invertIfNegative val="0"/>
          <c:cat>
            <c:strRef>
              <c:f>Feuil1!$D$51:$E$51</c:f>
              <c:strCache>
                <c:ptCount val="2"/>
                <c:pt idx="0">
                  <c:v>%NA</c:v>
                </c:pt>
                <c:pt idx="1">
                  <c:v>%NI</c:v>
                </c:pt>
              </c:strCache>
            </c:strRef>
          </c:cat>
          <c:val>
            <c:numRef>
              <c:f>Feuil1!$D$55:$E$55</c:f>
              <c:numCache>
                <c:formatCode>0.00%</c:formatCode>
                <c:ptCount val="2"/>
                <c:pt idx="0">
                  <c:v>0.13589999999999999</c:v>
                </c:pt>
                <c:pt idx="1">
                  <c:v>0.1321</c:v>
                </c:pt>
              </c:numCache>
            </c:numRef>
          </c:val>
          <c:extLst>
            <c:ext xmlns:c16="http://schemas.microsoft.com/office/drawing/2014/chart" uri="{C3380CC4-5D6E-409C-BE32-E72D297353CC}">
              <c16:uniqueId val="{00000003-41B9-4370-8436-D3E6368950AE}"/>
            </c:ext>
          </c:extLst>
        </c:ser>
        <c:ser>
          <c:idx val="4"/>
          <c:order val="4"/>
          <c:tx>
            <c:strRef>
              <c:f>Feuil1!$C$56</c:f>
              <c:strCache>
                <c:ptCount val="1"/>
                <c:pt idx="0">
                  <c:v>www.infowakat.net   </c:v>
                </c:pt>
              </c:strCache>
            </c:strRef>
          </c:tx>
          <c:spPr>
            <a:solidFill>
              <a:schemeClr val="accent5"/>
            </a:solidFill>
            <a:ln>
              <a:noFill/>
            </a:ln>
            <a:effectLst/>
            <a:scene3d>
              <a:camera prst="orthographicFront"/>
              <a:lightRig rig="threePt" dir="t"/>
            </a:scene3d>
            <a:sp3d>
              <a:bevelT/>
            </a:sp3d>
          </c:spPr>
          <c:invertIfNegative val="0"/>
          <c:cat>
            <c:strRef>
              <c:f>Feuil1!$D$51:$E$51</c:f>
              <c:strCache>
                <c:ptCount val="2"/>
                <c:pt idx="0">
                  <c:v>%NA</c:v>
                </c:pt>
                <c:pt idx="1">
                  <c:v>%NI</c:v>
                </c:pt>
              </c:strCache>
            </c:strRef>
          </c:cat>
          <c:val>
            <c:numRef>
              <c:f>Feuil1!$D$56:$E$56</c:f>
              <c:numCache>
                <c:formatCode>0.00%</c:formatCode>
                <c:ptCount val="2"/>
                <c:pt idx="0">
                  <c:v>8.09E-2</c:v>
                </c:pt>
                <c:pt idx="1">
                  <c:v>7.3899999999999993E-2</c:v>
                </c:pt>
              </c:numCache>
            </c:numRef>
          </c:val>
          <c:extLst>
            <c:ext xmlns:c16="http://schemas.microsoft.com/office/drawing/2014/chart" uri="{C3380CC4-5D6E-409C-BE32-E72D297353CC}">
              <c16:uniqueId val="{00000004-41B9-4370-8436-D3E6368950AE}"/>
            </c:ext>
          </c:extLst>
        </c:ser>
        <c:dLbls>
          <c:showLegendKey val="0"/>
          <c:showVal val="0"/>
          <c:showCatName val="0"/>
          <c:showSerName val="0"/>
          <c:showPercent val="0"/>
          <c:showBubbleSize val="0"/>
        </c:dLbls>
        <c:gapWidth val="219"/>
        <c:overlap val="-27"/>
        <c:axId val="1822484687"/>
        <c:axId val="1822483439"/>
      </c:barChart>
      <c:catAx>
        <c:axId val="1822484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ysClr val="windowText" lastClr="000000"/>
                </a:solidFill>
                <a:latin typeface="+mn-lt"/>
                <a:ea typeface="+mn-ea"/>
                <a:cs typeface="+mn-cs"/>
              </a:defRPr>
            </a:pPr>
            <a:endParaRPr lang="fr-FR"/>
          </a:p>
        </c:txPr>
        <c:crossAx val="1822483439"/>
        <c:crosses val="autoZero"/>
        <c:auto val="1"/>
        <c:lblAlgn val="ctr"/>
        <c:lblOffset val="100"/>
        <c:noMultiLvlLbl val="0"/>
      </c:catAx>
      <c:valAx>
        <c:axId val="182248343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822484687"/>
        <c:crosses val="autoZero"/>
        <c:crossBetween val="between"/>
      </c:valAx>
      <c:spPr>
        <a:noFill/>
        <a:ln>
          <a:noFill/>
        </a:ln>
        <a:effectLst/>
      </c:spPr>
    </c:plotArea>
    <c:legend>
      <c:legendPos val="b"/>
      <c:layout>
        <c:manualLayout>
          <c:xMode val="edge"/>
          <c:yMode val="edge"/>
          <c:x val="2.7269306008956402E-2"/>
          <c:y val="0.82291557305336804"/>
          <c:w val="0.92838301206839902"/>
          <c:h val="0.149306649168854"/>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Feuil2!$B$6</c:f>
              <c:strCache>
                <c:ptCount val="1"/>
                <c:pt idx="0">
                  <c:v>Actualité</c:v>
                </c:pt>
              </c:strCache>
            </c:strRef>
          </c:tx>
          <c:spPr>
            <a:solidFill>
              <a:schemeClr val="accent1"/>
            </a:solidFill>
            <a:ln>
              <a:noFill/>
            </a:ln>
            <a:effectLst/>
            <a:scene3d>
              <a:camera prst="orthographicFront"/>
              <a:lightRig rig="threePt" dir="t"/>
            </a:scene3d>
            <a:sp3d prstMaterial="matte">
              <a:bevelT w="127000" h="63500"/>
            </a:sp3d>
          </c:spPr>
          <c:invertIfNegative val="0"/>
          <c:cat>
            <c:strRef>
              <c:f>(Feuil2!$D$4,Feuil2!$F$4)</c:f>
              <c:strCache>
                <c:ptCount val="2"/>
                <c:pt idx="0">
                  <c:v>%NP</c:v>
                </c:pt>
                <c:pt idx="1">
                  <c:v>%NI</c:v>
                </c:pt>
              </c:strCache>
            </c:strRef>
          </c:cat>
          <c:val>
            <c:numRef>
              <c:f>(Feuil2!$D$6,Feuil2!$F$6)</c:f>
              <c:numCache>
                <c:formatCode>0%</c:formatCode>
                <c:ptCount val="2"/>
                <c:pt idx="0">
                  <c:v>0.26913099870298302</c:v>
                </c:pt>
                <c:pt idx="1">
                  <c:v>0.18519726116726401</c:v>
                </c:pt>
              </c:numCache>
            </c:numRef>
          </c:val>
          <c:extLst>
            <c:ext xmlns:c16="http://schemas.microsoft.com/office/drawing/2014/chart" uri="{C3380CC4-5D6E-409C-BE32-E72D297353CC}">
              <c16:uniqueId val="{00000000-1F7B-4641-8053-89AD2B4F3B45}"/>
            </c:ext>
          </c:extLst>
        </c:ser>
        <c:ser>
          <c:idx val="1"/>
          <c:order val="1"/>
          <c:tx>
            <c:strRef>
              <c:f>Feuil2!$B$7</c:f>
              <c:strCache>
                <c:ptCount val="1"/>
                <c:pt idx="0">
                  <c:v>lefaso,net</c:v>
                </c:pt>
              </c:strCache>
            </c:strRef>
          </c:tx>
          <c:spPr>
            <a:solidFill>
              <a:schemeClr val="accent2"/>
            </a:solidFill>
            <a:ln>
              <a:noFill/>
            </a:ln>
            <a:effectLst/>
            <a:scene3d>
              <a:camera prst="orthographicFront"/>
              <a:lightRig rig="threePt" dir="t"/>
            </a:scene3d>
            <a:sp3d prstMaterial="matte">
              <a:bevelT w="127000" h="63500"/>
            </a:sp3d>
          </c:spPr>
          <c:invertIfNegative val="0"/>
          <c:cat>
            <c:strRef>
              <c:f>(Feuil2!$D$4,Feuil2!$F$4)</c:f>
              <c:strCache>
                <c:ptCount val="2"/>
                <c:pt idx="0">
                  <c:v>%NP</c:v>
                </c:pt>
                <c:pt idx="1">
                  <c:v>%NI</c:v>
                </c:pt>
              </c:strCache>
            </c:strRef>
          </c:cat>
          <c:val>
            <c:numRef>
              <c:f>(Feuil2!$D$7,Feuil2!$F$7)</c:f>
              <c:numCache>
                <c:formatCode>0%</c:formatCode>
                <c:ptCount val="2"/>
                <c:pt idx="0">
                  <c:v>0.25421530479896198</c:v>
                </c:pt>
                <c:pt idx="1">
                  <c:v>0.432670361917183</c:v>
                </c:pt>
              </c:numCache>
            </c:numRef>
          </c:val>
          <c:extLst>
            <c:ext xmlns:c16="http://schemas.microsoft.com/office/drawing/2014/chart" uri="{C3380CC4-5D6E-409C-BE32-E72D297353CC}">
              <c16:uniqueId val="{00000001-1F7B-4641-8053-89AD2B4F3B45}"/>
            </c:ext>
          </c:extLst>
        </c:ser>
        <c:ser>
          <c:idx val="2"/>
          <c:order val="2"/>
          <c:tx>
            <c:strRef>
              <c:f>Feuil2!$B$8</c:f>
              <c:strCache>
                <c:ptCount val="1"/>
                <c:pt idx="0">
                  <c:v>Burkina24,com</c:v>
                </c:pt>
              </c:strCache>
            </c:strRef>
          </c:tx>
          <c:spPr>
            <a:solidFill>
              <a:schemeClr val="accent3"/>
            </a:solidFill>
            <a:ln>
              <a:noFill/>
            </a:ln>
            <a:effectLst/>
            <a:scene3d>
              <a:camera prst="orthographicFront"/>
              <a:lightRig rig="threePt" dir="t"/>
            </a:scene3d>
            <a:sp3d prstMaterial="matte">
              <a:bevelT w="127000" h="63500"/>
            </a:sp3d>
          </c:spPr>
          <c:invertIfNegative val="0"/>
          <c:cat>
            <c:strRef>
              <c:f>(Feuil2!$D$4,Feuil2!$F$4)</c:f>
              <c:strCache>
                <c:ptCount val="2"/>
                <c:pt idx="0">
                  <c:v>%NP</c:v>
                </c:pt>
                <c:pt idx="1">
                  <c:v>%NI</c:v>
                </c:pt>
              </c:strCache>
            </c:strRef>
          </c:cat>
          <c:val>
            <c:numRef>
              <c:f>(Feuil2!$D$8,Feuil2!$F$8)</c:f>
              <c:numCache>
                <c:formatCode>0%</c:formatCode>
                <c:ptCount val="2"/>
                <c:pt idx="0">
                  <c:v>0.20622568093385199</c:v>
                </c:pt>
                <c:pt idx="1">
                  <c:v>0.143788718617542</c:v>
                </c:pt>
              </c:numCache>
            </c:numRef>
          </c:val>
          <c:extLst>
            <c:ext xmlns:c16="http://schemas.microsoft.com/office/drawing/2014/chart" uri="{C3380CC4-5D6E-409C-BE32-E72D297353CC}">
              <c16:uniqueId val="{00000002-1F7B-4641-8053-89AD2B4F3B45}"/>
            </c:ext>
          </c:extLst>
        </c:ser>
        <c:ser>
          <c:idx val="3"/>
          <c:order val="3"/>
          <c:tx>
            <c:strRef>
              <c:f>Feuil2!$B$9</c:f>
              <c:strCache>
                <c:ptCount val="1"/>
                <c:pt idx="0">
                  <c:v>Minute,net</c:v>
                </c:pt>
              </c:strCache>
            </c:strRef>
          </c:tx>
          <c:spPr>
            <a:solidFill>
              <a:schemeClr val="accent4"/>
            </a:solidFill>
            <a:ln>
              <a:noFill/>
            </a:ln>
            <a:effectLst/>
            <a:scene3d>
              <a:camera prst="orthographicFront"/>
              <a:lightRig rig="threePt" dir="t"/>
            </a:scene3d>
            <a:sp3d prstMaterial="matte">
              <a:bevelT w="127000" h="63500"/>
            </a:sp3d>
          </c:spPr>
          <c:invertIfNegative val="0"/>
          <c:cat>
            <c:strRef>
              <c:f>(Feuil2!$D$4,Feuil2!$F$4)</c:f>
              <c:strCache>
                <c:ptCount val="2"/>
                <c:pt idx="0">
                  <c:v>%NP</c:v>
                </c:pt>
                <c:pt idx="1">
                  <c:v>%NI</c:v>
                </c:pt>
              </c:strCache>
            </c:strRef>
          </c:cat>
          <c:val>
            <c:numRef>
              <c:f>(Feuil2!$D$9,Feuil2!$F$9)</c:f>
              <c:numCache>
                <c:formatCode>0%</c:formatCode>
                <c:ptCount val="2"/>
                <c:pt idx="0">
                  <c:v>0.197795071335927</c:v>
                </c:pt>
                <c:pt idx="1">
                  <c:v>0.170524942940985</c:v>
                </c:pt>
              </c:numCache>
            </c:numRef>
          </c:val>
          <c:extLst>
            <c:ext xmlns:c16="http://schemas.microsoft.com/office/drawing/2014/chart" uri="{C3380CC4-5D6E-409C-BE32-E72D297353CC}">
              <c16:uniqueId val="{00000003-1F7B-4641-8053-89AD2B4F3B45}"/>
            </c:ext>
          </c:extLst>
        </c:ser>
        <c:ser>
          <c:idx val="4"/>
          <c:order val="4"/>
          <c:tx>
            <c:strRef>
              <c:f>Feuil2!$B$10</c:f>
              <c:strCache>
                <c:ptCount val="1"/>
                <c:pt idx="0">
                  <c:v>infowakat,net</c:v>
                </c:pt>
              </c:strCache>
            </c:strRef>
          </c:tx>
          <c:spPr>
            <a:solidFill>
              <a:schemeClr val="accent5"/>
            </a:solidFill>
            <a:ln>
              <a:noFill/>
            </a:ln>
            <a:effectLst/>
            <a:scene3d>
              <a:camera prst="orthographicFront"/>
              <a:lightRig rig="threePt" dir="t"/>
            </a:scene3d>
            <a:sp3d prstMaterial="matte">
              <a:bevelT w="127000" h="63500"/>
            </a:sp3d>
          </c:spPr>
          <c:invertIfNegative val="0"/>
          <c:cat>
            <c:strRef>
              <c:f>(Feuil2!$D$4,Feuil2!$F$4)</c:f>
              <c:strCache>
                <c:ptCount val="2"/>
                <c:pt idx="0">
                  <c:v>%NP</c:v>
                </c:pt>
                <c:pt idx="1">
                  <c:v>%NI</c:v>
                </c:pt>
              </c:strCache>
            </c:strRef>
          </c:cat>
          <c:val>
            <c:numRef>
              <c:f>(Feuil2!$D$10,Feuil2!$F$10)</c:f>
              <c:numCache>
                <c:formatCode>0%</c:formatCode>
                <c:ptCount val="2"/>
                <c:pt idx="0">
                  <c:v>7.2632944228275001E-2</c:v>
                </c:pt>
                <c:pt idx="1">
                  <c:v>6.7818715357026396E-2</c:v>
                </c:pt>
              </c:numCache>
            </c:numRef>
          </c:val>
          <c:extLst>
            <c:ext xmlns:c16="http://schemas.microsoft.com/office/drawing/2014/chart" uri="{C3380CC4-5D6E-409C-BE32-E72D297353CC}">
              <c16:uniqueId val="{00000004-1F7B-4641-8053-89AD2B4F3B45}"/>
            </c:ext>
          </c:extLst>
        </c:ser>
        <c:dLbls>
          <c:showLegendKey val="0"/>
          <c:showVal val="0"/>
          <c:showCatName val="0"/>
          <c:showSerName val="0"/>
          <c:showPercent val="0"/>
          <c:showBubbleSize val="0"/>
        </c:dLbls>
        <c:gapWidth val="219"/>
        <c:overlap val="-27"/>
        <c:axId val="205762656"/>
        <c:axId val="205763072"/>
      </c:barChart>
      <c:catAx>
        <c:axId val="205762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05763072"/>
        <c:crosses val="autoZero"/>
        <c:auto val="1"/>
        <c:lblAlgn val="ctr"/>
        <c:lblOffset val="100"/>
        <c:noMultiLvlLbl val="0"/>
      </c:catAx>
      <c:valAx>
        <c:axId val="2057630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05762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Feuil5!$H$5</c:f>
              <c:strCache>
                <c:ptCount val="1"/>
                <c:pt idx="0">
                  <c:v>GOUVERNEMENT</c:v>
                </c:pt>
              </c:strCache>
            </c:strRef>
          </c:tx>
          <c:spPr>
            <a:solidFill>
              <a:schemeClr val="accent1"/>
            </a:solidFill>
            <a:ln>
              <a:noFill/>
            </a:ln>
            <a:effectLst/>
            <a:scene3d>
              <a:camera prst="orthographicFront"/>
              <a:lightRig rig="threePt" dir="t"/>
            </a:scene3d>
            <a:sp3d>
              <a:bevelT/>
            </a:sp3d>
          </c:spPr>
          <c:invertIfNegative val="0"/>
          <c:cat>
            <c:strRef>
              <c:f>(Feuil5!$J$4,Feuil5!$L$4)</c:f>
              <c:strCache>
                <c:ptCount val="2"/>
                <c:pt idx="0">
                  <c:v>% TA</c:v>
                </c:pt>
                <c:pt idx="1">
                  <c:v>% TP</c:v>
                </c:pt>
              </c:strCache>
            </c:strRef>
          </c:cat>
          <c:val>
            <c:numRef>
              <c:f>(Feuil5!$J$5,Feuil5!$L$5)</c:f>
              <c:numCache>
                <c:formatCode>0.00%</c:formatCode>
                <c:ptCount val="2"/>
                <c:pt idx="0">
                  <c:v>0.58050000000000002</c:v>
                </c:pt>
                <c:pt idx="1">
                  <c:v>0.60970000000000002</c:v>
                </c:pt>
              </c:numCache>
            </c:numRef>
          </c:val>
          <c:extLst>
            <c:ext xmlns:c16="http://schemas.microsoft.com/office/drawing/2014/chart" uri="{C3380CC4-5D6E-409C-BE32-E72D297353CC}">
              <c16:uniqueId val="{00000000-9EE8-4C03-BE7A-BFA65392FC33}"/>
            </c:ext>
          </c:extLst>
        </c:ser>
        <c:ser>
          <c:idx val="1"/>
          <c:order val="1"/>
          <c:tx>
            <c:strRef>
              <c:f>Feuil5!$H$6</c:f>
              <c:strCache>
                <c:ptCount val="1"/>
                <c:pt idx="0">
                  <c:v>SOCIETE CIVILE</c:v>
                </c:pt>
              </c:strCache>
            </c:strRef>
          </c:tx>
          <c:spPr>
            <a:solidFill>
              <a:schemeClr val="accent2"/>
            </a:solidFill>
            <a:ln>
              <a:noFill/>
            </a:ln>
            <a:effectLst/>
            <a:scene3d>
              <a:camera prst="orthographicFront"/>
              <a:lightRig rig="threePt" dir="t"/>
            </a:scene3d>
            <a:sp3d>
              <a:bevelT/>
            </a:sp3d>
          </c:spPr>
          <c:invertIfNegative val="0"/>
          <c:cat>
            <c:strRef>
              <c:f>(Feuil5!$J$4,Feuil5!$L$4)</c:f>
              <c:strCache>
                <c:ptCount val="2"/>
                <c:pt idx="0">
                  <c:v>% TA</c:v>
                </c:pt>
                <c:pt idx="1">
                  <c:v>% TP</c:v>
                </c:pt>
              </c:strCache>
            </c:strRef>
          </c:cat>
          <c:val>
            <c:numRef>
              <c:f>(Feuil5!$J$6,Feuil5!$L$6)</c:f>
              <c:numCache>
                <c:formatCode>0.00%</c:formatCode>
                <c:ptCount val="2"/>
                <c:pt idx="0">
                  <c:v>0.21299999999999999</c:v>
                </c:pt>
                <c:pt idx="1">
                  <c:v>0.18740000000000001</c:v>
                </c:pt>
              </c:numCache>
            </c:numRef>
          </c:val>
          <c:extLst>
            <c:ext xmlns:c16="http://schemas.microsoft.com/office/drawing/2014/chart" uri="{C3380CC4-5D6E-409C-BE32-E72D297353CC}">
              <c16:uniqueId val="{00000001-9EE8-4C03-BE7A-BFA65392FC33}"/>
            </c:ext>
          </c:extLst>
        </c:ser>
        <c:ser>
          <c:idx val="2"/>
          <c:order val="2"/>
          <c:tx>
            <c:strRef>
              <c:f>Feuil5!$H$7</c:f>
              <c:strCache>
                <c:ptCount val="1"/>
                <c:pt idx="0">
                  <c:v>LES AUTRES INSTITUTIONS</c:v>
                </c:pt>
              </c:strCache>
            </c:strRef>
          </c:tx>
          <c:spPr>
            <a:solidFill>
              <a:schemeClr val="accent3"/>
            </a:solidFill>
            <a:ln>
              <a:noFill/>
            </a:ln>
            <a:effectLst/>
            <a:scene3d>
              <a:camera prst="orthographicFront"/>
              <a:lightRig rig="threePt" dir="t"/>
            </a:scene3d>
            <a:sp3d>
              <a:bevelT/>
            </a:sp3d>
          </c:spPr>
          <c:invertIfNegative val="0"/>
          <c:cat>
            <c:strRef>
              <c:f>(Feuil5!$J$4,Feuil5!$L$4)</c:f>
              <c:strCache>
                <c:ptCount val="2"/>
                <c:pt idx="0">
                  <c:v>% TA</c:v>
                </c:pt>
                <c:pt idx="1">
                  <c:v>% TP</c:v>
                </c:pt>
              </c:strCache>
            </c:strRef>
          </c:cat>
          <c:val>
            <c:numRef>
              <c:f>(Feuil5!$J$7,Feuil5!$L$7)</c:f>
              <c:numCache>
                <c:formatCode>0.00%</c:formatCode>
                <c:ptCount val="2"/>
                <c:pt idx="0">
                  <c:v>9.9500000000000005E-2</c:v>
                </c:pt>
                <c:pt idx="1">
                  <c:v>9.1200000000000003E-2</c:v>
                </c:pt>
              </c:numCache>
            </c:numRef>
          </c:val>
          <c:extLst>
            <c:ext xmlns:c16="http://schemas.microsoft.com/office/drawing/2014/chart" uri="{C3380CC4-5D6E-409C-BE32-E72D297353CC}">
              <c16:uniqueId val="{00000002-9EE8-4C03-BE7A-BFA65392FC33}"/>
            </c:ext>
          </c:extLst>
        </c:ser>
        <c:ser>
          <c:idx val="3"/>
          <c:order val="3"/>
          <c:tx>
            <c:strRef>
              <c:f>Feuil5!$H$8</c:f>
              <c:strCache>
                <c:ptCount val="1"/>
                <c:pt idx="0">
                  <c:v>PRESIDENCE DU FASO</c:v>
                </c:pt>
              </c:strCache>
            </c:strRef>
          </c:tx>
          <c:spPr>
            <a:solidFill>
              <a:schemeClr val="accent4"/>
            </a:solidFill>
            <a:ln>
              <a:noFill/>
            </a:ln>
            <a:effectLst/>
            <a:scene3d>
              <a:camera prst="orthographicFront"/>
              <a:lightRig rig="threePt" dir="t"/>
            </a:scene3d>
            <a:sp3d>
              <a:bevelT/>
            </a:sp3d>
          </c:spPr>
          <c:invertIfNegative val="0"/>
          <c:cat>
            <c:strRef>
              <c:f>(Feuil5!$J$4,Feuil5!$L$4)</c:f>
              <c:strCache>
                <c:ptCount val="2"/>
                <c:pt idx="0">
                  <c:v>% TA</c:v>
                </c:pt>
                <c:pt idx="1">
                  <c:v>% TP</c:v>
                </c:pt>
              </c:strCache>
            </c:strRef>
          </c:cat>
          <c:val>
            <c:numRef>
              <c:f>(Feuil5!$J$8,Feuil5!$L$8)</c:f>
              <c:numCache>
                <c:formatCode>0.00%</c:formatCode>
                <c:ptCount val="2"/>
                <c:pt idx="0">
                  <c:v>4.9700000000000001E-2</c:v>
                </c:pt>
                <c:pt idx="1">
                  <c:v>6.9400000000000003E-2</c:v>
                </c:pt>
              </c:numCache>
            </c:numRef>
          </c:val>
          <c:extLst>
            <c:ext xmlns:c16="http://schemas.microsoft.com/office/drawing/2014/chart" uri="{C3380CC4-5D6E-409C-BE32-E72D297353CC}">
              <c16:uniqueId val="{00000003-9EE8-4C03-BE7A-BFA65392FC33}"/>
            </c:ext>
          </c:extLst>
        </c:ser>
        <c:ser>
          <c:idx val="4"/>
          <c:order val="4"/>
          <c:tx>
            <c:strRef>
              <c:f>Feuil5!$H$9</c:f>
              <c:strCache>
                <c:ptCount val="1"/>
                <c:pt idx="0">
                  <c:v>PARTIS POLITIQUES</c:v>
                </c:pt>
              </c:strCache>
            </c:strRef>
          </c:tx>
          <c:spPr>
            <a:solidFill>
              <a:schemeClr val="accent5"/>
            </a:solidFill>
            <a:ln>
              <a:noFill/>
            </a:ln>
            <a:effectLst/>
            <a:scene3d>
              <a:camera prst="orthographicFront"/>
              <a:lightRig rig="threePt" dir="t"/>
            </a:scene3d>
            <a:sp3d>
              <a:bevelT/>
            </a:sp3d>
          </c:spPr>
          <c:invertIfNegative val="0"/>
          <c:cat>
            <c:strRef>
              <c:f>(Feuil5!$J$4,Feuil5!$L$4)</c:f>
              <c:strCache>
                <c:ptCount val="2"/>
                <c:pt idx="0">
                  <c:v>% TA</c:v>
                </c:pt>
                <c:pt idx="1">
                  <c:v>% TP</c:v>
                </c:pt>
              </c:strCache>
            </c:strRef>
          </c:cat>
          <c:val>
            <c:numRef>
              <c:f>(Feuil5!$J$9,Feuil5!$L$9)</c:f>
              <c:numCache>
                <c:formatCode>0.00%</c:formatCode>
                <c:ptCount val="2"/>
                <c:pt idx="0">
                  <c:v>3.9E-2</c:v>
                </c:pt>
                <c:pt idx="1">
                  <c:v>3.1E-2</c:v>
                </c:pt>
              </c:numCache>
            </c:numRef>
          </c:val>
          <c:extLst>
            <c:ext xmlns:c16="http://schemas.microsoft.com/office/drawing/2014/chart" uri="{C3380CC4-5D6E-409C-BE32-E72D297353CC}">
              <c16:uniqueId val="{00000004-9EE8-4C03-BE7A-BFA65392FC33}"/>
            </c:ext>
          </c:extLst>
        </c:ser>
        <c:ser>
          <c:idx val="5"/>
          <c:order val="5"/>
          <c:tx>
            <c:strRef>
              <c:f>Feuil5!$H$10</c:f>
              <c:strCache>
                <c:ptCount val="1"/>
                <c:pt idx="0">
                  <c:v>ALT</c:v>
                </c:pt>
              </c:strCache>
            </c:strRef>
          </c:tx>
          <c:spPr>
            <a:solidFill>
              <a:schemeClr val="accent6"/>
            </a:solidFill>
            <a:ln>
              <a:noFill/>
            </a:ln>
            <a:effectLst/>
            <a:scene3d>
              <a:camera prst="orthographicFront"/>
              <a:lightRig rig="threePt" dir="t"/>
            </a:scene3d>
            <a:sp3d>
              <a:bevelT/>
            </a:sp3d>
          </c:spPr>
          <c:invertIfNegative val="0"/>
          <c:cat>
            <c:strRef>
              <c:f>(Feuil5!$J$4,Feuil5!$L$4)</c:f>
              <c:strCache>
                <c:ptCount val="2"/>
                <c:pt idx="0">
                  <c:v>% TA</c:v>
                </c:pt>
                <c:pt idx="1">
                  <c:v>% TP</c:v>
                </c:pt>
              </c:strCache>
            </c:strRef>
          </c:cat>
          <c:val>
            <c:numRef>
              <c:f>(Feuil5!$J$10,Feuil5!$L$10)</c:f>
              <c:numCache>
                <c:formatCode>0.00%</c:formatCode>
                <c:ptCount val="2"/>
                <c:pt idx="0">
                  <c:v>1.8200000000000001E-2</c:v>
                </c:pt>
                <c:pt idx="1">
                  <c:v>1.1299999999999999E-2</c:v>
                </c:pt>
              </c:numCache>
            </c:numRef>
          </c:val>
          <c:extLst>
            <c:ext xmlns:c16="http://schemas.microsoft.com/office/drawing/2014/chart" uri="{C3380CC4-5D6E-409C-BE32-E72D297353CC}">
              <c16:uniqueId val="{00000005-9EE8-4C03-BE7A-BFA65392FC33}"/>
            </c:ext>
          </c:extLst>
        </c:ser>
        <c:dLbls>
          <c:showLegendKey val="0"/>
          <c:showVal val="0"/>
          <c:showCatName val="0"/>
          <c:showSerName val="0"/>
          <c:showPercent val="0"/>
          <c:showBubbleSize val="0"/>
        </c:dLbls>
        <c:gapWidth val="219"/>
        <c:overlap val="-27"/>
        <c:axId val="42449712"/>
        <c:axId val="1910220384"/>
      </c:barChart>
      <c:catAx>
        <c:axId val="4244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1910220384"/>
        <c:crosses val="autoZero"/>
        <c:auto val="1"/>
        <c:lblAlgn val="ctr"/>
        <c:lblOffset val="100"/>
        <c:noMultiLvlLbl val="0"/>
      </c:catAx>
      <c:valAx>
        <c:axId val="19102203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42449712"/>
        <c:crosses val="autoZero"/>
        <c:crossBetween val="between"/>
      </c:valAx>
      <c:spPr>
        <a:noFill/>
        <a:ln>
          <a:noFill/>
        </a:ln>
        <a:effectLst/>
      </c:spPr>
    </c:plotArea>
    <c:legend>
      <c:legendPos val="b"/>
      <c:layout>
        <c:manualLayout>
          <c:xMode val="edge"/>
          <c:yMode val="edge"/>
          <c:x val="1.16745406824147E-2"/>
          <c:y val="0.81886410032079304"/>
          <c:w val="0.96553980752405999"/>
          <c:h val="0.153358121901429"/>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Feuil5!$H$15</c:f>
              <c:strCache>
                <c:ptCount val="1"/>
                <c:pt idx="0">
                  <c:v>GOUVERNEMENT</c:v>
                </c:pt>
              </c:strCache>
            </c:strRef>
          </c:tx>
          <c:spPr>
            <a:solidFill>
              <a:schemeClr val="accent1"/>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(Feuil5!$J$15,Feuil5!$L$15)</c:f>
              <c:numCache>
                <c:formatCode>0.00%</c:formatCode>
                <c:ptCount val="2"/>
                <c:pt idx="0">
                  <c:v>0.60560000000000003</c:v>
                </c:pt>
                <c:pt idx="1">
                  <c:v>0.56069999999999998</c:v>
                </c:pt>
              </c:numCache>
            </c:numRef>
          </c:val>
          <c:extLst>
            <c:ext xmlns:c16="http://schemas.microsoft.com/office/drawing/2014/chart" uri="{C3380CC4-5D6E-409C-BE32-E72D297353CC}">
              <c16:uniqueId val="{00000000-A214-48F6-80BC-90C65524B61F}"/>
            </c:ext>
          </c:extLst>
        </c:ser>
        <c:ser>
          <c:idx val="1"/>
          <c:order val="1"/>
          <c:tx>
            <c:strRef>
              <c:f>Feuil5!$H$16</c:f>
              <c:strCache>
                <c:ptCount val="1"/>
                <c:pt idx="0">
                  <c:v>SOCIETE CIVILE</c:v>
                </c:pt>
              </c:strCache>
            </c:strRef>
          </c:tx>
          <c:spPr>
            <a:solidFill>
              <a:schemeClr val="accent2"/>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(Feuil5!$J$16,Feuil5!$L$16)</c:f>
              <c:numCache>
                <c:formatCode>0.00%</c:formatCode>
                <c:ptCount val="2"/>
                <c:pt idx="0">
                  <c:v>0.20830000000000001</c:v>
                </c:pt>
                <c:pt idx="1">
                  <c:v>0.2195</c:v>
                </c:pt>
              </c:numCache>
            </c:numRef>
          </c:val>
          <c:extLst>
            <c:ext xmlns:c16="http://schemas.microsoft.com/office/drawing/2014/chart" uri="{C3380CC4-5D6E-409C-BE32-E72D297353CC}">
              <c16:uniqueId val="{00000001-A214-48F6-80BC-90C65524B61F}"/>
            </c:ext>
          </c:extLst>
        </c:ser>
        <c:ser>
          <c:idx val="2"/>
          <c:order val="2"/>
          <c:tx>
            <c:strRef>
              <c:f>Feuil5!$H$17</c:f>
              <c:strCache>
                <c:ptCount val="1"/>
                <c:pt idx="0">
                  <c:v>LES AUTRES INSTITUTIONS</c:v>
                </c:pt>
              </c:strCache>
            </c:strRef>
          </c:tx>
          <c:spPr>
            <a:solidFill>
              <a:schemeClr val="accent3"/>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(Feuil5!$J$17,Feuil5!$L$17)</c:f>
              <c:numCache>
                <c:formatCode>0.00%</c:formatCode>
                <c:ptCount val="2"/>
                <c:pt idx="0">
                  <c:v>0.105</c:v>
                </c:pt>
                <c:pt idx="1">
                  <c:v>0.1125</c:v>
                </c:pt>
              </c:numCache>
            </c:numRef>
          </c:val>
          <c:extLst>
            <c:ext xmlns:c16="http://schemas.microsoft.com/office/drawing/2014/chart" uri="{C3380CC4-5D6E-409C-BE32-E72D297353CC}">
              <c16:uniqueId val="{00000002-A214-48F6-80BC-90C65524B61F}"/>
            </c:ext>
          </c:extLst>
        </c:ser>
        <c:ser>
          <c:idx val="3"/>
          <c:order val="3"/>
          <c:tx>
            <c:strRef>
              <c:f>Feuil5!$H$18</c:f>
              <c:strCache>
                <c:ptCount val="1"/>
                <c:pt idx="0">
                  <c:v>PRESIDENCE DU FASO</c:v>
                </c:pt>
              </c:strCache>
            </c:strRef>
          </c:tx>
          <c:spPr>
            <a:solidFill>
              <a:schemeClr val="accent4"/>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(Feuil5!$J$18,Feuil5!$L$18)</c:f>
              <c:numCache>
                <c:formatCode>0.00%</c:formatCode>
                <c:ptCount val="2"/>
                <c:pt idx="0">
                  <c:v>5.4199999999999998E-2</c:v>
                </c:pt>
                <c:pt idx="1">
                  <c:v>8.0299999999999996E-2</c:v>
                </c:pt>
              </c:numCache>
            </c:numRef>
          </c:val>
          <c:extLst>
            <c:ext xmlns:c16="http://schemas.microsoft.com/office/drawing/2014/chart" uri="{C3380CC4-5D6E-409C-BE32-E72D297353CC}">
              <c16:uniqueId val="{00000003-A214-48F6-80BC-90C65524B61F}"/>
            </c:ext>
          </c:extLst>
        </c:ser>
        <c:ser>
          <c:idx val="4"/>
          <c:order val="4"/>
          <c:tx>
            <c:strRef>
              <c:f>Feuil5!$H$19</c:f>
              <c:strCache>
                <c:ptCount val="1"/>
                <c:pt idx="0">
                  <c:v>ALT</c:v>
                </c:pt>
              </c:strCache>
            </c:strRef>
          </c:tx>
          <c:spPr>
            <a:solidFill>
              <a:schemeClr val="accent5"/>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(Feuil5!$J$19,Feuil5!$L$19)</c:f>
              <c:numCache>
                <c:formatCode>0.00%</c:formatCode>
                <c:ptCount val="2"/>
                <c:pt idx="0">
                  <c:v>1.4500000000000001E-2</c:v>
                </c:pt>
                <c:pt idx="1">
                  <c:v>1.11E-2</c:v>
                </c:pt>
              </c:numCache>
            </c:numRef>
          </c:val>
          <c:extLst>
            <c:ext xmlns:c16="http://schemas.microsoft.com/office/drawing/2014/chart" uri="{C3380CC4-5D6E-409C-BE32-E72D297353CC}">
              <c16:uniqueId val="{00000004-A214-48F6-80BC-90C65524B61F}"/>
            </c:ext>
          </c:extLst>
        </c:ser>
        <c:ser>
          <c:idx val="5"/>
          <c:order val="5"/>
          <c:tx>
            <c:strRef>
              <c:f>Feuil5!$H$20</c:f>
              <c:strCache>
                <c:ptCount val="1"/>
                <c:pt idx="0">
                  <c:v>PARTIS POLITIQUES</c:v>
                </c:pt>
              </c:strCache>
            </c:strRef>
          </c:tx>
          <c:spPr>
            <a:solidFill>
              <a:schemeClr val="accent6"/>
            </a:solidFill>
            <a:ln>
              <a:noFill/>
            </a:ln>
            <a:effectLst/>
          </c:spPr>
          <c:invertIfNegative val="0"/>
          <c:cat>
            <c:strRef>
              <c:f>(Feuil5!$J$14,Feuil5!$L$14)</c:f>
              <c:strCache>
                <c:ptCount val="2"/>
                <c:pt idx="0">
                  <c:v>% TA</c:v>
                </c:pt>
                <c:pt idx="1">
                  <c:v>% TP</c:v>
                </c:pt>
              </c:strCache>
            </c:strRef>
          </c:cat>
          <c:val>
            <c:numRef>
              <c:f>(Feuil5!$J$20,Feuil5!$L$20)</c:f>
              <c:numCache>
                <c:formatCode>0.00%</c:formatCode>
                <c:ptCount val="2"/>
                <c:pt idx="0">
                  <c:v>1.23E-2</c:v>
                </c:pt>
                <c:pt idx="1">
                  <c:v>1.5900000000000001E-2</c:v>
                </c:pt>
              </c:numCache>
            </c:numRef>
          </c:val>
          <c:extLst>
            <c:ext xmlns:c16="http://schemas.microsoft.com/office/drawing/2014/chart" uri="{C3380CC4-5D6E-409C-BE32-E72D297353CC}">
              <c16:uniqueId val="{00000005-A214-48F6-80BC-90C65524B61F}"/>
            </c:ext>
          </c:extLst>
        </c:ser>
        <c:dLbls>
          <c:showLegendKey val="0"/>
          <c:showVal val="0"/>
          <c:showCatName val="0"/>
          <c:showSerName val="0"/>
          <c:showPercent val="0"/>
          <c:showBubbleSize val="0"/>
        </c:dLbls>
        <c:gapWidth val="219"/>
        <c:overlap val="-27"/>
        <c:axId val="688585552"/>
        <c:axId val="934326208"/>
      </c:barChart>
      <c:catAx>
        <c:axId val="68858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26208"/>
        <c:crosses val="autoZero"/>
        <c:auto val="1"/>
        <c:lblAlgn val="ctr"/>
        <c:lblOffset val="100"/>
        <c:noMultiLvlLbl val="0"/>
      </c:catAx>
      <c:valAx>
        <c:axId val="934326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688585552"/>
        <c:crosses val="autoZero"/>
        <c:crossBetween val="between"/>
      </c:valAx>
      <c:spPr>
        <a:noFill/>
        <a:ln>
          <a:noFill/>
        </a:ln>
        <a:effectLst/>
      </c:spPr>
    </c:plotArea>
    <c:legend>
      <c:legendPos val="b"/>
      <c:layout>
        <c:manualLayout>
          <c:xMode val="edge"/>
          <c:yMode val="edge"/>
          <c:x val="6.4452318460192504E-2"/>
          <c:y val="0.84835133980345501"/>
          <c:w val="0.91553980752405895"/>
          <c:h val="0.128392846243057"/>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Feuil5!$H$15</c:f>
              <c:strCache>
                <c:ptCount val="1"/>
                <c:pt idx="0">
                  <c:v>GOUVERNEMENT</c:v>
                </c:pt>
              </c:strCache>
            </c:strRef>
          </c:tx>
          <c:spPr>
            <a:solidFill>
              <a:schemeClr val="accent1"/>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(Feuil5!$J$15,Feuil5!$L$15)</c:f>
              <c:numCache>
                <c:formatCode>0.00%</c:formatCode>
                <c:ptCount val="2"/>
                <c:pt idx="0">
                  <c:v>0.56020000000000003</c:v>
                </c:pt>
                <c:pt idx="1">
                  <c:v>0.64959999999999996</c:v>
                </c:pt>
              </c:numCache>
            </c:numRef>
          </c:val>
          <c:extLst>
            <c:ext xmlns:c16="http://schemas.microsoft.com/office/drawing/2014/chart" uri="{C3380CC4-5D6E-409C-BE32-E72D297353CC}">
              <c16:uniqueId val="{00000000-BEFF-4162-894B-308E68976929}"/>
            </c:ext>
          </c:extLst>
        </c:ser>
        <c:ser>
          <c:idx val="1"/>
          <c:order val="1"/>
          <c:tx>
            <c:strRef>
              <c:f>Feuil5!$H$16</c:f>
              <c:strCache>
                <c:ptCount val="1"/>
                <c:pt idx="0">
                  <c:v>SOCIETE CIVILE</c:v>
                </c:pt>
              </c:strCache>
            </c:strRef>
          </c:tx>
          <c:spPr>
            <a:solidFill>
              <a:schemeClr val="accent2"/>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(Feuil5!$J$16,Feuil5!$L$16)</c:f>
              <c:numCache>
                <c:formatCode>0.00%</c:formatCode>
                <c:ptCount val="2"/>
                <c:pt idx="0">
                  <c:v>0.21679999999999999</c:v>
                </c:pt>
                <c:pt idx="1">
                  <c:v>0.1613</c:v>
                </c:pt>
              </c:numCache>
            </c:numRef>
          </c:val>
          <c:extLst>
            <c:ext xmlns:c16="http://schemas.microsoft.com/office/drawing/2014/chart" uri="{C3380CC4-5D6E-409C-BE32-E72D297353CC}">
              <c16:uniqueId val="{00000001-BEFF-4162-894B-308E68976929}"/>
            </c:ext>
          </c:extLst>
        </c:ser>
        <c:ser>
          <c:idx val="2"/>
          <c:order val="2"/>
          <c:tx>
            <c:strRef>
              <c:f>Feuil5!$H$17</c:f>
              <c:strCache>
                <c:ptCount val="1"/>
                <c:pt idx="0">
                  <c:v>LES AUTRES INSTITUTIONS</c:v>
                </c:pt>
              </c:strCache>
            </c:strRef>
          </c:tx>
          <c:spPr>
            <a:solidFill>
              <a:schemeClr val="accent3"/>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(Feuil5!$J$17,Feuil5!$L$17)</c:f>
              <c:numCache>
                <c:formatCode>0.00%</c:formatCode>
                <c:ptCount val="2"/>
                <c:pt idx="0">
                  <c:v>9.5100000000000004E-2</c:v>
                </c:pt>
                <c:pt idx="1">
                  <c:v>7.3800000000000004E-2</c:v>
                </c:pt>
              </c:numCache>
            </c:numRef>
          </c:val>
          <c:extLst>
            <c:ext xmlns:c16="http://schemas.microsoft.com/office/drawing/2014/chart" uri="{C3380CC4-5D6E-409C-BE32-E72D297353CC}">
              <c16:uniqueId val="{00000002-BEFF-4162-894B-308E68976929}"/>
            </c:ext>
          </c:extLst>
        </c:ser>
        <c:ser>
          <c:idx val="3"/>
          <c:order val="3"/>
          <c:tx>
            <c:strRef>
              <c:f>Feuil5!$H$18</c:f>
              <c:strCache>
                <c:ptCount val="1"/>
                <c:pt idx="0">
                  <c:v>PARTIS POLITIQUES</c:v>
                </c:pt>
              </c:strCache>
            </c:strRef>
          </c:tx>
          <c:spPr>
            <a:solidFill>
              <a:schemeClr val="accent4"/>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(Feuil5!$J$18,Feuil5!$L$18)</c:f>
              <c:numCache>
                <c:formatCode>0.00%</c:formatCode>
                <c:ptCount val="2"/>
                <c:pt idx="0">
                  <c:v>6.0600000000000001E-2</c:v>
                </c:pt>
                <c:pt idx="1">
                  <c:v>4.3200000000000002E-2</c:v>
                </c:pt>
              </c:numCache>
            </c:numRef>
          </c:val>
          <c:extLst>
            <c:ext xmlns:c16="http://schemas.microsoft.com/office/drawing/2014/chart" uri="{C3380CC4-5D6E-409C-BE32-E72D297353CC}">
              <c16:uniqueId val="{00000003-BEFF-4162-894B-308E68976929}"/>
            </c:ext>
          </c:extLst>
        </c:ser>
        <c:ser>
          <c:idx val="4"/>
          <c:order val="4"/>
          <c:tx>
            <c:strRef>
              <c:f>Feuil5!$H$19</c:f>
              <c:strCache>
                <c:ptCount val="1"/>
                <c:pt idx="0">
                  <c:v>PRESIDENCE DU FASO</c:v>
                </c:pt>
              </c:strCache>
            </c:strRef>
          </c:tx>
          <c:spPr>
            <a:solidFill>
              <a:schemeClr val="accent5"/>
            </a:solidFill>
            <a:ln>
              <a:noFill/>
            </a:ln>
            <a:effectLst/>
            <a:scene3d>
              <a:camera prst="orthographicFront"/>
              <a:lightRig rig="threePt" dir="t"/>
            </a:scene3d>
            <a:sp3d>
              <a:bevelT/>
            </a:sp3d>
          </c:spPr>
          <c:invertIfNegative val="0"/>
          <c:cat>
            <c:strRef>
              <c:f>(Feuil5!$J$14,Feuil5!$L$14)</c:f>
              <c:strCache>
                <c:ptCount val="2"/>
                <c:pt idx="0">
                  <c:v>% TA</c:v>
                </c:pt>
                <c:pt idx="1">
                  <c:v>% TP</c:v>
                </c:pt>
              </c:strCache>
            </c:strRef>
          </c:cat>
          <c:val>
            <c:numRef>
              <c:f>(Feuil5!$J$19,Feuil5!$L$19)</c:f>
              <c:numCache>
                <c:formatCode>0.00%</c:formatCode>
                <c:ptCount val="2"/>
                <c:pt idx="0">
                  <c:v>4.6199999999999998E-2</c:v>
                </c:pt>
                <c:pt idx="1">
                  <c:v>6.0499999999999998E-2</c:v>
                </c:pt>
              </c:numCache>
            </c:numRef>
          </c:val>
          <c:extLst>
            <c:ext xmlns:c16="http://schemas.microsoft.com/office/drawing/2014/chart" uri="{C3380CC4-5D6E-409C-BE32-E72D297353CC}">
              <c16:uniqueId val="{00000004-BEFF-4162-894B-308E68976929}"/>
            </c:ext>
          </c:extLst>
        </c:ser>
        <c:ser>
          <c:idx val="5"/>
          <c:order val="5"/>
          <c:tx>
            <c:strRef>
              <c:f>Feuil5!$H$20</c:f>
              <c:strCache>
                <c:ptCount val="1"/>
                <c:pt idx="0">
                  <c:v>ALT</c:v>
                </c:pt>
              </c:strCache>
            </c:strRef>
          </c:tx>
          <c:spPr>
            <a:solidFill>
              <a:schemeClr val="accent6"/>
            </a:solidFill>
            <a:ln>
              <a:noFill/>
            </a:ln>
            <a:effectLst/>
          </c:spPr>
          <c:invertIfNegative val="0"/>
          <c:cat>
            <c:strRef>
              <c:f>(Feuil5!$J$14,Feuil5!$L$14)</c:f>
              <c:strCache>
                <c:ptCount val="2"/>
                <c:pt idx="0">
                  <c:v>% TA</c:v>
                </c:pt>
                <c:pt idx="1">
                  <c:v>% TP</c:v>
                </c:pt>
              </c:strCache>
            </c:strRef>
          </c:cat>
          <c:val>
            <c:numRef>
              <c:f>(Feuil5!$J$20,Feuil5!$L$20)</c:f>
              <c:numCache>
                <c:formatCode>0.00%</c:formatCode>
                <c:ptCount val="2"/>
                <c:pt idx="0">
                  <c:v>2.12E-2</c:v>
                </c:pt>
                <c:pt idx="1">
                  <c:v>1.1599999999999999E-2</c:v>
                </c:pt>
              </c:numCache>
            </c:numRef>
          </c:val>
          <c:extLst>
            <c:ext xmlns:c16="http://schemas.microsoft.com/office/drawing/2014/chart" uri="{C3380CC4-5D6E-409C-BE32-E72D297353CC}">
              <c16:uniqueId val="{00000005-BEFF-4162-894B-308E68976929}"/>
            </c:ext>
          </c:extLst>
        </c:ser>
        <c:dLbls>
          <c:showLegendKey val="0"/>
          <c:showVal val="0"/>
          <c:showCatName val="0"/>
          <c:showSerName val="0"/>
          <c:showPercent val="0"/>
          <c:showBubbleSize val="0"/>
        </c:dLbls>
        <c:gapWidth val="219"/>
        <c:overlap val="-27"/>
        <c:axId val="688585552"/>
        <c:axId val="934326208"/>
      </c:barChart>
      <c:catAx>
        <c:axId val="68858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26208"/>
        <c:crosses val="autoZero"/>
        <c:auto val="1"/>
        <c:lblAlgn val="ctr"/>
        <c:lblOffset val="100"/>
        <c:noMultiLvlLbl val="0"/>
      </c:catAx>
      <c:valAx>
        <c:axId val="934326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688585552"/>
        <c:crosses val="autoZero"/>
        <c:crossBetween val="between"/>
      </c:valAx>
      <c:spPr>
        <a:noFill/>
        <a:ln>
          <a:noFill/>
        </a:ln>
        <a:effectLst/>
      </c:spPr>
    </c:plotArea>
    <c:legend>
      <c:legendPos val="b"/>
      <c:layout>
        <c:manualLayout>
          <c:xMode val="edge"/>
          <c:yMode val="edge"/>
          <c:x val="6.4452318460192504E-2"/>
          <c:y val="0.84835133980345501"/>
          <c:w val="0.91553980752405895"/>
          <c:h val="0.128392846243057"/>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r>
              <a:rPr lang="en-US" b="1"/>
              <a:t>MEDIAS AUDIOVISUELS</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Feuil6!$P$54</c:f>
              <c:strCache>
                <c:ptCount val="1"/>
                <c:pt idx="0">
                  <c:v>POLITIQUE</c:v>
                </c:pt>
              </c:strCache>
            </c:strRef>
          </c:tx>
          <c:spPr>
            <a:solidFill>
              <a:schemeClr val="accent1"/>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(Feuil6!$R$54,Feuil6!$T$54)</c:f>
              <c:numCache>
                <c:formatCode>0.00%</c:formatCode>
                <c:ptCount val="2"/>
                <c:pt idx="0">
                  <c:v>0.28639999999999999</c:v>
                </c:pt>
                <c:pt idx="1">
                  <c:v>0.33289999999999997</c:v>
                </c:pt>
              </c:numCache>
            </c:numRef>
          </c:val>
          <c:extLst>
            <c:ext xmlns:c16="http://schemas.microsoft.com/office/drawing/2014/chart" uri="{C3380CC4-5D6E-409C-BE32-E72D297353CC}">
              <c16:uniqueId val="{00000000-802F-47DC-9D96-F05D215D5593}"/>
            </c:ext>
          </c:extLst>
        </c:ser>
        <c:ser>
          <c:idx val="1"/>
          <c:order val="1"/>
          <c:tx>
            <c:strRef>
              <c:f>Feuil6!$P$55</c:f>
              <c:strCache>
                <c:ptCount val="1"/>
                <c:pt idx="0">
                  <c:v>SOCIETE</c:v>
                </c:pt>
              </c:strCache>
            </c:strRef>
          </c:tx>
          <c:spPr>
            <a:solidFill>
              <a:schemeClr val="accent2"/>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(Feuil6!$R$55,Feuil6!$T$55)</c:f>
              <c:numCache>
                <c:formatCode>0.00%</c:formatCode>
                <c:ptCount val="2"/>
                <c:pt idx="0">
                  <c:v>0.28249999999999997</c:v>
                </c:pt>
                <c:pt idx="1">
                  <c:v>0.28789999999999999</c:v>
                </c:pt>
              </c:numCache>
            </c:numRef>
          </c:val>
          <c:extLst>
            <c:ext xmlns:c16="http://schemas.microsoft.com/office/drawing/2014/chart" uri="{C3380CC4-5D6E-409C-BE32-E72D297353CC}">
              <c16:uniqueId val="{00000001-802F-47DC-9D96-F05D215D5593}"/>
            </c:ext>
          </c:extLst>
        </c:ser>
        <c:ser>
          <c:idx val="2"/>
          <c:order val="2"/>
          <c:tx>
            <c:strRef>
              <c:f>Feuil6!$P$56</c:f>
              <c:strCache>
                <c:ptCount val="1"/>
                <c:pt idx="0">
                  <c:v>SANTE</c:v>
                </c:pt>
              </c:strCache>
            </c:strRef>
          </c:tx>
          <c:spPr>
            <a:solidFill>
              <a:schemeClr val="accent3"/>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(Feuil6!$R$56,Feuil6!$T$56)</c:f>
              <c:numCache>
                <c:formatCode>0.00%</c:formatCode>
                <c:ptCount val="2"/>
                <c:pt idx="0">
                  <c:v>0.1172</c:v>
                </c:pt>
                <c:pt idx="1">
                  <c:v>0.10920000000000001</c:v>
                </c:pt>
              </c:numCache>
            </c:numRef>
          </c:val>
          <c:extLst>
            <c:ext xmlns:c16="http://schemas.microsoft.com/office/drawing/2014/chart" uri="{C3380CC4-5D6E-409C-BE32-E72D297353CC}">
              <c16:uniqueId val="{00000002-802F-47DC-9D96-F05D215D5593}"/>
            </c:ext>
          </c:extLst>
        </c:ser>
        <c:ser>
          <c:idx val="3"/>
          <c:order val="3"/>
          <c:tx>
            <c:strRef>
              <c:f>Feuil6!$P$57</c:f>
              <c:strCache>
                <c:ptCount val="1"/>
                <c:pt idx="0">
                  <c:v>SECURITE</c:v>
                </c:pt>
              </c:strCache>
            </c:strRef>
          </c:tx>
          <c:spPr>
            <a:solidFill>
              <a:schemeClr val="accent4"/>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(Feuil6!$R$57,Feuil6!$T$57)</c:f>
              <c:numCache>
                <c:formatCode>0.00%</c:formatCode>
                <c:ptCount val="2"/>
                <c:pt idx="0">
                  <c:v>0.105</c:v>
                </c:pt>
                <c:pt idx="1">
                  <c:v>0.1057</c:v>
                </c:pt>
              </c:numCache>
            </c:numRef>
          </c:val>
          <c:extLst>
            <c:ext xmlns:c16="http://schemas.microsoft.com/office/drawing/2014/chart" uri="{C3380CC4-5D6E-409C-BE32-E72D297353CC}">
              <c16:uniqueId val="{00000003-802F-47DC-9D96-F05D215D5593}"/>
            </c:ext>
          </c:extLst>
        </c:ser>
        <c:ser>
          <c:idx val="4"/>
          <c:order val="4"/>
          <c:tx>
            <c:strRef>
              <c:f>Feuil6!$P$58</c:f>
              <c:strCache>
                <c:ptCount val="1"/>
                <c:pt idx="0">
                  <c:v>ECONOMIE</c:v>
                </c:pt>
              </c:strCache>
            </c:strRef>
          </c:tx>
          <c:spPr>
            <a:solidFill>
              <a:schemeClr val="accent5"/>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(Feuil6!$R$58,Feuil6!$T$58)</c:f>
              <c:numCache>
                <c:formatCode>0.00%</c:formatCode>
                <c:ptCount val="2"/>
                <c:pt idx="0">
                  <c:v>0.1042</c:v>
                </c:pt>
                <c:pt idx="1">
                  <c:v>9.2600000000000002E-2</c:v>
                </c:pt>
              </c:numCache>
            </c:numRef>
          </c:val>
          <c:extLst>
            <c:ext xmlns:c16="http://schemas.microsoft.com/office/drawing/2014/chart" uri="{C3380CC4-5D6E-409C-BE32-E72D297353CC}">
              <c16:uniqueId val="{00000004-802F-47DC-9D96-F05D215D5593}"/>
            </c:ext>
          </c:extLst>
        </c:ser>
        <c:ser>
          <c:idx val="5"/>
          <c:order val="5"/>
          <c:tx>
            <c:strRef>
              <c:f>Feuil6!$P$59</c:f>
              <c:strCache>
                <c:ptCount val="1"/>
                <c:pt idx="0">
                  <c:v>CULTURE</c:v>
                </c:pt>
              </c:strCache>
            </c:strRef>
          </c:tx>
          <c:spPr>
            <a:solidFill>
              <a:schemeClr val="accent6"/>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(Feuil6!$R$59,Feuil6!$T$59)</c:f>
              <c:numCache>
                <c:formatCode>0.00%</c:formatCode>
                <c:ptCount val="2"/>
                <c:pt idx="0">
                  <c:v>7.4099999999999999E-2</c:v>
                </c:pt>
                <c:pt idx="1">
                  <c:v>5.28E-2</c:v>
                </c:pt>
              </c:numCache>
            </c:numRef>
          </c:val>
          <c:extLst>
            <c:ext xmlns:c16="http://schemas.microsoft.com/office/drawing/2014/chart" uri="{C3380CC4-5D6E-409C-BE32-E72D297353CC}">
              <c16:uniqueId val="{00000005-802F-47DC-9D96-F05D215D5593}"/>
            </c:ext>
          </c:extLst>
        </c:ser>
        <c:ser>
          <c:idx val="6"/>
          <c:order val="6"/>
          <c:tx>
            <c:strRef>
              <c:f>Feuil6!$P$60</c:f>
              <c:strCache>
                <c:ptCount val="1"/>
                <c:pt idx="0">
                  <c:v>RELIGION</c:v>
                </c:pt>
              </c:strCache>
            </c:strRef>
          </c:tx>
          <c:spPr>
            <a:solidFill>
              <a:schemeClr val="accent1">
                <a:lumMod val="60000"/>
              </a:schemeClr>
            </a:solidFill>
            <a:ln>
              <a:noFill/>
            </a:ln>
            <a:effectLst/>
            <a:scene3d>
              <a:camera prst="orthographicFront"/>
              <a:lightRig rig="threePt" dir="t"/>
            </a:scene3d>
            <a:sp3d>
              <a:bevelT/>
            </a:sp3d>
          </c:spPr>
          <c:invertIfNegative val="0"/>
          <c:cat>
            <c:strRef>
              <c:f>(Feuil6!$R$53,Feuil6!$T$53)</c:f>
              <c:strCache>
                <c:ptCount val="2"/>
                <c:pt idx="0">
                  <c:v>% TA</c:v>
                </c:pt>
                <c:pt idx="1">
                  <c:v>% TP</c:v>
                </c:pt>
              </c:strCache>
            </c:strRef>
          </c:cat>
          <c:val>
            <c:numRef>
              <c:f>(Feuil6!$R$60,Feuil6!$T$60)</c:f>
              <c:numCache>
                <c:formatCode>0.00%</c:formatCode>
                <c:ptCount val="2"/>
                <c:pt idx="0">
                  <c:v>3.0700000000000002E-2</c:v>
                </c:pt>
                <c:pt idx="1">
                  <c:v>1.89E-2</c:v>
                </c:pt>
              </c:numCache>
            </c:numRef>
          </c:val>
          <c:extLst>
            <c:ext xmlns:c16="http://schemas.microsoft.com/office/drawing/2014/chart" uri="{C3380CC4-5D6E-409C-BE32-E72D297353CC}">
              <c16:uniqueId val="{00000006-802F-47DC-9D96-F05D215D5593}"/>
            </c:ext>
          </c:extLst>
        </c:ser>
        <c:ser>
          <c:idx val="7"/>
          <c:order val="7"/>
          <c:tx>
            <c:strRef>
              <c:f>Feuil6!$P$61</c:f>
              <c:strCache>
                <c:ptCount val="1"/>
                <c:pt idx="0">
                  <c:v>GENRE</c:v>
                </c:pt>
              </c:strCache>
            </c:strRef>
          </c:tx>
          <c:spPr>
            <a:solidFill>
              <a:schemeClr val="accent2">
                <a:lumMod val="60000"/>
              </a:schemeClr>
            </a:solidFill>
            <a:ln>
              <a:noFill/>
            </a:ln>
            <a:effectLst/>
          </c:spPr>
          <c:invertIfNegative val="0"/>
          <c:cat>
            <c:strRef>
              <c:f>(Feuil6!$R$53,Feuil6!$T$53)</c:f>
              <c:strCache>
                <c:ptCount val="2"/>
                <c:pt idx="0">
                  <c:v>% TA</c:v>
                </c:pt>
                <c:pt idx="1">
                  <c:v>% TP</c:v>
                </c:pt>
              </c:strCache>
            </c:strRef>
          </c:cat>
          <c:val>
            <c:numRef>
              <c:f>(Feuil6!$R$61,Feuil6!$T$61)</c:f>
              <c:numCache>
                <c:formatCode>0.00%</c:formatCode>
                <c:ptCount val="2"/>
                <c:pt idx="0">
                  <c:v>0</c:v>
                </c:pt>
                <c:pt idx="1">
                  <c:v>0</c:v>
                </c:pt>
              </c:numCache>
            </c:numRef>
          </c:val>
          <c:extLst>
            <c:ext xmlns:c16="http://schemas.microsoft.com/office/drawing/2014/chart" uri="{C3380CC4-5D6E-409C-BE32-E72D297353CC}">
              <c16:uniqueId val="{00000007-802F-47DC-9D96-F05D215D5593}"/>
            </c:ext>
          </c:extLst>
        </c:ser>
        <c:dLbls>
          <c:showLegendKey val="0"/>
          <c:showVal val="0"/>
          <c:showCatName val="0"/>
          <c:showSerName val="0"/>
          <c:showPercent val="0"/>
          <c:showBubbleSize val="0"/>
        </c:dLbls>
        <c:gapWidth val="219"/>
        <c:overlap val="-27"/>
        <c:axId val="170977376"/>
        <c:axId val="48548064"/>
      </c:barChart>
      <c:catAx>
        <c:axId val="170977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48548064"/>
        <c:crosses val="autoZero"/>
        <c:auto val="1"/>
        <c:lblAlgn val="ctr"/>
        <c:lblOffset val="100"/>
        <c:noMultiLvlLbl val="0"/>
      </c:catAx>
      <c:valAx>
        <c:axId val="485480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170977376"/>
        <c:crosses val="autoZero"/>
        <c:crossBetween val="between"/>
      </c:valAx>
      <c:spPr>
        <a:noFill/>
        <a:ln>
          <a:noFill/>
        </a:ln>
        <a:effectLst/>
      </c:spPr>
    </c:plotArea>
    <c:legend>
      <c:legendPos val="b"/>
      <c:layout>
        <c:manualLayout>
          <c:xMode val="edge"/>
          <c:yMode val="edge"/>
          <c:x val="3.72405949256343E-2"/>
          <c:y val="0.84331702999753599"/>
          <c:w val="0.92829658792650904"/>
          <c:h val="0.13210540100142301"/>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r>
              <a:rPr lang="en-US" b="1"/>
              <a:t>RADIOS</a:t>
            </a:r>
          </a:p>
        </c:rich>
      </c:tx>
      <c:overlay val="0"/>
      <c:spPr>
        <a:noFill/>
        <a:ln>
          <a:noFill/>
        </a:ln>
        <a:effectLst/>
      </c:spPr>
      <c:txPr>
        <a:bodyPr rot="0" spcFirstLastPara="1" vertOverflow="ellipsis" vert="horz" wrap="square" anchor="ctr" anchorCtr="1"/>
        <a:lstStyle/>
        <a:p>
          <a:pPr>
            <a:defRPr lang="fr-FR" sz="1400" b="1"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tx>
            <c:strRef>
              <c:f>Feuil6!$A$66</c:f>
              <c:strCache>
                <c:ptCount val="1"/>
                <c:pt idx="0">
                  <c:v>SOCIETE</c:v>
                </c:pt>
              </c:strCache>
            </c:strRef>
          </c:tx>
          <c:spPr>
            <a:solidFill>
              <a:schemeClr val="accent1"/>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(Feuil6!$C$66,Feuil6!$E$66)</c:f>
              <c:numCache>
                <c:formatCode>0.00%</c:formatCode>
                <c:ptCount val="2"/>
                <c:pt idx="0">
                  <c:v>0.35299999999999998</c:v>
                </c:pt>
                <c:pt idx="1">
                  <c:v>0.35299999999999998</c:v>
                </c:pt>
              </c:numCache>
            </c:numRef>
          </c:val>
          <c:extLst>
            <c:ext xmlns:c16="http://schemas.microsoft.com/office/drawing/2014/chart" uri="{C3380CC4-5D6E-409C-BE32-E72D297353CC}">
              <c16:uniqueId val="{00000000-6391-47A0-93DD-75FCD6B3B1A7}"/>
            </c:ext>
          </c:extLst>
        </c:ser>
        <c:ser>
          <c:idx val="1"/>
          <c:order val="1"/>
          <c:tx>
            <c:strRef>
              <c:f>Feuil6!$A$67</c:f>
              <c:strCache>
                <c:ptCount val="1"/>
                <c:pt idx="0">
                  <c:v>POLITIQUE</c:v>
                </c:pt>
              </c:strCache>
            </c:strRef>
          </c:tx>
          <c:spPr>
            <a:solidFill>
              <a:schemeClr val="accent2"/>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(Feuil6!$C$67,Feuil6!$E$67)</c:f>
              <c:numCache>
                <c:formatCode>0.00%</c:formatCode>
                <c:ptCount val="2"/>
                <c:pt idx="0">
                  <c:v>0.25040000000000001</c:v>
                </c:pt>
                <c:pt idx="1">
                  <c:v>0.29389999999999999</c:v>
                </c:pt>
              </c:numCache>
            </c:numRef>
          </c:val>
          <c:extLst>
            <c:ext xmlns:c16="http://schemas.microsoft.com/office/drawing/2014/chart" uri="{C3380CC4-5D6E-409C-BE32-E72D297353CC}">
              <c16:uniqueId val="{00000001-6391-47A0-93DD-75FCD6B3B1A7}"/>
            </c:ext>
          </c:extLst>
        </c:ser>
        <c:ser>
          <c:idx val="2"/>
          <c:order val="2"/>
          <c:tx>
            <c:strRef>
              <c:f>Feuil6!$A$68</c:f>
              <c:strCache>
                <c:ptCount val="1"/>
                <c:pt idx="0">
                  <c:v>SANTE</c:v>
                </c:pt>
              </c:strCache>
            </c:strRef>
          </c:tx>
          <c:spPr>
            <a:solidFill>
              <a:schemeClr val="accent3"/>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(Feuil6!$C$68,Feuil6!$E$68)</c:f>
              <c:numCache>
                <c:formatCode>0.00%</c:formatCode>
                <c:ptCount val="2"/>
                <c:pt idx="0">
                  <c:v>0.1162</c:v>
                </c:pt>
                <c:pt idx="1">
                  <c:v>0.10299999999999999</c:v>
                </c:pt>
              </c:numCache>
            </c:numRef>
          </c:val>
          <c:extLst>
            <c:ext xmlns:c16="http://schemas.microsoft.com/office/drawing/2014/chart" uri="{C3380CC4-5D6E-409C-BE32-E72D297353CC}">
              <c16:uniqueId val="{00000002-6391-47A0-93DD-75FCD6B3B1A7}"/>
            </c:ext>
          </c:extLst>
        </c:ser>
        <c:ser>
          <c:idx val="3"/>
          <c:order val="3"/>
          <c:tx>
            <c:strRef>
              <c:f>Feuil6!$A$69</c:f>
              <c:strCache>
                <c:ptCount val="1"/>
                <c:pt idx="0">
                  <c:v>SECURITE</c:v>
                </c:pt>
              </c:strCache>
            </c:strRef>
          </c:tx>
          <c:spPr>
            <a:solidFill>
              <a:schemeClr val="accent4"/>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(Feuil6!$C$69,Feuil6!$E$69)</c:f>
              <c:numCache>
                <c:formatCode>0.00%</c:formatCode>
                <c:ptCount val="2"/>
                <c:pt idx="0">
                  <c:v>0.1007</c:v>
                </c:pt>
                <c:pt idx="1">
                  <c:v>0.1074</c:v>
                </c:pt>
              </c:numCache>
            </c:numRef>
          </c:val>
          <c:extLst>
            <c:ext xmlns:c16="http://schemas.microsoft.com/office/drawing/2014/chart" uri="{C3380CC4-5D6E-409C-BE32-E72D297353CC}">
              <c16:uniqueId val="{00000003-6391-47A0-93DD-75FCD6B3B1A7}"/>
            </c:ext>
          </c:extLst>
        </c:ser>
        <c:ser>
          <c:idx val="4"/>
          <c:order val="4"/>
          <c:tx>
            <c:strRef>
              <c:f>Feuil6!$A$70</c:f>
              <c:strCache>
                <c:ptCount val="1"/>
                <c:pt idx="0">
                  <c:v>ECONOMIE</c:v>
                </c:pt>
              </c:strCache>
            </c:strRef>
          </c:tx>
          <c:spPr>
            <a:solidFill>
              <a:schemeClr val="accent5"/>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(Feuil6!$C$70,Feuil6!$E$70)</c:f>
              <c:numCache>
                <c:formatCode>0.00%</c:formatCode>
                <c:ptCount val="2"/>
                <c:pt idx="0">
                  <c:v>8.7400000000000005E-2</c:v>
                </c:pt>
                <c:pt idx="1">
                  <c:v>7.6700000000000004E-2</c:v>
                </c:pt>
              </c:numCache>
            </c:numRef>
          </c:val>
          <c:extLst>
            <c:ext xmlns:c16="http://schemas.microsoft.com/office/drawing/2014/chart" uri="{C3380CC4-5D6E-409C-BE32-E72D297353CC}">
              <c16:uniqueId val="{00000004-6391-47A0-93DD-75FCD6B3B1A7}"/>
            </c:ext>
          </c:extLst>
        </c:ser>
        <c:ser>
          <c:idx val="5"/>
          <c:order val="5"/>
          <c:tx>
            <c:strRef>
              <c:f>Feuil6!$A$71</c:f>
              <c:strCache>
                <c:ptCount val="1"/>
                <c:pt idx="0">
                  <c:v>CULTURE</c:v>
                </c:pt>
              </c:strCache>
            </c:strRef>
          </c:tx>
          <c:spPr>
            <a:solidFill>
              <a:schemeClr val="accent6"/>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(Feuil6!$C$71,Feuil6!$E$71)</c:f>
              <c:numCache>
                <c:formatCode>0.00%</c:formatCode>
                <c:ptCount val="2"/>
                <c:pt idx="0">
                  <c:v>5.7599999999999998E-2</c:v>
                </c:pt>
                <c:pt idx="1">
                  <c:v>4.4900000000000002E-2</c:v>
                </c:pt>
              </c:numCache>
            </c:numRef>
          </c:val>
          <c:extLst>
            <c:ext xmlns:c16="http://schemas.microsoft.com/office/drawing/2014/chart" uri="{C3380CC4-5D6E-409C-BE32-E72D297353CC}">
              <c16:uniqueId val="{00000005-6391-47A0-93DD-75FCD6B3B1A7}"/>
            </c:ext>
          </c:extLst>
        </c:ser>
        <c:ser>
          <c:idx val="6"/>
          <c:order val="6"/>
          <c:tx>
            <c:strRef>
              <c:f>Feuil6!$A$72</c:f>
              <c:strCache>
                <c:ptCount val="1"/>
                <c:pt idx="0">
                  <c:v>RELIGION</c:v>
                </c:pt>
              </c:strCache>
            </c:strRef>
          </c:tx>
          <c:spPr>
            <a:solidFill>
              <a:schemeClr val="accent1">
                <a:lumMod val="60000"/>
              </a:schemeClr>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(Feuil6!$C$72,Feuil6!$E$72)</c:f>
              <c:numCache>
                <c:formatCode>0.00%</c:formatCode>
                <c:ptCount val="2"/>
                <c:pt idx="0">
                  <c:v>3.4700000000000002E-2</c:v>
                </c:pt>
                <c:pt idx="1">
                  <c:v>2.1100000000000001E-2</c:v>
                </c:pt>
              </c:numCache>
            </c:numRef>
          </c:val>
          <c:extLst>
            <c:ext xmlns:c16="http://schemas.microsoft.com/office/drawing/2014/chart" uri="{C3380CC4-5D6E-409C-BE32-E72D297353CC}">
              <c16:uniqueId val="{00000006-6391-47A0-93DD-75FCD6B3B1A7}"/>
            </c:ext>
          </c:extLst>
        </c:ser>
        <c:ser>
          <c:idx val="7"/>
          <c:order val="7"/>
          <c:tx>
            <c:strRef>
              <c:f>Feuil6!$A$73</c:f>
              <c:strCache>
                <c:ptCount val="1"/>
                <c:pt idx="0">
                  <c:v>GENRE</c:v>
                </c:pt>
              </c:strCache>
            </c:strRef>
          </c:tx>
          <c:spPr>
            <a:solidFill>
              <a:schemeClr val="accent2">
                <a:lumMod val="60000"/>
              </a:schemeClr>
            </a:solidFill>
            <a:ln>
              <a:noFill/>
            </a:ln>
            <a:effectLst/>
          </c:spPr>
          <c:invertIfNegative val="0"/>
          <c:cat>
            <c:strRef>
              <c:f>(Feuil6!$C$65,Feuil6!$E$65)</c:f>
              <c:strCache>
                <c:ptCount val="2"/>
                <c:pt idx="0">
                  <c:v>% TA</c:v>
                </c:pt>
                <c:pt idx="1">
                  <c:v>% TP</c:v>
                </c:pt>
              </c:strCache>
            </c:strRef>
          </c:cat>
          <c:val>
            <c:numRef>
              <c:f>(Feuil6!$C$73,Feuil6!$E$73)</c:f>
              <c:numCache>
                <c:formatCode>0.00%</c:formatCode>
                <c:ptCount val="2"/>
                <c:pt idx="0">
                  <c:v>0</c:v>
                </c:pt>
                <c:pt idx="1">
                  <c:v>0</c:v>
                </c:pt>
              </c:numCache>
            </c:numRef>
          </c:val>
          <c:extLst>
            <c:ext xmlns:c16="http://schemas.microsoft.com/office/drawing/2014/chart" uri="{C3380CC4-5D6E-409C-BE32-E72D297353CC}">
              <c16:uniqueId val="{00000007-6391-47A0-93DD-75FCD6B3B1A7}"/>
            </c:ext>
          </c:extLst>
        </c:ser>
        <c:dLbls>
          <c:showLegendKey val="0"/>
          <c:showVal val="0"/>
          <c:showCatName val="0"/>
          <c:showSerName val="0"/>
          <c:showPercent val="0"/>
          <c:showBubbleSize val="0"/>
        </c:dLbls>
        <c:gapWidth val="219"/>
        <c:overlap val="-27"/>
        <c:axId val="934383616"/>
        <c:axId val="934314304"/>
      </c:barChart>
      <c:catAx>
        <c:axId val="93438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14304"/>
        <c:crosses val="autoZero"/>
        <c:auto val="1"/>
        <c:lblAlgn val="ctr"/>
        <c:lblOffset val="100"/>
        <c:noMultiLvlLbl val="0"/>
      </c:catAx>
      <c:valAx>
        <c:axId val="9343143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83616"/>
        <c:crosses val="autoZero"/>
        <c:crossBetween val="between"/>
      </c:valAx>
      <c:spPr>
        <a:noFill/>
        <a:ln>
          <a:noFill/>
        </a:ln>
        <a:effectLst/>
      </c:spPr>
    </c:plotArea>
    <c:legend>
      <c:legendPos val="b"/>
      <c:layout>
        <c:manualLayout>
          <c:xMode val="edge"/>
          <c:yMode val="edge"/>
          <c:x val="2.3351706036745402E-2"/>
          <c:y val="0.82291557305336804"/>
          <c:w val="0.94774103237095397"/>
          <c:h val="0.149306649168854"/>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2692038495188"/>
          <c:y val="0.13004629629629599"/>
          <c:w val="0.852863517060367"/>
          <c:h val="0.54380322251385205"/>
        </c:manualLayout>
      </c:layout>
      <c:barChart>
        <c:barDir val="col"/>
        <c:grouping val="clustered"/>
        <c:varyColors val="0"/>
        <c:ser>
          <c:idx val="0"/>
          <c:order val="0"/>
          <c:tx>
            <c:strRef>
              <c:f>Feuil6!$A$66</c:f>
              <c:strCache>
                <c:ptCount val="1"/>
                <c:pt idx="0">
                  <c:v>POLITIQUE</c:v>
                </c:pt>
              </c:strCache>
            </c:strRef>
          </c:tx>
          <c:spPr>
            <a:solidFill>
              <a:schemeClr val="accent1"/>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(Feuil6!$C$66,Feuil6!$E$66)</c:f>
              <c:numCache>
                <c:formatCode>0.00%</c:formatCode>
                <c:ptCount val="2"/>
                <c:pt idx="0">
                  <c:v>0.30740000000000001</c:v>
                </c:pt>
                <c:pt idx="1">
                  <c:v>0.36270000000000002</c:v>
                </c:pt>
              </c:numCache>
            </c:numRef>
          </c:val>
          <c:extLst>
            <c:ext xmlns:c16="http://schemas.microsoft.com/office/drawing/2014/chart" uri="{C3380CC4-5D6E-409C-BE32-E72D297353CC}">
              <c16:uniqueId val="{00000000-A96D-459C-91F2-021CE6DBB457}"/>
            </c:ext>
          </c:extLst>
        </c:ser>
        <c:ser>
          <c:idx val="1"/>
          <c:order val="1"/>
          <c:tx>
            <c:strRef>
              <c:f>Feuil6!$A$67</c:f>
              <c:strCache>
                <c:ptCount val="1"/>
                <c:pt idx="0">
                  <c:v>SOCIETE</c:v>
                </c:pt>
              </c:strCache>
            </c:strRef>
          </c:tx>
          <c:spPr>
            <a:solidFill>
              <a:schemeClr val="accent2"/>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(Feuil6!$C$67,Feuil6!$E$67)</c:f>
              <c:numCache>
                <c:formatCode>0.00%</c:formatCode>
                <c:ptCount val="2"/>
                <c:pt idx="0">
                  <c:v>0.24129999999999999</c:v>
                </c:pt>
                <c:pt idx="1">
                  <c:v>0.23799999999999999</c:v>
                </c:pt>
              </c:numCache>
            </c:numRef>
          </c:val>
          <c:extLst>
            <c:ext xmlns:c16="http://schemas.microsoft.com/office/drawing/2014/chart" uri="{C3380CC4-5D6E-409C-BE32-E72D297353CC}">
              <c16:uniqueId val="{00000001-A96D-459C-91F2-021CE6DBB457}"/>
            </c:ext>
          </c:extLst>
        </c:ser>
        <c:ser>
          <c:idx val="2"/>
          <c:order val="2"/>
          <c:tx>
            <c:strRef>
              <c:f>Feuil6!$A$68</c:f>
              <c:strCache>
                <c:ptCount val="1"/>
                <c:pt idx="0">
                  <c:v>SANTE</c:v>
                </c:pt>
              </c:strCache>
            </c:strRef>
          </c:tx>
          <c:spPr>
            <a:solidFill>
              <a:schemeClr val="accent3"/>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(Feuil6!$C$68,Feuil6!$E$68)</c:f>
              <c:numCache>
                <c:formatCode>0.00%</c:formatCode>
                <c:ptCount val="2"/>
                <c:pt idx="0">
                  <c:v>0.1178</c:v>
                </c:pt>
                <c:pt idx="1">
                  <c:v>0.11409999999999999</c:v>
                </c:pt>
              </c:numCache>
            </c:numRef>
          </c:val>
          <c:extLst>
            <c:ext xmlns:c16="http://schemas.microsoft.com/office/drawing/2014/chart" uri="{C3380CC4-5D6E-409C-BE32-E72D297353CC}">
              <c16:uniqueId val="{00000002-A96D-459C-91F2-021CE6DBB457}"/>
            </c:ext>
          </c:extLst>
        </c:ser>
        <c:ser>
          <c:idx val="3"/>
          <c:order val="3"/>
          <c:tx>
            <c:strRef>
              <c:f>Feuil6!$A$69</c:f>
              <c:strCache>
                <c:ptCount val="1"/>
                <c:pt idx="0">
                  <c:v>ECONOMIE</c:v>
                </c:pt>
              </c:strCache>
            </c:strRef>
          </c:tx>
          <c:spPr>
            <a:solidFill>
              <a:schemeClr val="accent4"/>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(Feuil6!$C$69,Feuil6!$E$69)</c:f>
              <c:numCache>
                <c:formatCode>0.00%</c:formatCode>
                <c:ptCount val="2"/>
                <c:pt idx="0">
                  <c:v>0.114</c:v>
                </c:pt>
                <c:pt idx="1">
                  <c:v>0.1047</c:v>
                </c:pt>
              </c:numCache>
            </c:numRef>
          </c:val>
          <c:extLst>
            <c:ext xmlns:c16="http://schemas.microsoft.com/office/drawing/2014/chart" uri="{C3380CC4-5D6E-409C-BE32-E72D297353CC}">
              <c16:uniqueId val="{00000003-A96D-459C-91F2-021CE6DBB457}"/>
            </c:ext>
          </c:extLst>
        </c:ser>
        <c:ser>
          <c:idx val="4"/>
          <c:order val="4"/>
          <c:tx>
            <c:strRef>
              <c:f>Feuil6!$A$70</c:f>
              <c:strCache>
                <c:ptCount val="1"/>
                <c:pt idx="0">
                  <c:v>SECURITE</c:v>
                </c:pt>
              </c:strCache>
            </c:strRef>
          </c:tx>
          <c:spPr>
            <a:solidFill>
              <a:schemeClr val="accent5"/>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(Feuil6!$C$70,Feuil6!$E$70)</c:f>
              <c:numCache>
                <c:formatCode>0.00%</c:formatCode>
                <c:ptCount val="2"/>
                <c:pt idx="0">
                  <c:v>0.1075</c:v>
                </c:pt>
                <c:pt idx="1">
                  <c:v>0.1045</c:v>
                </c:pt>
              </c:numCache>
            </c:numRef>
          </c:val>
          <c:extLst>
            <c:ext xmlns:c16="http://schemas.microsoft.com/office/drawing/2014/chart" uri="{C3380CC4-5D6E-409C-BE32-E72D297353CC}">
              <c16:uniqueId val="{00000004-A96D-459C-91F2-021CE6DBB457}"/>
            </c:ext>
          </c:extLst>
        </c:ser>
        <c:ser>
          <c:idx val="5"/>
          <c:order val="5"/>
          <c:tx>
            <c:strRef>
              <c:f>Feuil6!$A$71</c:f>
              <c:strCache>
                <c:ptCount val="1"/>
                <c:pt idx="0">
                  <c:v>CULTURE</c:v>
                </c:pt>
              </c:strCache>
            </c:strRef>
          </c:tx>
          <c:spPr>
            <a:solidFill>
              <a:schemeClr val="accent6"/>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(Feuil6!$C$71,Feuil6!$E$71)</c:f>
              <c:numCache>
                <c:formatCode>0.00%</c:formatCode>
                <c:ptCount val="2"/>
                <c:pt idx="0">
                  <c:v>8.3799999999999999E-2</c:v>
                </c:pt>
                <c:pt idx="1">
                  <c:v>5.8799999999999998E-2</c:v>
                </c:pt>
              </c:numCache>
            </c:numRef>
          </c:val>
          <c:extLst>
            <c:ext xmlns:c16="http://schemas.microsoft.com/office/drawing/2014/chart" uri="{C3380CC4-5D6E-409C-BE32-E72D297353CC}">
              <c16:uniqueId val="{00000005-A96D-459C-91F2-021CE6DBB457}"/>
            </c:ext>
          </c:extLst>
        </c:ser>
        <c:ser>
          <c:idx val="6"/>
          <c:order val="6"/>
          <c:tx>
            <c:strRef>
              <c:f>Feuil6!$A$72</c:f>
              <c:strCache>
                <c:ptCount val="1"/>
                <c:pt idx="0">
                  <c:v>RELIGION</c:v>
                </c:pt>
              </c:strCache>
            </c:strRef>
          </c:tx>
          <c:spPr>
            <a:solidFill>
              <a:schemeClr val="accent1">
                <a:lumMod val="60000"/>
              </a:schemeClr>
            </a:solidFill>
            <a:ln>
              <a:noFill/>
            </a:ln>
            <a:effectLst/>
            <a:scene3d>
              <a:camera prst="orthographicFront"/>
              <a:lightRig rig="threePt" dir="t"/>
            </a:scene3d>
            <a:sp3d>
              <a:bevelT/>
            </a:sp3d>
          </c:spPr>
          <c:invertIfNegative val="0"/>
          <c:cat>
            <c:strRef>
              <c:f>(Feuil6!$C$65,Feuil6!$E$65)</c:f>
              <c:strCache>
                <c:ptCount val="2"/>
                <c:pt idx="0">
                  <c:v>% TA</c:v>
                </c:pt>
                <c:pt idx="1">
                  <c:v>% TP</c:v>
                </c:pt>
              </c:strCache>
            </c:strRef>
          </c:cat>
          <c:val>
            <c:numRef>
              <c:f>(Feuil6!$C$72,Feuil6!$E$72)</c:f>
              <c:numCache>
                <c:formatCode>0.00%</c:formatCode>
                <c:ptCount val="2"/>
                <c:pt idx="0">
                  <c:v>2.8299999999999999E-2</c:v>
                </c:pt>
                <c:pt idx="1">
                  <c:v>1.72E-2</c:v>
                </c:pt>
              </c:numCache>
            </c:numRef>
          </c:val>
          <c:extLst>
            <c:ext xmlns:c16="http://schemas.microsoft.com/office/drawing/2014/chart" uri="{C3380CC4-5D6E-409C-BE32-E72D297353CC}">
              <c16:uniqueId val="{00000006-A96D-459C-91F2-021CE6DBB457}"/>
            </c:ext>
          </c:extLst>
        </c:ser>
        <c:ser>
          <c:idx val="7"/>
          <c:order val="7"/>
          <c:tx>
            <c:strRef>
              <c:f>Feuil6!$A$73</c:f>
              <c:strCache>
                <c:ptCount val="1"/>
                <c:pt idx="0">
                  <c:v>GENRE</c:v>
                </c:pt>
              </c:strCache>
            </c:strRef>
          </c:tx>
          <c:spPr>
            <a:solidFill>
              <a:schemeClr val="accent2">
                <a:lumMod val="60000"/>
              </a:schemeClr>
            </a:solidFill>
            <a:ln>
              <a:noFill/>
            </a:ln>
            <a:effectLst/>
          </c:spPr>
          <c:invertIfNegative val="0"/>
          <c:cat>
            <c:strRef>
              <c:f>(Feuil6!$C$65,Feuil6!$E$65)</c:f>
              <c:strCache>
                <c:ptCount val="2"/>
                <c:pt idx="0">
                  <c:v>% TA</c:v>
                </c:pt>
                <c:pt idx="1">
                  <c:v>% TP</c:v>
                </c:pt>
              </c:strCache>
            </c:strRef>
          </c:cat>
          <c:val>
            <c:numRef>
              <c:f>(Feuil6!$C$73,Feuil6!$E$73)</c:f>
              <c:numCache>
                <c:formatCode>0.00%</c:formatCode>
                <c:ptCount val="2"/>
                <c:pt idx="0">
                  <c:v>0</c:v>
                </c:pt>
                <c:pt idx="1">
                  <c:v>0</c:v>
                </c:pt>
              </c:numCache>
            </c:numRef>
          </c:val>
          <c:extLst>
            <c:ext xmlns:c16="http://schemas.microsoft.com/office/drawing/2014/chart" uri="{C3380CC4-5D6E-409C-BE32-E72D297353CC}">
              <c16:uniqueId val="{00000007-A96D-459C-91F2-021CE6DBB457}"/>
            </c:ext>
          </c:extLst>
        </c:ser>
        <c:dLbls>
          <c:showLegendKey val="0"/>
          <c:showVal val="0"/>
          <c:showCatName val="0"/>
          <c:showSerName val="0"/>
          <c:showPercent val="0"/>
          <c:showBubbleSize val="0"/>
        </c:dLbls>
        <c:gapWidth val="219"/>
        <c:overlap val="-27"/>
        <c:axId val="934383616"/>
        <c:axId val="934314304"/>
      </c:barChart>
      <c:catAx>
        <c:axId val="934383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14304"/>
        <c:crosses val="autoZero"/>
        <c:auto val="1"/>
        <c:lblAlgn val="ctr"/>
        <c:lblOffset val="100"/>
        <c:noMultiLvlLbl val="0"/>
      </c:catAx>
      <c:valAx>
        <c:axId val="9343143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83616"/>
        <c:crosses val="autoZero"/>
        <c:crossBetween val="between"/>
      </c:valAx>
      <c:spPr>
        <a:noFill/>
        <a:ln>
          <a:noFill/>
        </a:ln>
        <a:effectLst/>
      </c:spPr>
    </c:plotArea>
    <c:legend>
      <c:legendPos val="b"/>
      <c:layout>
        <c:manualLayout>
          <c:xMode val="edge"/>
          <c:yMode val="edge"/>
          <c:x val="2.3351706036745402E-2"/>
          <c:y val="0.82291557305336804"/>
          <c:w val="0.94774103237095397"/>
          <c:h val="0.149306649168854"/>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Feuil5!$H$56</c:f>
              <c:strCache>
                <c:ptCount val="1"/>
                <c:pt idx="0">
                  <c:v>Télévision 3TV</c:v>
                </c:pt>
              </c:strCache>
            </c:strRef>
          </c:tx>
          <c:spPr>
            <a:solidFill>
              <a:schemeClr val="accent1"/>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(Feuil5!$J$56,Feuil5!$L$56)</c:f>
              <c:numCache>
                <c:formatCode>0.00%</c:formatCode>
                <c:ptCount val="2"/>
                <c:pt idx="0">
                  <c:v>0.31358616607143602</c:v>
                </c:pt>
                <c:pt idx="1">
                  <c:v>0.26763611511884</c:v>
                </c:pt>
              </c:numCache>
            </c:numRef>
          </c:val>
          <c:extLst>
            <c:ext xmlns:c16="http://schemas.microsoft.com/office/drawing/2014/chart" uri="{C3380CC4-5D6E-409C-BE32-E72D297353CC}">
              <c16:uniqueId val="{00000000-A2FD-46DB-BE87-E144FE7A6CD5}"/>
            </c:ext>
          </c:extLst>
        </c:ser>
        <c:ser>
          <c:idx val="1"/>
          <c:order val="1"/>
          <c:tx>
            <c:strRef>
              <c:f>Feuil5!$H$57</c:f>
              <c:strCache>
                <c:ptCount val="1"/>
                <c:pt idx="0">
                  <c:v>RNB</c:v>
                </c:pt>
              </c:strCache>
            </c:strRef>
          </c:tx>
          <c:spPr>
            <a:solidFill>
              <a:schemeClr val="accent2"/>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(Feuil5!$J$57,Feuil5!$L$57)</c:f>
              <c:numCache>
                <c:formatCode>0.00%</c:formatCode>
                <c:ptCount val="2"/>
                <c:pt idx="0">
                  <c:v>0.154773152268085</c:v>
                </c:pt>
                <c:pt idx="1">
                  <c:v>0.164477181259017</c:v>
                </c:pt>
              </c:numCache>
            </c:numRef>
          </c:val>
          <c:extLst>
            <c:ext xmlns:c16="http://schemas.microsoft.com/office/drawing/2014/chart" uri="{C3380CC4-5D6E-409C-BE32-E72D297353CC}">
              <c16:uniqueId val="{00000001-A2FD-46DB-BE87-E144FE7A6CD5}"/>
            </c:ext>
          </c:extLst>
        </c:ser>
        <c:ser>
          <c:idx val="2"/>
          <c:order val="2"/>
          <c:tx>
            <c:strRef>
              <c:f>Feuil5!$H$58</c:f>
              <c:strCache>
                <c:ptCount val="1"/>
                <c:pt idx="0">
                  <c:v>Télévision BF1</c:v>
                </c:pt>
              </c:strCache>
            </c:strRef>
          </c:tx>
          <c:spPr>
            <a:solidFill>
              <a:schemeClr val="accent3"/>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(Feuil5!$J$58,Feuil5!$L$58)</c:f>
              <c:numCache>
                <c:formatCode>0.00%</c:formatCode>
                <c:ptCount val="2"/>
                <c:pt idx="0">
                  <c:v>0.15321483595535601</c:v>
                </c:pt>
                <c:pt idx="1">
                  <c:v>0.11424083073885601</c:v>
                </c:pt>
              </c:numCache>
            </c:numRef>
          </c:val>
          <c:extLst>
            <c:ext xmlns:c16="http://schemas.microsoft.com/office/drawing/2014/chart" uri="{C3380CC4-5D6E-409C-BE32-E72D297353CC}">
              <c16:uniqueId val="{00000002-A2FD-46DB-BE87-E144FE7A6CD5}"/>
            </c:ext>
          </c:extLst>
        </c:ser>
        <c:ser>
          <c:idx val="3"/>
          <c:order val="3"/>
          <c:tx>
            <c:strRef>
              <c:f>Feuil5!$H$59</c:f>
              <c:strCache>
                <c:ptCount val="1"/>
                <c:pt idx="0">
                  <c:v>Radio Ouaga FM</c:v>
                </c:pt>
              </c:strCache>
            </c:strRef>
          </c:tx>
          <c:spPr>
            <a:solidFill>
              <a:schemeClr val="accent4"/>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(Feuil5!$J$59,Feuil5!$L$59)</c:f>
              <c:numCache>
                <c:formatCode>0.00%</c:formatCode>
                <c:ptCount val="2"/>
                <c:pt idx="0">
                  <c:v>0.109578058906317</c:v>
                </c:pt>
                <c:pt idx="1">
                  <c:v>0.11982686612498999</c:v>
                </c:pt>
              </c:numCache>
            </c:numRef>
          </c:val>
          <c:extLst>
            <c:ext xmlns:c16="http://schemas.microsoft.com/office/drawing/2014/chart" uri="{C3380CC4-5D6E-409C-BE32-E72D297353CC}">
              <c16:uniqueId val="{00000003-A2FD-46DB-BE87-E144FE7A6CD5}"/>
            </c:ext>
          </c:extLst>
        </c:ser>
        <c:ser>
          <c:idx val="4"/>
          <c:order val="4"/>
          <c:tx>
            <c:strRef>
              <c:f>Feuil5!$H$60</c:f>
              <c:strCache>
                <c:ptCount val="1"/>
                <c:pt idx="0">
                  <c:v>Radio Oméga FM</c:v>
                </c:pt>
              </c:strCache>
            </c:strRef>
          </c:tx>
          <c:spPr>
            <a:solidFill>
              <a:schemeClr val="accent5"/>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(Feuil5!$J$60,Feuil5!$L$60)</c:f>
              <c:numCache>
                <c:formatCode>0.00%</c:formatCode>
                <c:ptCount val="2"/>
                <c:pt idx="0">
                  <c:v>9.6200060372506196E-2</c:v>
                </c:pt>
                <c:pt idx="1">
                  <c:v>7.9979497304275199E-2</c:v>
                </c:pt>
              </c:numCache>
            </c:numRef>
          </c:val>
          <c:extLst>
            <c:ext xmlns:c16="http://schemas.microsoft.com/office/drawing/2014/chart" uri="{C3380CC4-5D6E-409C-BE32-E72D297353CC}">
              <c16:uniqueId val="{00000004-A2FD-46DB-BE87-E144FE7A6CD5}"/>
            </c:ext>
          </c:extLst>
        </c:ser>
        <c:ser>
          <c:idx val="5"/>
          <c:order val="5"/>
          <c:tx>
            <c:strRef>
              <c:f>Feuil5!$H$61</c:f>
              <c:strCache>
                <c:ptCount val="1"/>
                <c:pt idx="0">
                  <c:v>Radio savane FM</c:v>
                </c:pt>
              </c:strCache>
            </c:strRef>
          </c:tx>
          <c:spPr>
            <a:solidFill>
              <a:schemeClr val="accent6"/>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(Feuil5!$J$61,Feuil5!$L$61)</c:f>
              <c:numCache>
                <c:formatCode>0.00%</c:formatCode>
                <c:ptCount val="2"/>
                <c:pt idx="0">
                  <c:v>8.7120662686262895E-2</c:v>
                </c:pt>
                <c:pt idx="1">
                  <c:v>8.4103766421140494E-2</c:v>
                </c:pt>
              </c:numCache>
            </c:numRef>
          </c:val>
          <c:extLst>
            <c:ext xmlns:c16="http://schemas.microsoft.com/office/drawing/2014/chart" uri="{C3380CC4-5D6E-409C-BE32-E72D297353CC}">
              <c16:uniqueId val="{00000005-A2FD-46DB-BE87-E144FE7A6CD5}"/>
            </c:ext>
          </c:extLst>
        </c:ser>
        <c:ser>
          <c:idx val="6"/>
          <c:order val="6"/>
          <c:tx>
            <c:strRef>
              <c:f>Feuil5!$H$62</c:f>
              <c:strCache>
                <c:ptCount val="1"/>
                <c:pt idx="0">
                  <c:v>RTB</c:v>
                </c:pt>
              </c:strCache>
            </c:strRef>
          </c:tx>
          <c:spPr>
            <a:solidFill>
              <a:schemeClr val="accent1">
                <a:lumMod val="60000"/>
              </a:schemeClr>
            </a:solidFill>
            <a:ln>
              <a:noFill/>
            </a:ln>
            <a:effectLst/>
            <a:scene3d>
              <a:camera prst="orthographicFront"/>
              <a:lightRig rig="threePt" dir="t"/>
            </a:scene3d>
            <a:sp3d>
              <a:bevelT/>
            </a:sp3d>
          </c:spPr>
          <c:invertIfNegative val="0"/>
          <c:cat>
            <c:strRef>
              <c:f>(Feuil5!$J$55,Feuil5!$L$55)</c:f>
              <c:strCache>
                <c:ptCount val="2"/>
                <c:pt idx="0">
                  <c:v>% TA</c:v>
                </c:pt>
                <c:pt idx="1">
                  <c:v>% TP</c:v>
                </c:pt>
              </c:strCache>
            </c:strRef>
          </c:cat>
          <c:val>
            <c:numRef>
              <c:f>(Feuil5!$J$62,Feuil5!$L$62)</c:f>
              <c:numCache>
                <c:formatCode>0.00%</c:formatCode>
                <c:ptCount val="2"/>
                <c:pt idx="0">
                  <c:v>8.5527063740037601E-2</c:v>
                </c:pt>
                <c:pt idx="1">
                  <c:v>0.16973574303288</c:v>
                </c:pt>
              </c:numCache>
            </c:numRef>
          </c:val>
          <c:extLst>
            <c:ext xmlns:c16="http://schemas.microsoft.com/office/drawing/2014/chart" uri="{C3380CC4-5D6E-409C-BE32-E72D297353CC}">
              <c16:uniqueId val="{00000006-A2FD-46DB-BE87-E144FE7A6CD5}"/>
            </c:ext>
          </c:extLst>
        </c:ser>
        <c:dLbls>
          <c:showLegendKey val="0"/>
          <c:showVal val="0"/>
          <c:showCatName val="0"/>
          <c:showSerName val="0"/>
          <c:showPercent val="0"/>
          <c:showBubbleSize val="0"/>
        </c:dLbls>
        <c:gapWidth val="219"/>
        <c:overlap val="-27"/>
        <c:axId val="936502048"/>
        <c:axId val="934374320"/>
      </c:barChart>
      <c:catAx>
        <c:axId val="936502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74320"/>
        <c:crosses val="autoZero"/>
        <c:auto val="1"/>
        <c:lblAlgn val="ctr"/>
        <c:lblOffset val="100"/>
        <c:noMultiLvlLbl val="0"/>
      </c:catAx>
      <c:valAx>
        <c:axId val="9343743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6502048"/>
        <c:crosses val="autoZero"/>
        <c:crossBetween val="between"/>
      </c:valAx>
      <c:spPr>
        <a:noFill/>
        <a:ln>
          <a:noFill/>
        </a:ln>
        <a:effectLst/>
      </c:spPr>
    </c:plotArea>
    <c:legend>
      <c:legendPos val="b"/>
      <c:layout>
        <c:manualLayout>
          <c:xMode val="edge"/>
          <c:yMode val="edge"/>
          <c:x val="1.11841644794401E-2"/>
          <c:y val="0.85988924461365401"/>
          <c:w val="0.97763167104112003"/>
          <c:h val="0.118132733408324"/>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Feuil6!$B$111</c:f>
              <c:strCache>
                <c:ptCount val="1"/>
                <c:pt idx="0">
                  <c:v>Télévision 3TV</c:v>
                </c:pt>
              </c:strCache>
            </c:strRef>
          </c:tx>
          <c:spPr>
            <a:solidFill>
              <a:schemeClr val="accent1"/>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(Feuil6!$D$111,Feuil6!$F$111)</c:f>
              <c:numCache>
                <c:formatCode>0.00%</c:formatCode>
                <c:ptCount val="2"/>
                <c:pt idx="0">
                  <c:v>0.25346653518888002</c:v>
                </c:pt>
                <c:pt idx="1">
                  <c:v>0.248460897775655</c:v>
                </c:pt>
              </c:numCache>
            </c:numRef>
          </c:val>
          <c:extLst>
            <c:ext xmlns:c16="http://schemas.microsoft.com/office/drawing/2014/chart" uri="{C3380CC4-5D6E-409C-BE32-E72D297353CC}">
              <c16:uniqueId val="{00000000-04B9-4A78-8BC7-4163CCB8F6D0}"/>
            </c:ext>
          </c:extLst>
        </c:ser>
        <c:ser>
          <c:idx val="1"/>
          <c:order val="1"/>
          <c:tx>
            <c:strRef>
              <c:f>Feuil6!$B$112</c:f>
              <c:strCache>
                <c:ptCount val="1"/>
                <c:pt idx="0">
                  <c:v>Télévision BF1</c:v>
                </c:pt>
              </c:strCache>
            </c:strRef>
          </c:tx>
          <c:spPr>
            <a:solidFill>
              <a:schemeClr val="accent2"/>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(Feuil6!$D$112,Feuil6!$F$112)</c:f>
              <c:numCache>
                <c:formatCode>0.00%</c:formatCode>
                <c:ptCount val="2"/>
                <c:pt idx="0">
                  <c:v>0.19181634880019499</c:v>
                </c:pt>
                <c:pt idx="1">
                  <c:v>0.164941668462529</c:v>
                </c:pt>
              </c:numCache>
            </c:numRef>
          </c:val>
          <c:extLst>
            <c:ext xmlns:c16="http://schemas.microsoft.com/office/drawing/2014/chart" uri="{C3380CC4-5D6E-409C-BE32-E72D297353CC}">
              <c16:uniqueId val="{00000001-04B9-4A78-8BC7-4163CCB8F6D0}"/>
            </c:ext>
          </c:extLst>
        </c:ser>
        <c:ser>
          <c:idx val="2"/>
          <c:order val="2"/>
          <c:tx>
            <c:strRef>
              <c:f>Feuil6!$B$113</c:f>
              <c:strCache>
                <c:ptCount val="1"/>
                <c:pt idx="0">
                  <c:v>RTB</c:v>
                </c:pt>
              </c:strCache>
            </c:strRef>
          </c:tx>
          <c:spPr>
            <a:solidFill>
              <a:schemeClr val="accent3"/>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(Feuil6!$D$113,Feuil6!$F$113)</c:f>
              <c:numCache>
                <c:formatCode>0.00%</c:formatCode>
                <c:ptCount val="2"/>
                <c:pt idx="0">
                  <c:v>0.18568854482264199</c:v>
                </c:pt>
                <c:pt idx="1">
                  <c:v>0.15260846520784399</c:v>
                </c:pt>
              </c:numCache>
            </c:numRef>
          </c:val>
          <c:extLst>
            <c:ext xmlns:c16="http://schemas.microsoft.com/office/drawing/2014/chart" uri="{C3380CC4-5D6E-409C-BE32-E72D297353CC}">
              <c16:uniqueId val="{00000002-04B9-4A78-8BC7-4163CCB8F6D0}"/>
            </c:ext>
          </c:extLst>
        </c:ser>
        <c:ser>
          <c:idx val="3"/>
          <c:order val="3"/>
          <c:tx>
            <c:strRef>
              <c:f>Feuil6!$B$114</c:f>
              <c:strCache>
                <c:ptCount val="1"/>
                <c:pt idx="0">
                  <c:v>Radio Ouaga FM</c:v>
                </c:pt>
              </c:strCache>
            </c:strRef>
          </c:tx>
          <c:spPr>
            <a:solidFill>
              <a:schemeClr val="accent4"/>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(Feuil6!$D$114,Feuil6!$F$114)</c:f>
              <c:numCache>
                <c:formatCode>0.00%</c:formatCode>
                <c:ptCount val="2"/>
                <c:pt idx="0">
                  <c:v>0.114497107979286</c:v>
                </c:pt>
                <c:pt idx="1">
                  <c:v>0.13959671735851001</c:v>
                </c:pt>
              </c:numCache>
            </c:numRef>
          </c:val>
          <c:extLst>
            <c:ext xmlns:c16="http://schemas.microsoft.com/office/drawing/2014/chart" uri="{C3380CC4-5D6E-409C-BE32-E72D297353CC}">
              <c16:uniqueId val="{00000003-04B9-4A78-8BC7-4163CCB8F6D0}"/>
            </c:ext>
          </c:extLst>
        </c:ser>
        <c:ser>
          <c:idx val="4"/>
          <c:order val="4"/>
          <c:tx>
            <c:strRef>
              <c:f>Feuil6!$B$115</c:f>
              <c:strCache>
                <c:ptCount val="1"/>
                <c:pt idx="0">
                  <c:v>RNB</c:v>
                </c:pt>
              </c:strCache>
            </c:strRef>
          </c:tx>
          <c:spPr>
            <a:solidFill>
              <a:schemeClr val="accent5"/>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(Feuil6!$D$115,Feuil6!$F$115)</c:f>
              <c:numCache>
                <c:formatCode>0.00%</c:formatCode>
                <c:ptCount val="2"/>
                <c:pt idx="0">
                  <c:v>9.8948948633254805E-2</c:v>
                </c:pt>
                <c:pt idx="1">
                  <c:v>0.11328782522089099</c:v>
                </c:pt>
              </c:numCache>
            </c:numRef>
          </c:val>
          <c:extLst>
            <c:ext xmlns:c16="http://schemas.microsoft.com/office/drawing/2014/chart" uri="{C3380CC4-5D6E-409C-BE32-E72D297353CC}">
              <c16:uniqueId val="{00000004-04B9-4A78-8BC7-4163CCB8F6D0}"/>
            </c:ext>
          </c:extLst>
        </c:ser>
        <c:ser>
          <c:idx val="5"/>
          <c:order val="5"/>
          <c:tx>
            <c:strRef>
              <c:f>Feuil6!$B$116</c:f>
              <c:strCache>
                <c:ptCount val="1"/>
                <c:pt idx="0">
                  <c:v>Radio savane FM</c:v>
                </c:pt>
              </c:strCache>
            </c:strRef>
          </c:tx>
          <c:spPr>
            <a:solidFill>
              <a:schemeClr val="accent6"/>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(Feuil6!$D$116,Feuil6!$F$116)</c:f>
              <c:numCache>
                <c:formatCode>0.00%</c:formatCode>
                <c:ptCount val="2"/>
                <c:pt idx="0">
                  <c:v>8.5061782645352704E-2</c:v>
                </c:pt>
                <c:pt idx="1">
                  <c:v>0.10885253158290201</c:v>
                </c:pt>
              </c:numCache>
            </c:numRef>
          </c:val>
          <c:extLst>
            <c:ext xmlns:c16="http://schemas.microsoft.com/office/drawing/2014/chart" uri="{C3380CC4-5D6E-409C-BE32-E72D297353CC}">
              <c16:uniqueId val="{00000005-04B9-4A78-8BC7-4163CCB8F6D0}"/>
            </c:ext>
          </c:extLst>
        </c:ser>
        <c:ser>
          <c:idx val="6"/>
          <c:order val="6"/>
          <c:tx>
            <c:strRef>
              <c:f>Feuil6!$B$117</c:f>
              <c:strCache>
                <c:ptCount val="1"/>
                <c:pt idx="0">
                  <c:v>Radio Oméga FM</c:v>
                </c:pt>
              </c:strCache>
            </c:strRef>
          </c:tx>
          <c:spPr>
            <a:solidFill>
              <a:schemeClr val="accent1">
                <a:lumMod val="60000"/>
              </a:schemeClr>
            </a:solidFill>
            <a:ln>
              <a:noFill/>
            </a:ln>
            <a:effectLst/>
            <a:scene3d>
              <a:camera prst="orthographicFront"/>
              <a:lightRig rig="threePt" dir="t"/>
            </a:scene3d>
            <a:sp3d>
              <a:bevelT/>
            </a:sp3d>
          </c:spPr>
          <c:invertIfNegative val="0"/>
          <c:cat>
            <c:strRef>
              <c:f>(Feuil6!$D$110,Feuil6!$F$110)</c:f>
              <c:strCache>
                <c:ptCount val="2"/>
                <c:pt idx="0">
                  <c:v>% TA</c:v>
                </c:pt>
                <c:pt idx="1">
                  <c:v>% TP</c:v>
                </c:pt>
              </c:strCache>
            </c:strRef>
          </c:cat>
          <c:val>
            <c:numRef>
              <c:f>(Feuil6!$D$117,Feuil6!$F$117)</c:f>
              <c:numCache>
                <c:formatCode>0.00%</c:formatCode>
                <c:ptCount val="2"/>
                <c:pt idx="0">
                  <c:v>7.0520731930389699E-2</c:v>
                </c:pt>
                <c:pt idx="1">
                  <c:v>7.2251894391668695E-2</c:v>
                </c:pt>
              </c:numCache>
            </c:numRef>
          </c:val>
          <c:extLst>
            <c:ext xmlns:c16="http://schemas.microsoft.com/office/drawing/2014/chart" uri="{C3380CC4-5D6E-409C-BE32-E72D297353CC}">
              <c16:uniqueId val="{00000006-04B9-4A78-8BC7-4163CCB8F6D0}"/>
            </c:ext>
          </c:extLst>
        </c:ser>
        <c:dLbls>
          <c:showLegendKey val="0"/>
          <c:showVal val="0"/>
          <c:showCatName val="0"/>
          <c:showSerName val="0"/>
          <c:showPercent val="0"/>
          <c:showBubbleSize val="0"/>
        </c:dLbls>
        <c:gapWidth val="219"/>
        <c:overlap val="-27"/>
        <c:axId val="934384576"/>
        <c:axId val="934349520"/>
      </c:barChart>
      <c:catAx>
        <c:axId val="93438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49520"/>
        <c:crosses val="autoZero"/>
        <c:auto val="1"/>
        <c:lblAlgn val="ctr"/>
        <c:lblOffset val="100"/>
        <c:noMultiLvlLbl val="0"/>
      </c:catAx>
      <c:valAx>
        <c:axId val="93434952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crossAx val="934384576"/>
        <c:crosses val="autoZero"/>
        <c:crossBetween val="between"/>
      </c:valAx>
      <c:spPr>
        <a:noFill/>
        <a:ln>
          <a:noFill/>
        </a:ln>
        <a:effectLst/>
      </c:spPr>
    </c:plotArea>
    <c:legend>
      <c:legendPos val="b"/>
      <c:layout>
        <c:manualLayout>
          <c:xMode val="edge"/>
          <c:yMode val="edge"/>
          <c:x val="8.4063867016622908E-3"/>
          <c:y val="0.86686011187377099"/>
          <c:w val="0.90263167104111997"/>
          <c:h val="0.10981627296587899"/>
        </c:manualLayout>
      </c:layout>
      <c:overlay val="0"/>
      <c:spPr>
        <a:noFill/>
        <a:ln>
          <a:noFill/>
        </a:ln>
        <a:effectLst/>
      </c:spPr>
      <c:txPr>
        <a:bodyPr rot="0" spcFirstLastPara="1" vertOverflow="ellipsis" vert="horz" wrap="square" anchor="ctr" anchorCtr="1"/>
        <a:lstStyle/>
        <a:p>
          <a:pPr>
            <a:defRPr lang="fr-FR" sz="900" b="1"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Feuil1!$B$1</c:f>
              <c:strCache>
                <c:ptCount val="1"/>
                <c:pt idx="0">
                  <c:v>politique</c:v>
                </c:pt>
              </c:strCache>
            </c:strRef>
          </c:tx>
          <c:invertIfNegative val="0"/>
          <c:cat>
            <c:strRef>
              <c:f>Feuil1!$A$2:$A$5</c:f>
              <c:strCache>
                <c:ptCount val="2"/>
                <c:pt idx="0">
                  <c:v>%TA</c:v>
                </c:pt>
                <c:pt idx="1">
                  <c:v>%TP</c:v>
                </c:pt>
              </c:strCache>
            </c:strRef>
          </c:cat>
          <c:val>
            <c:numRef>
              <c:f>Feuil1!$B$2:$B$5</c:f>
              <c:numCache>
                <c:formatCode>General</c:formatCode>
                <c:ptCount val="4"/>
                <c:pt idx="0">
                  <c:v>19.829999999999998</c:v>
                </c:pt>
                <c:pt idx="1">
                  <c:v>20.92</c:v>
                </c:pt>
              </c:numCache>
            </c:numRef>
          </c:val>
          <c:extLst>
            <c:ext xmlns:c16="http://schemas.microsoft.com/office/drawing/2014/chart" uri="{C3380CC4-5D6E-409C-BE32-E72D297353CC}">
              <c16:uniqueId val="{00000000-5DEB-4A02-8FC3-34E7E79E7454}"/>
            </c:ext>
          </c:extLst>
        </c:ser>
        <c:ser>
          <c:idx val="1"/>
          <c:order val="1"/>
          <c:tx>
            <c:strRef>
              <c:f>Feuil1!$C$1</c:f>
              <c:strCache>
                <c:ptCount val="1"/>
                <c:pt idx="0">
                  <c:v>sécurité</c:v>
                </c:pt>
              </c:strCache>
            </c:strRef>
          </c:tx>
          <c:invertIfNegative val="0"/>
          <c:cat>
            <c:strRef>
              <c:f>Feuil1!$A$2:$A$5</c:f>
              <c:strCache>
                <c:ptCount val="2"/>
                <c:pt idx="0">
                  <c:v>%TA</c:v>
                </c:pt>
                <c:pt idx="1">
                  <c:v>%TP</c:v>
                </c:pt>
              </c:strCache>
            </c:strRef>
          </c:cat>
          <c:val>
            <c:numRef>
              <c:f>Feuil1!$C$2:$C$5</c:f>
              <c:numCache>
                <c:formatCode>General</c:formatCode>
                <c:ptCount val="4"/>
                <c:pt idx="0">
                  <c:v>12.91</c:v>
                </c:pt>
                <c:pt idx="1">
                  <c:v>14.28</c:v>
                </c:pt>
              </c:numCache>
            </c:numRef>
          </c:val>
          <c:extLst>
            <c:ext xmlns:c16="http://schemas.microsoft.com/office/drawing/2014/chart" uri="{C3380CC4-5D6E-409C-BE32-E72D297353CC}">
              <c16:uniqueId val="{00000001-5DEB-4A02-8FC3-34E7E79E7454}"/>
            </c:ext>
          </c:extLst>
        </c:ser>
        <c:ser>
          <c:idx val="2"/>
          <c:order val="2"/>
          <c:tx>
            <c:strRef>
              <c:f>Feuil1!$D$1</c:f>
              <c:strCache>
                <c:ptCount val="1"/>
                <c:pt idx="0">
                  <c:v>religion</c:v>
                </c:pt>
              </c:strCache>
            </c:strRef>
          </c:tx>
          <c:invertIfNegative val="0"/>
          <c:cat>
            <c:strRef>
              <c:f>Feuil1!$A$2:$A$5</c:f>
              <c:strCache>
                <c:ptCount val="2"/>
                <c:pt idx="0">
                  <c:v>%TA</c:v>
                </c:pt>
                <c:pt idx="1">
                  <c:v>%TP</c:v>
                </c:pt>
              </c:strCache>
            </c:strRef>
          </c:cat>
          <c:val>
            <c:numRef>
              <c:f>Feuil1!$D$2:$D$5</c:f>
              <c:numCache>
                <c:formatCode>General</c:formatCode>
                <c:ptCount val="4"/>
                <c:pt idx="0">
                  <c:v>6.36</c:v>
                </c:pt>
                <c:pt idx="1">
                  <c:v>5.37</c:v>
                </c:pt>
              </c:numCache>
            </c:numRef>
          </c:val>
          <c:extLst>
            <c:ext xmlns:c16="http://schemas.microsoft.com/office/drawing/2014/chart" uri="{C3380CC4-5D6E-409C-BE32-E72D297353CC}">
              <c16:uniqueId val="{00000002-5DEB-4A02-8FC3-34E7E79E7454}"/>
            </c:ext>
          </c:extLst>
        </c:ser>
        <c:ser>
          <c:idx val="3"/>
          <c:order val="3"/>
          <c:tx>
            <c:strRef>
              <c:f>Feuil1!$E$1</c:f>
              <c:strCache>
                <c:ptCount val="1"/>
                <c:pt idx="0">
                  <c:v>société</c:v>
                </c:pt>
              </c:strCache>
            </c:strRef>
          </c:tx>
          <c:invertIfNegative val="0"/>
          <c:cat>
            <c:strRef>
              <c:f>Feuil1!$A$2:$A$5</c:f>
              <c:strCache>
                <c:ptCount val="2"/>
                <c:pt idx="0">
                  <c:v>%TA</c:v>
                </c:pt>
                <c:pt idx="1">
                  <c:v>%TP</c:v>
                </c:pt>
              </c:strCache>
            </c:strRef>
          </c:cat>
          <c:val>
            <c:numRef>
              <c:f>Feuil1!$E$2:$E$5</c:f>
              <c:numCache>
                <c:formatCode>General</c:formatCode>
                <c:ptCount val="4"/>
                <c:pt idx="0">
                  <c:v>18.57</c:v>
                </c:pt>
                <c:pt idx="1">
                  <c:v>23.08</c:v>
                </c:pt>
              </c:numCache>
            </c:numRef>
          </c:val>
          <c:extLst>
            <c:ext xmlns:c16="http://schemas.microsoft.com/office/drawing/2014/chart" uri="{C3380CC4-5D6E-409C-BE32-E72D297353CC}">
              <c16:uniqueId val="{00000003-5DEB-4A02-8FC3-34E7E79E7454}"/>
            </c:ext>
          </c:extLst>
        </c:ser>
        <c:ser>
          <c:idx val="4"/>
          <c:order val="4"/>
          <c:tx>
            <c:strRef>
              <c:f>Feuil1!$F$1</c:f>
              <c:strCache>
                <c:ptCount val="1"/>
                <c:pt idx="0">
                  <c:v>économie</c:v>
                </c:pt>
              </c:strCache>
            </c:strRef>
          </c:tx>
          <c:invertIfNegative val="0"/>
          <c:cat>
            <c:strRef>
              <c:f>Feuil1!$A$2:$A$5</c:f>
              <c:strCache>
                <c:ptCount val="2"/>
                <c:pt idx="0">
                  <c:v>%TA</c:v>
                </c:pt>
                <c:pt idx="1">
                  <c:v>%TP</c:v>
                </c:pt>
              </c:strCache>
            </c:strRef>
          </c:cat>
          <c:val>
            <c:numRef>
              <c:f>Feuil1!$F$2:$F$5</c:f>
              <c:numCache>
                <c:formatCode>General</c:formatCode>
                <c:ptCount val="4"/>
                <c:pt idx="0">
                  <c:v>12.56</c:v>
                </c:pt>
                <c:pt idx="1">
                  <c:v>7.8</c:v>
                </c:pt>
              </c:numCache>
            </c:numRef>
          </c:val>
          <c:extLst>
            <c:ext xmlns:c16="http://schemas.microsoft.com/office/drawing/2014/chart" uri="{C3380CC4-5D6E-409C-BE32-E72D297353CC}">
              <c16:uniqueId val="{00000004-5DEB-4A02-8FC3-34E7E79E7454}"/>
            </c:ext>
          </c:extLst>
        </c:ser>
        <c:ser>
          <c:idx val="5"/>
          <c:order val="5"/>
          <c:tx>
            <c:strRef>
              <c:f>Feuil1!$G$1</c:f>
              <c:strCache>
                <c:ptCount val="1"/>
                <c:pt idx="0">
                  <c:v>culture</c:v>
                </c:pt>
              </c:strCache>
            </c:strRef>
          </c:tx>
          <c:invertIfNegative val="0"/>
          <c:cat>
            <c:strRef>
              <c:f>Feuil1!$A$2:$A$5</c:f>
              <c:strCache>
                <c:ptCount val="2"/>
                <c:pt idx="0">
                  <c:v>%TA</c:v>
                </c:pt>
                <c:pt idx="1">
                  <c:v>%TP</c:v>
                </c:pt>
              </c:strCache>
            </c:strRef>
          </c:cat>
          <c:val>
            <c:numRef>
              <c:f>Feuil1!$G$2:$G$5</c:f>
              <c:numCache>
                <c:formatCode>General</c:formatCode>
                <c:ptCount val="4"/>
                <c:pt idx="0">
                  <c:v>16.62</c:v>
                </c:pt>
                <c:pt idx="1">
                  <c:v>23.71</c:v>
                </c:pt>
              </c:numCache>
            </c:numRef>
          </c:val>
          <c:extLst>
            <c:ext xmlns:c16="http://schemas.microsoft.com/office/drawing/2014/chart" uri="{C3380CC4-5D6E-409C-BE32-E72D297353CC}">
              <c16:uniqueId val="{00000005-5DEB-4A02-8FC3-34E7E79E7454}"/>
            </c:ext>
          </c:extLst>
        </c:ser>
        <c:ser>
          <c:idx val="6"/>
          <c:order val="6"/>
          <c:tx>
            <c:strRef>
              <c:f>Feuil1!$H$1</c:f>
              <c:strCache>
                <c:ptCount val="1"/>
                <c:pt idx="0">
                  <c:v>santé</c:v>
                </c:pt>
              </c:strCache>
            </c:strRef>
          </c:tx>
          <c:invertIfNegative val="0"/>
          <c:cat>
            <c:strRef>
              <c:f>Feuil1!$A$2:$A$5</c:f>
              <c:strCache>
                <c:ptCount val="2"/>
                <c:pt idx="0">
                  <c:v>%TA</c:v>
                </c:pt>
                <c:pt idx="1">
                  <c:v>%TP</c:v>
                </c:pt>
              </c:strCache>
            </c:strRef>
          </c:cat>
          <c:val>
            <c:numRef>
              <c:f>Feuil1!$H$2:$H$5</c:f>
              <c:numCache>
                <c:formatCode>General</c:formatCode>
                <c:ptCount val="4"/>
                <c:pt idx="0">
                  <c:v>12.13</c:v>
                </c:pt>
                <c:pt idx="1">
                  <c:v>4.8499999999999996</c:v>
                </c:pt>
              </c:numCache>
            </c:numRef>
          </c:val>
          <c:extLst>
            <c:ext xmlns:c16="http://schemas.microsoft.com/office/drawing/2014/chart" uri="{C3380CC4-5D6E-409C-BE32-E72D297353CC}">
              <c16:uniqueId val="{00000006-5DEB-4A02-8FC3-34E7E79E7454}"/>
            </c:ext>
          </c:extLst>
        </c:ser>
        <c:ser>
          <c:idx val="7"/>
          <c:order val="7"/>
          <c:tx>
            <c:strRef>
              <c:f>Feuil1!$I$1</c:f>
              <c:strCache>
                <c:ptCount val="1"/>
                <c:pt idx="0">
                  <c:v>genre</c:v>
                </c:pt>
              </c:strCache>
            </c:strRef>
          </c:tx>
          <c:invertIfNegative val="0"/>
          <c:cat>
            <c:strRef>
              <c:f>Feuil1!$A$2:$A$5</c:f>
              <c:strCache>
                <c:ptCount val="2"/>
                <c:pt idx="0">
                  <c:v>%TA</c:v>
                </c:pt>
                <c:pt idx="1">
                  <c:v>%TP</c:v>
                </c:pt>
              </c:strCache>
            </c:strRef>
          </c:cat>
          <c:val>
            <c:numRef>
              <c:f>Feuil1!$I$2:$I$5</c:f>
              <c:numCache>
                <c:formatCode>General</c:formatCode>
                <c:ptCount val="4"/>
                <c:pt idx="0">
                  <c:v>1.02</c:v>
                </c:pt>
                <c:pt idx="1">
                  <c:v>0</c:v>
                </c:pt>
              </c:numCache>
            </c:numRef>
          </c:val>
          <c:extLst>
            <c:ext xmlns:c16="http://schemas.microsoft.com/office/drawing/2014/chart" uri="{C3380CC4-5D6E-409C-BE32-E72D297353CC}">
              <c16:uniqueId val="{00000007-5DEB-4A02-8FC3-34E7E79E7454}"/>
            </c:ext>
          </c:extLst>
        </c:ser>
        <c:dLbls>
          <c:showLegendKey val="0"/>
          <c:showVal val="0"/>
          <c:showCatName val="0"/>
          <c:showSerName val="0"/>
          <c:showPercent val="0"/>
          <c:showBubbleSize val="0"/>
        </c:dLbls>
        <c:gapWidth val="150"/>
        <c:axId val="122896384"/>
        <c:axId val="122897920"/>
      </c:barChart>
      <c:catAx>
        <c:axId val="122896384"/>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fr-FR" sz="1000" b="0" i="0" u="none" strike="noStrike" kern="1200" baseline="0">
                <a:solidFill>
                  <a:schemeClr val="tx1"/>
                </a:solidFill>
                <a:latin typeface="+mn-lt"/>
                <a:ea typeface="+mn-ea"/>
                <a:cs typeface="+mn-cs"/>
              </a:defRPr>
            </a:pPr>
            <a:endParaRPr lang="fr-FR"/>
          </a:p>
        </c:txPr>
        <c:crossAx val="122897920"/>
        <c:crosses val="autoZero"/>
        <c:auto val="1"/>
        <c:lblAlgn val="ctr"/>
        <c:lblOffset val="100"/>
        <c:noMultiLvlLbl val="0"/>
      </c:catAx>
      <c:valAx>
        <c:axId val="122897920"/>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fr-FR" sz="1000" b="0" i="0" u="none" strike="noStrike" kern="1200" baseline="0">
                <a:solidFill>
                  <a:schemeClr val="tx1"/>
                </a:solidFill>
                <a:latin typeface="+mn-lt"/>
                <a:ea typeface="+mn-ea"/>
                <a:cs typeface="+mn-cs"/>
              </a:defRPr>
            </a:pPr>
            <a:endParaRPr lang="fr-FR"/>
          </a:p>
        </c:txPr>
        <c:crossAx val="122896384"/>
        <c:crosses val="autoZero"/>
        <c:crossBetween val="between"/>
      </c:valAx>
    </c:plotArea>
    <c:legend>
      <c:legendPos val="r"/>
      <c:overlay val="0"/>
      <c:txPr>
        <a:bodyPr rot="0" spcFirstLastPara="0" vertOverflow="ellipsis" vert="horz" wrap="square" anchor="ctr" anchorCtr="1"/>
        <a:lstStyle/>
        <a:p>
          <a:pPr>
            <a:defRPr lang="fr-FR" sz="1000" b="0" i="0" u="none" strike="noStrike" kern="1200" baseline="0">
              <a:solidFill>
                <a:schemeClr val="tx1"/>
              </a:solidFill>
              <a:latin typeface="+mn-lt"/>
              <a:ea typeface="+mn-ea"/>
              <a:cs typeface="+mn-cs"/>
            </a:defRPr>
          </a:pPr>
          <a:endParaRPr lang="fr-FR"/>
        </a:p>
      </c:txPr>
    </c:legend>
    <c:plotVisOnly val="1"/>
    <c:dispBlanksAs val="gap"/>
    <c:showDLblsOverMax val="0"/>
  </c:chart>
  <c:txPr>
    <a:bodyPr/>
    <a:lstStyle/>
    <a:p>
      <a:pPr>
        <a:defRPr lang="fr-FR"/>
      </a:pPr>
      <a:endParaRPr lang="fr-F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Feuil1!$B$1</c:f>
              <c:strCache>
                <c:ptCount val="1"/>
                <c:pt idx="0">
                  <c:v>politique</c:v>
                </c:pt>
              </c:strCache>
            </c:strRef>
          </c:tx>
          <c:invertIfNegative val="0"/>
          <c:cat>
            <c:strRef>
              <c:f>Feuil1!$A$2:$A$5</c:f>
              <c:strCache>
                <c:ptCount val="2"/>
                <c:pt idx="0">
                  <c:v>%TA</c:v>
                </c:pt>
                <c:pt idx="1">
                  <c:v>%TP</c:v>
                </c:pt>
              </c:strCache>
            </c:strRef>
          </c:cat>
          <c:val>
            <c:numRef>
              <c:f>Feuil1!$B$2:$B$5</c:f>
              <c:numCache>
                <c:formatCode>General</c:formatCode>
                <c:ptCount val="4"/>
                <c:pt idx="0">
                  <c:v>25.6</c:v>
                </c:pt>
                <c:pt idx="1">
                  <c:v>21.84</c:v>
                </c:pt>
              </c:numCache>
            </c:numRef>
          </c:val>
          <c:extLst>
            <c:ext xmlns:c16="http://schemas.microsoft.com/office/drawing/2014/chart" uri="{C3380CC4-5D6E-409C-BE32-E72D297353CC}">
              <c16:uniqueId val="{00000000-E8AC-4560-8610-515755DE3D31}"/>
            </c:ext>
          </c:extLst>
        </c:ser>
        <c:ser>
          <c:idx val="1"/>
          <c:order val="1"/>
          <c:tx>
            <c:strRef>
              <c:f>Feuil1!$C$1</c:f>
              <c:strCache>
                <c:ptCount val="1"/>
                <c:pt idx="0">
                  <c:v>sécurité</c:v>
                </c:pt>
              </c:strCache>
            </c:strRef>
          </c:tx>
          <c:invertIfNegative val="0"/>
          <c:cat>
            <c:strRef>
              <c:f>Feuil1!$A$2:$A$5</c:f>
              <c:strCache>
                <c:ptCount val="2"/>
                <c:pt idx="0">
                  <c:v>%TA</c:v>
                </c:pt>
                <c:pt idx="1">
                  <c:v>%TP</c:v>
                </c:pt>
              </c:strCache>
            </c:strRef>
          </c:cat>
          <c:val>
            <c:numRef>
              <c:f>Feuil1!$C$2:$C$5</c:f>
              <c:numCache>
                <c:formatCode>General</c:formatCode>
                <c:ptCount val="4"/>
                <c:pt idx="0">
                  <c:v>15.38</c:v>
                </c:pt>
                <c:pt idx="1">
                  <c:v>18.510000000000002</c:v>
                </c:pt>
              </c:numCache>
            </c:numRef>
          </c:val>
          <c:extLst>
            <c:ext xmlns:c16="http://schemas.microsoft.com/office/drawing/2014/chart" uri="{C3380CC4-5D6E-409C-BE32-E72D297353CC}">
              <c16:uniqueId val="{00000001-E8AC-4560-8610-515755DE3D31}"/>
            </c:ext>
          </c:extLst>
        </c:ser>
        <c:ser>
          <c:idx val="2"/>
          <c:order val="2"/>
          <c:tx>
            <c:strRef>
              <c:f>Feuil1!$D$1</c:f>
              <c:strCache>
                <c:ptCount val="1"/>
                <c:pt idx="0">
                  <c:v>religion</c:v>
                </c:pt>
              </c:strCache>
            </c:strRef>
          </c:tx>
          <c:invertIfNegative val="0"/>
          <c:cat>
            <c:strRef>
              <c:f>Feuil1!$A$2:$A$5</c:f>
              <c:strCache>
                <c:ptCount val="2"/>
                <c:pt idx="0">
                  <c:v>%TA</c:v>
                </c:pt>
                <c:pt idx="1">
                  <c:v>%TP</c:v>
                </c:pt>
              </c:strCache>
            </c:strRef>
          </c:cat>
          <c:val>
            <c:numRef>
              <c:f>Feuil1!$D$2:$D$5</c:f>
              <c:numCache>
                <c:formatCode>General</c:formatCode>
                <c:ptCount val="4"/>
                <c:pt idx="0">
                  <c:v>7.49</c:v>
                </c:pt>
                <c:pt idx="1">
                  <c:v>6.69</c:v>
                </c:pt>
              </c:numCache>
            </c:numRef>
          </c:val>
          <c:extLst>
            <c:ext xmlns:c16="http://schemas.microsoft.com/office/drawing/2014/chart" uri="{C3380CC4-5D6E-409C-BE32-E72D297353CC}">
              <c16:uniqueId val="{00000002-E8AC-4560-8610-515755DE3D31}"/>
            </c:ext>
          </c:extLst>
        </c:ser>
        <c:ser>
          <c:idx val="3"/>
          <c:order val="3"/>
          <c:tx>
            <c:strRef>
              <c:f>Feuil1!$E$1</c:f>
              <c:strCache>
                <c:ptCount val="1"/>
                <c:pt idx="0">
                  <c:v>société</c:v>
                </c:pt>
              </c:strCache>
            </c:strRef>
          </c:tx>
          <c:invertIfNegative val="0"/>
          <c:cat>
            <c:strRef>
              <c:f>Feuil1!$A$2:$A$5</c:f>
              <c:strCache>
                <c:ptCount val="2"/>
                <c:pt idx="0">
                  <c:v>%TA</c:v>
                </c:pt>
                <c:pt idx="1">
                  <c:v>%TP</c:v>
                </c:pt>
              </c:strCache>
            </c:strRef>
          </c:cat>
          <c:val>
            <c:numRef>
              <c:f>Feuil1!$E$2:$E$5</c:f>
              <c:numCache>
                <c:formatCode>General</c:formatCode>
                <c:ptCount val="4"/>
                <c:pt idx="0">
                  <c:v>19.43</c:v>
                </c:pt>
                <c:pt idx="1">
                  <c:v>21.69</c:v>
                </c:pt>
              </c:numCache>
            </c:numRef>
          </c:val>
          <c:extLst>
            <c:ext xmlns:c16="http://schemas.microsoft.com/office/drawing/2014/chart" uri="{C3380CC4-5D6E-409C-BE32-E72D297353CC}">
              <c16:uniqueId val="{00000003-E8AC-4560-8610-515755DE3D31}"/>
            </c:ext>
          </c:extLst>
        </c:ser>
        <c:ser>
          <c:idx val="4"/>
          <c:order val="4"/>
          <c:tx>
            <c:strRef>
              <c:f>Feuil1!$F$1</c:f>
              <c:strCache>
                <c:ptCount val="1"/>
                <c:pt idx="0">
                  <c:v>économie</c:v>
                </c:pt>
              </c:strCache>
            </c:strRef>
          </c:tx>
          <c:invertIfNegative val="0"/>
          <c:cat>
            <c:strRef>
              <c:f>Feuil1!$A$2:$A$5</c:f>
              <c:strCache>
                <c:ptCount val="2"/>
                <c:pt idx="0">
                  <c:v>%TA</c:v>
                </c:pt>
                <c:pt idx="1">
                  <c:v>%TP</c:v>
                </c:pt>
              </c:strCache>
            </c:strRef>
          </c:cat>
          <c:val>
            <c:numRef>
              <c:f>Feuil1!$F$2:$F$5</c:f>
              <c:numCache>
                <c:formatCode>General</c:formatCode>
                <c:ptCount val="4"/>
                <c:pt idx="0">
                  <c:v>13.18</c:v>
                </c:pt>
                <c:pt idx="1">
                  <c:v>14</c:v>
                </c:pt>
              </c:numCache>
            </c:numRef>
          </c:val>
          <c:extLst>
            <c:ext xmlns:c16="http://schemas.microsoft.com/office/drawing/2014/chart" uri="{C3380CC4-5D6E-409C-BE32-E72D297353CC}">
              <c16:uniqueId val="{00000004-E8AC-4560-8610-515755DE3D31}"/>
            </c:ext>
          </c:extLst>
        </c:ser>
        <c:ser>
          <c:idx val="5"/>
          <c:order val="5"/>
          <c:tx>
            <c:strRef>
              <c:f>Feuil1!$G$1</c:f>
              <c:strCache>
                <c:ptCount val="1"/>
                <c:pt idx="0">
                  <c:v>culture</c:v>
                </c:pt>
              </c:strCache>
            </c:strRef>
          </c:tx>
          <c:invertIfNegative val="0"/>
          <c:cat>
            <c:strRef>
              <c:f>Feuil1!$A$2:$A$5</c:f>
              <c:strCache>
                <c:ptCount val="2"/>
                <c:pt idx="0">
                  <c:v>%TA</c:v>
                </c:pt>
                <c:pt idx="1">
                  <c:v>%TP</c:v>
                </c:pt>
              </c:strCache>
            </c:strRef>
          </c:cat>
          <c:val>
            <c:numRef>
              <c:f>Feuil1!$G$2:$G$5</c:f>
              <c:numCache>
                <c:formatCode>General</c:formatCode>
                <c:ptCount val="4"/>
                <c:pt idx="0">
                  <c:v>5.82</c:v>
                </c:pt>
                <c:pt idx="1">
                  <c:v>5.55</c:v>
                </c:pt>
              </c:numCache>
            </c:numRef>
          </c:val>
          <c:extLst>
            <c:ext xmlns:c16="http://schemas.microsoft.com/office/drawing/2014/chart" uri="{C3380CC4-5D6E-409C-BE32-E72D297353CC}">
              <c16:uniqueId val="{00000005-E8AC-4560-8610-515755DE3D31}"/>
            </c:ext>
          </c:extLst>
        </c:ser>
        <c:ser>
          <c:idx val="6"/>
          <c:order val="6"/>
          <c:tx>
            <c:strRef>
              <c:f>Feuil1!$H$1</c:f>
              <c:strCache>
                <c:ptCount val="1"/>
                <c:pt idx="0">
                  <c:v>santé</c:v>
                </c:pt>
              </c:strCache>
            </c:strRef>
          </c:tx>
          <c:invertIfNegative val="0"/>
          <c:cat>
            <c:strRef>
              <c:f>Feuil1!$A$2:$A$5</c:f>
              <c:strCache>
                <c:ptCount val="2"/>
                <c:pt idx="0">
                  <c:v>%TA</c:v>
                </c:pt>
                <c:pt idx="1">
                  <c:v>%TP</c:v>
                </c:pt>
              </c:strCache>
            </c:strRef>
          </c:cat>
          <c:val>
            <c:numRef>
              <c:f>Feuil1!$H$2:$H$5</c:f>
              <c:numCache>
                <c:formatCode>General</c:formatCode>
                <c:ptCount val="4"/>
                <c:pt idx="0">
                  <c:v>11.83</c:v>
                </c:pt>
                <c:pt idx="1">
                  <c:v>10.5</c:v>
                </c:pt>
              </c:numCache>
            </c:numRef>
          </c:val>
          <c:extLst>
            <c:ext xmlns:c16="http://schemas.microsoft.com/office/drawing/2014/chart" uri="{C3380CC4-5D6E-409C-BE32-E72D297353CC}">
              <c16:uniqueId val="{00000006-E8AC-4560-8610-515755DE3D31}"/>
            </c:ext>
          </c:extLst>
        </c:ser>
        <c:ser>
          <c:idx val="7"/>
          <c:order val="7"/>
          <c:tx>
            <c:strRef>
              <c:f>Feuil1!$I$1</c:f>
              <c:strCache>
                <c:ptCount val="1"/>
                <c:pt idx="0">
                  <c:v>genre</c:v>
                </c:pt>
              </c:strCache>
            </c:strRef>
          </c:tx>
          <c:invertIfNegative val="0"/>
          <c:cat>
            <c:strRef>
              <c:f>Feuil1!$A$2:$A$5</c:f>
              <c:strCache>
                <c:ptCount val="2"/>
                <c:pt idx="0">
                  <c:v>%TA</c:v>
                </c:pt>
                <c:pt idx="1">
                  <c:v>%TP</c:v>
                </c:pt>
              </c:strCache>
            </c:strRef>
          </c:cat>
          <c:val>
            <c:numRef>
              <c:f>Feuil1!$I$2:$I$5</c:f>
              <c:numCache>
                <c:formatCode>General</c:formatCode>
                <c:ptCount val="4"/>
                <c:pt idx="0">
                  <c:v>1.28</c:v>
                </c:pt>
                <c:pt idx="1">
                  <c:v>1.22</c:v>
                </c:pt>
              </c:numCache>
            </c:numRef>
          </c:val>
          <c:extLst>
            <c:ext xmlns:c16="http://schemas.microsoft.com/office/drawing/2014/chart" uri="{C3380CC4-5D6E-409C-BE32-E72D297353CC}">
              <c16:uniqueId val="{00000007-E8AC-4560-8610-515755DE3D31}"/>
            </c:ext>
          </c:extLst>
        </c:ser>
        <c:dLbls>
          <c:showLegendKey val="0"/>
          <c:showVal val="0"/>
          <c:showCatName val="0"/>
          <c:showSerName val="0"/>
          <c:showPercent val="0"/>
          <c:showBubbleSize val="0"/>
        </c:dLbls>
        <c:gapWidth val="150"/>
        <c:axId val="151402368"/>
        <c:axId val="151403904"/>
      </c:barChart>
      <c:catAx>
        <c:axId val="151402368"/>
        <c:scaling>
          <c:orientation val="minMax"/>
        </c:scaling>
        <c:delete val="0"/>
        <c:axPos val="b"/>
        <c:numFmt formatCode="General" sourceLinked="1"/>
        <c:majorTickMark val="out"/>
        <c:minorTickMark val="none"/>
        <c:tickLblPos val="nextTo"/>
        <c:txPr>
          <a:bodyPr rot="-60000000" spcFirstLastPara="0" vertOverflow="ellipsis" vert="horz" wrap="square" anchor="ctr" anchorCtr="1"/>
          <a:lstStyle/>
          <a:p>
            <a:pPr>
              <a:defRPr lang="fr-FR" sz="1000" b="0" i="0" u="none" strike="noStrike" kern="1200" baseline="0">
                <a:solidFill>
                  <a:schemeClr val="tx1"/>
                </a:solidFill>
                <a:latin typeface="+mn-lt"/>
                <a:ea typeface="+mn-ea"/>
                <a:cs typeface="+mn-cs"/>
              </a:defRPr>
            </a:pPr>
            <a:endParaRPr lang="fr-FR"/>
          </a:p>
        </c:txPr>
        <c:crossAx val="151403904"/>
        <c:crosses val="autoZero"/>
        <c:auto val="1"/>
        <c:lblAlgn val="ctr"/>
        <c:lblOffset val="100"/>
        <c:noMultiLvlLbl val="0"/>
      </c:catAx>
      <c:valAx>
        <c:axId val="151403904"/>
        <c:scaling>
          <c:orientation val="minMax"/>
        </c:scaling>
        <c:delete val="0"/>
        <c:axPos val="l"/>
        <c:majorGridlines/>
        <c:numFmt formatCode="General" sourceLinked="1"/>
        <c:majorTickMark val="out"/>
        <c:minorTickMark val="none"/>
        <c:tickLblPos val="nextTo"/>
        <c:txPr>
          <a:bodyPr rot="-60000000" spcFirstLastPara="0" vertOverflow="ellipsis" vert="horz" wrap="square" anchor="ctr" anchorCtr="1"/>
          <a:lstStyle/>
          <a:p>
            <a:pPr>
              <a:defRPr lang="fr-FR" sz="1000" b="0" i="0" u="none" strike="noStrike" kern="1200" baseline="0">
                <a:solidFill>
                  <a:schemeClr val="tx1"/>
                </a:solidFill>
                <a:latin typeface="+mn-lt"/>
                <a:ea typeface="+mn-ea"/>
                <a:cs typeface="+mn-cs"/>
              </a:defRPr>
            </a:pPr>
            <a:endParaRPr lang="fr-FR"/>
          </a:p>
        </c:txPr>
        <c:crossAx val="151402368"/>
        <c:crosses val="autoZero"/>
        <c:crossBetween val="between"/>
      </c:valAx>
    </c:plotArea>
    <c:legend>
      <c:legendPos val="r"/>
      <c:overlay val="0"/>
      <c:txPr>
        <a:bodyPr rot="0" spcFirstLastPara="0" vertOverflow="ellipsis" vert="horz" wrap="square" anchor="ctr" anchorCtr="1"/>
        <a:lstStyle/>
        <a:p>
          <a:pPr>
            <a:defRPr lang="fr-FR" sz="1000" b="0" i="0" u="none" strike="noStrike" kern="1200" baseline="0">
              <a:solidFill>
                <a:schemeClr val="tx1"/>
              </a:solidFill>
              <a:latin typeface="+mn-lt"/>
              <a:ea typeface="+mn-ea"/>
              <a:cs typeface="+mn-cs"/>
            </a:defRPr>
          </a:pPr>
          <a:endParaRPr lang="fr-FR"/>
        </a:p>
      </c:txPr>
    </c:legend>
    <c:plotVisOnly val="1"/>
    <c:dispBlanksAs val="gap"/>
    <c:showDLblsOverMax val="0"/>
  </c:chart>
  <c:txPr>
    <a:bodyPr/>
    <a:lstStyle/>
    <a:p>
      <a:pPr>
        <a:defRPr lang="fr-FR"/>
      </a:pPr>
      <a:endParaRPr lang="fr-F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fr-FR" sz="1300" b="0" i="0" u="none" strike="noStrike" kern="1200" spc="0" baseline="0">
                <a:solidFill>
                  <a:schemeClr val="tx1">
                    <a:lumMod val="65000"/>
                    <a:lumOff val="35000"/>
                  </a:schemeClr>
                </a:solidFill>
                <a:latin typeface="+mn-lt"/>
                <a:ea typeface="+mn-ea"/>
                <a:cs typeface="+mn-cs"/>
              </a:defRPr>
            </a:pPr>
            <a:r>
              <a:rPr lang="fr-FR" sz="1300" b="1" i="0" u="sng" baseline="0">
                <a:effectLst/>
              </a:rPr>
              <a:t>Répartition du personnel par structure </a:t>
            </a:r>
            <a:endParaRPr lang="fr-FR" sz="1300">
              <a:effectLst/>
            </a:endParaRPr>
          </a:p>
        </c:rich>
      </c:tx>
      <c:overlay val="0"/>
      <c:spPr>
        <a:noFill/>
        <a:ln>
          <a:noFill/>
        </a:ln>
        <a:effectLst/>
      </c:spPr>
      <c:txPr>
        <a:bodyPr rot="0" spcFirstLastPara="1" vertOverflow="ellipsis" vert="horz" wrap="square" anchor="ctr" anchorCtr="1"/>
        <a:lstStyle/>
        <a:p>
          <a:pPr>
            <a:defRPr lang="fr-FR" sz="13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barChart>
        <c:barDir val="col"/>
        <c:grouping val="clustered"/>
        <c:varyColors val="0"/>
        <c:ser>
          <c:idx val="0"/>
          <c:order val="0"/>
          <c:spPr>
            <a:solidFill>
              <a:schemeClr val="accent1"/>
            </a:solidFill>
            <a:ln>
              <a:noFill/>
            </a:ln>
            <a:effectLst/>
          </c:spPr>
          <c:invertIfNegative val="0"/>
          <c:cat>
            <c:strRef>
              <c:f>Feuil1!$B$3:$B$20</c:f>
              <c:strCache>
                <c:ptCount val="18"/>
                <c:pt idx="0">
                  <c:v>CC</c:v>
                </c:pt>
                <c:pt idx="1">
                  <c:v>CP</c:v>
                </c:pt>
                <c:pt idx="2">
                  <c:v>DCRP</c:v>
                </c:pt>
                <c:pt idx="3">
                  <c:v>SG</c:v>
                </c:pt>
                <c:pt idx="4">
                  <c:v>DAF</c:v>
                </c:pt>
                <c:pt idx="5">
                  <c:v>DRMC</c:v>
                </c:pt>
                <c:pt idx="6">
                  <c:v>DAD</c:v>
                </c:pt>
                <c:pt idx="7">
                  <c:v>DP</c:v>
                </c:pt>
                <c:pt idx="8">
                  <c:v>DMM</c:v>
                </c:pt>
                <c:pt idx="9">
                  <c:v>DIPE</c:v>
                </c:pt>
                <c:pt idx="10">
                  <c:v>DIT</c:v>
                </c:pt>
                <c:pt idx="11">
                  <c:v>BCPM</c:v>
                </c:pt>
                <c:pt idx="12">
                  <c:v>DRH</c:v>
                </c:pt>
                <c:pt idx="13">
                  <c:v>DMP</c:v>
                </c:pt>
                <c:pt idx="14">
                  <c:v>DDA</c:v>
                </c:pt>
                <c:pt idx="15">
                  <c:v>AC</c:v>
                </c:pt>
                <c:pt idx="16">
                  <c:v>DRO</c:v>
                </c:pt>
                <c:pt idx="17">
                  <c:v>DRE</c:v>
                </c:pt>
              </c:strCache>
            </c:strRef>
          </c:cat>
          <c:val>
            <c:numRef>
              <c:f>Feuil1!$C$3:$C$20</c:f>
              <c:numCache>
                <c:formatCode>General</c:formatCode>
                <c:ptCount val="18"/>
                <c:pt idx="0">
                  <c:v>9</c:v>
                </c:pt>
                <c:pt idx="1">
                  <c:v>19</c:v>
                </c:pt>
                <c:pt idx="2">
                  <c:v>6</c:v>
                </c:pt>
                <c:pt idx="3">
                  <c:v>11</c:v>
                </c:pt>
                <c:pt idx="4">
                  <c:v>11</c:v>
                </c:pt>
                <c:pt idx="5">
                  <c:v>5</c:v>
                </c:pt>
                <c:pt idx="6">
                  <c:v>4</c:v>
                </c:pt>
                <c:pt idx="7">
                  <c:v>4</c:v>
                </c:pt>
                <c:pt idx="8">
                  <c:v>15</c:v>
                </c:pt>
                <c:pt idx="9">
                  <c:v>5</c:v>
                </c:pt>
                <c:pt idx="10">
                  <c:v>4</c:v>
                </c:pt>
                <c:pt idx="11">
                  <c:v>6</c:v>
                </c:pt>
                <c:pt idx="12">
                  <c:v>5</c:v>
                </c:pt>
                <c:pt idx="13">
                  <c:v>2</c:v>
                </c:pt>
                <c:pt idx="14">
                  <c:v>4</c:v>
                </c:pt>
                <c:pt idx="15">
                  <c:v>4</c:v>
                </c:pt>
                <c:pt idx="16">
                  <c:v>11</c:v>
                </c:pt>
                <c:pt idx="17">
                  <c:v>5</c:v>
                </c:pt>
              </c:numCache>
            </c:numRef>
          </c:val>
          <c:extLst>
            <c:ext xmlns:c16="http://schemas.microsoft.com/office/drawing/2014/chart" uri="{C3380CC4-5D6E-409C-BE32-E72D297353CC}">
              <c16:uniqueId val="{00000000-066A-4BE9-8A89-AB5A662EF388}"/>
            </c:ext>
          </c:extLst>
        </c:ser>
        <c:dLbls>
          <c:showLegendKey val="0"/>
          <c:showVal val="0"/>
          <c:showCatName val="0"/>
          <c:showSerName val="0"/>
          <c:showPercent val="0"/>
          <c:showBubbleSize val="0"/>
        </c:dLbls>
        <c:gapWidth val="219"/>
        <c:overlap val="-27"/>
        <c:axId val="247113920"/>
        <c:axId val="247118496"/>
      </c:barChart>
      <c:catAx>
        <c:axId val="247113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47118496"/>
        <c:crosses val="autoZero"/>
        <c:auto val="1"/>
        <c:lblAlgn val="ctr"/>
        <c:lblOffset val="100"/>
        <c:noMultiLvlLbl val="0"/>
      </c:catAx>
      <c:valAx>
        <c:axId val="247118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47113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fr-FR"/>
      </a:pPr>
      <a:endParaRPr lang="fr-FR"/>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smoothMarker"/>
        <c:varyColors val="0"/>
        <c:ser>
          <c:idx val="1"/>
          <c:order val="0"/>
          <c:tx>
            <c:strRef>
              <c:f>Feuil1!$C$47</c:f>
              <c:strCache>
                <c:ptCount val="1"/>
                <c:pt idx="0">
                  <c:v>Effectif</c:v>
                </c:pt>
              </c:strCache>
            </c:strRef>
          </c:tx>
          <c:marker>
            <c:symbol val="none"/>
          </c:marker>
          <c:xVal>
            <c:numRef>
              <c:f>Feuil1!$B$48:$B$50</c:f>
              <c:numCache>
                <c:formatCode>General</c:formatCode>
                <c:ptCount val="3"/>
                <c:pt idx="0">
                  <c:v>2021</c:v>
                </c:pt>
                <c:pt idx="1">
                  <c:v>2022</c:v>
                </c:pt>
                <c:pt idx="2">
                  <c:v>2023</c:v>
                </c:pt>
              </c:numCache>
            </c:numRef>
          </c:xVal>
          <c:yVal>
            <c:numRef>
              <c:f>Feuil1!$C$48:$C$50</c:f>
              <c:numCache>
                <c:formatCode>General</c:formatCode>
                <c:ptCount val="3"/>
                <c:pt idx="0">
                  <c:v>130</c:v>
                </c:pt>
                <c:pt idx="1">
                  <c:v>128</c:v>
                </c:pt>
                <c:pt idx="2">
                  <c:v>130</c:v>
                </c:pt>
              </c:numCache>
            </c:numRef>
          </c:yVal>
          <c:smooth val="1"/>
          <c:extLst>
            <c:ext xmlns:c16="http://schemas.microsoft.com/office/drawing/2014/chart" uri="{C3380CC4-5D6E-409C-BE32-E72D297353CC}">
              <c16:uniqueId val="{00000000-0CBC-4DC9-8F3E-D52F1F03D16A}"/>
            </c:ext>
          </c:extLst>
        </c:ser>
        <c:ser>
          <c:idx val="0"/>
          <c:order val="1"/>
          <c:spPr>
            <a:ln w="19050" cap="rnd" cmpd="sng" algn="ctr">
              <a:solidFill>
                <a:schemeClr val="accent1"/>
              </a:solidFill>
              <a:prstDash val="solid"/>
              <a:round/>
            </a:ln>
            <a:effectLst/>
          </c:spPr>
          <c:marker>
            <c:symbol val="none"/>
          </c:marker>
          <c:xVal>
            <c:numRef>
              <c:f>Feuil1!$B$48:$B$50</c:f>
              <c:numCache>
                <c:formatCode>General</c:formatCode>
                <c:ptCount val="3"/>
                <c:pt idx="0">
                  <c:v>2021</c:v>
                </c:pt>
                <c:pt idx="1">
                  <c:v>2022</c:v>
                </c:pt>
                <c:pt idx="2">
                  <c:v>2023</c:v>
                </c:pt>
              </c:numCache>
            </c:numRef>
          </c:xVal>
          <c:yVal>
            <c:numRef>
              <c:f>Feuil1!$C$48:$C$50</c:f>
              <c:numCache>
                <c:formatCode>General</c:formatCode>
                <c:ptCount val="3"/>
                <c:pt idx="0">
                  <c:v>130</c:v>
                </c:pt>
                <c:pt idx="1">
                  <c:v>128</c:v>
                </c:pt>
                <c:pt idx="2">
                  <c:v>130</c:v>
                </c:pt>
              </c:numCache>
            </c:numRef>
          </c:yVal>
          <c:smooth val="1"/>
          <c:extLst>
            <c:ext xmlns:c16="http://schemas.microsoft.com/office/drawing/2014/chart" uri="{C3380CC4-5D6E-409C-BE32-E72D297353CC}">
              <c16:uniqueId val="{00000001-0CBC-4DC9-8F3E-D52F1F03D16A}"/>
            </c:ext>
          </c:extLst>
        </c:ser>
        <c:dLbls>
          <c:showLegendKey val="0"/>
          <c:showVal val="0"/>
          <c:showCatName val="0"/>
          <c:showSerName val="0"/>
          <c:showPercent val="0"/>
          <c:showBubbleSize val="0"/>
        </c:dLbls>
        <c:axId val="272081072"/>
        <c:axId val="272075248"/>
      </c:scatterChart>
      <c:valAx>
        <c:axId val="272081072"/>
        <c:scaling>
          <c:orientation val="minMax"/>
        </c:scaling>
        <c:delete val="0"/>
        <c:axPos val="b"/>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prstDash val="solid"/>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72075248"/>
        <c:crosses val="autoZero"/>
        <c:crossBetween val="midCat"/>
        <c:majorUnit val="1"/>
      </c:valAx>
      <c:valAx>
        <c:axId val="27207524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prstDash val="solid"/>
            <a:round/>
          </a:ln>
          <a:effectLst/>
        </c:spPr>
        <c:txPr>
          <a:bodyPr rot="-60000000" spcFirstLastPara="1" vertOverflow="ellipsis" vert="horz" wrap="square" anchor="ctr" anchorCtr="1"/>
          <a:lstStyle/>
          <a:p>
            <a:pPr>
              <a:defRPr lang="fr-FR" sz="900" b="0" i="0" u="none" strike="noStrike" kern="1200" baseline="0">
                <a:solidFill>
                  <a:schemeClr val="tx1">
                    <a:lumMod val="65000"/>
                    <a:lumOff val="35000"/>
                  </a:schemeClr>
                </a:solidFill>
                <a:latin typeface="+mn-lt"/>
                <a:ea typeface="+mn-ea"/>
                <a:cs typeface="+mn-cs"/>
              </a:defRPr>
            </a:pPr>
            <a:endParaRPr lang="fr-FR"/>
          </a:p>
        </c:txPr>
        <c:crossAx val="272081072"/>
        <c:crosses val="autoZero"/>
        <c:crossBetween val="midCat"/>
      </c:valAx>
    </c:plotArea>
    <c:plotVisOnly val="1"/>
    <c:dispBlanksAs val="gap"/>
    <c:showDLblsOverMax val="0"/>
  </c:chart>
  <c:txPr>
    <a:bodyPr/>
    <a:lstStyle/>
    <a:p>
      <a:pPr>
        <a:defRPr lang="fr-FR"/>
      </a:pPr>
      <a:endParaRPr lang="fr-F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E192E8-638A-42EE-8A69-7E135A7A1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41213</Words>
  <Characters>226673</Characters>
  <Application>Microsoft Office Word</Application>
  <DocSecurity>0</DocSecurity>
  <Lines>1888</Lines>
  <Paragraphs>534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267352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Wendyam Maximilien Ivan YAMEOGO</dc:creator>
  <cp:lastModifiedBy>hp</cp:lastModifiedBy>
  <cp:revision>13</cp:revision>
  <cp:lastPrinted>2024-08-21T10:58:00Z</cp:lastPrinted>
  <dcterms:created xsi:type="dcterms:W3CDTF">2024-06-26T11:53:00Z</dcterms:created>
  <dcterms:modified xsi:type="dcterms:W3CDTF">2024-11-22T10:55:00Z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B268373434A8499B93295416E9295A35_12</vt:lpwstr>
  </property>
</Properties>
</file>